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82" w:leftChars="-202" w:right="-483" w:rightChars="-230" w:hanging="142"/>
        <w:rPr>
          <w:rFonts w:hint="eastAsia" w:ascii="宋体" w:hAnsi="宋体"/>
          <w:b/>
          <w:sz w:val="28"/>
          <w:szCs w:val="28"/>
        </w:rPr>
      </w:pPr>
      <w:r>
        <w:rPr>
          <w:rFonts w:hint="eastAsia" w:ascii="宋体" w:hAnsi="宋体"/>
          <w:b/>
          <w:sz w:val="28"/>
          <w:szCs w:val="28"/>
        </w:rPr>
        <w:t>附件：</w:t>
      </w:r>
    </w:p>
    <w:p>
      <w:pPr>
        <w:spacing w:line="360" w:lineRule="auto"/>
        <w:ind w:left="-282" w:leftChars="-202" w:right="-483" w:rightChars="-230" w:hanging="142"/>
        <w:rPr>
          <w:rFonts w:hint="eastAsia" w:ascii="宋体" w:hAnsi="宋体"/>
          <w:b/>
          <w:sz w:val="32"/>
          <w:szCs w:val="28"/>
        </w:rPr>
      </w:pPr>
      <w:bookmarkStart w:id="0" w:name="_GoBack"/>
      <w:r>
        <w:rPr>
          <w:rFonts w:hint="eastAsia" w:ascii="仿宋_GB2312" w:hAnsi="仿宋_GB2312" w:eastAsia="仿宋_GB2312" w:cs="仿宋_GB2312"/>
          <w:b/>
          <w:sz w:val="36"/>
          <w:szCs w:val="32"/>
        </w:rPr>
        <w:t>娄底市中心医院2020年度院级科研课题拟立项</w:t>
      </w:r>
      <w:r>
        <w:rPr>
          <w:rFonts w:hint="eastAsia" w:ascii="仿宋_GB2312" w:hAnsi="仿宋_GB2312" w:eastAsia="仿宋_GB2312" w:cs="仿宋_GB2312"/>
          <w:b/>
          <w:sz w:val="36"/>
          <w:szCs w:val="32"/>
        </w:rPr>
        <w:fldChar w:fldCharType="begin"/>
      </w:r>
      <w:r>
        <w:rPr>
          <w:rFonts w:hint="eastAsia" w:ascii="仿宋_GB2312" w:hAnsi="仿宋_GB2312" w:eastAsia="仿宋_GB2312" w:cs="仿宋_GB2312"/>
          <w:b/>
          <w:sz w:val="36"/>
          <w:szCs w:val="32"/>
        </w:rPr>
        <w:instrText xml:space="preserve"> HYPERLINK "http://kjt.hunan.gov.cn/kjt/xxgk/tzgg/tzgg_1/202002/11181586/files/b89334f95d36401aaf60a4dc795128b7.doc" \t "http://kjt.hunan.gov.cn/kjt/xxgk/tzgg/tzgg_1/202002/_blank" </w:instrText>
      </w:r>
      <w:r>
        <w:rPr>
          <w:rFonts w:hint="eastAsia" w:ascii="仿宋_GB2312" w:hAnsi="仿宋_GB2312" w:eastAsia="仿宋_GB2312" w:cs="仿宋_GB2312"/>
          <w:b/>
          <w:sz w:val="36"/>
          <w:szCs w:val="32"/>
        </w:rPr>
        <w:fldChar w:fldCharType="separate"/>
      </w:r>
      <w:r>
        <w:rPr>
          <w:rFonts w:hint="eastAsia" w:ascii="仿宋_GB2312" w:hAnsi="仿宋_GB2312" w:eastAsia="仿宋_GB2312" w:cs="仿宋_GB2312"/>
          <w:b/>
          <w:sz w:val="36"/>
          <w:szCs w:val="32"/>
        </w:rPr>
        <w:t>项目名单</w:t>
      </w:r>
      <w:r>
        <w:rPr>
          <w:rFonts w:hint="eastAsia" w:ascii="仿宋_GB2312" w:hAnsi="仿宋_GB2312" w:eastAsia="仿宋_GB2312" w:cs="仿宋_GB2312"/>
          <w:b/>
          <w:sz w:val="36"/>
          <w:szCs w:val="32"/>
        </w:rPr>
        <w:fldChar w:fldCharType="end"/>
      </w:r>
    </w:p>
    <w:bookmarkEnd w:id="0"/>
    <w:tbl>
      <w:tblPr>
        <w:tblStyle w:val="2"/>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372"/>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4"/>
              </w:rPr>
            </w:pPr>
            <w:r>
              <w:rPr>
                <w:rFonts w:hint="eastAsia" w:ascii="宋体" w:hAnsi="宋体"/>
                <w:sz w:val="24"/>
              </w:rPr>
              <w:t>序号</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4"/>
              </w:rPr>
            </w:pPr>
            <w:r>
              <w:rPr>
                <w:rFonts w:hint="eastAsia" w:ascii="宋体" w:hAnsi="宋体"/>
                <w:sz w:val="24"/>
              </w:rPr>
              <w:t>项目名称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4"/>
              </w:rPr>
            </w:pPr>
            <w:r>
              <w:rPr>
                <w:rFonts w:hint="eastAsia" w:ascii="宋体" w:hAnsi="宋体"/>
                <w:sz w:val="24"/>
              </w:rPr>
              <w:t>负责人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4"/>
              </w:rPr>
            </w:pPr>
            <w:r>
              <w:rPr>
                <w:rFonts w:hint="eastAsia" w:ascii="宋体" w:hAnsi="宋体"/>
                <w:sz w:val="24"/>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1</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不同剂量达比加群与华法林在非瓣膜性房颤合并ACS患者PCI术后抗栓治疗的安全性及有效性比较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王裕勤</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2</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不同时间使用来曲唑对II型排卵障碍患者促排效果的研究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汤  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3</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早期乳腺区段切除术治疗非哺乳期乳腺炎的疗效研究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叶春华</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4</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降调节后人工周期准备内膜对冻融胚胎移植患者的治疗结局影响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彭  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5</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超声在新生儿呼吸窘迫综合症诊断及治疗中的应用研究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伍琴琴</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6</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宫颈癌甲基化早筛临床研究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邱  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7</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精准食疗指导对超重与肥胖2型糖尿病的疗效观察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袁三云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8</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TG、TSH、psTG和psTG/TSH在分化型甲状腺癌术后131I治疗效果监测和预测的临床价值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郭  琳</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9</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小儿一洗安治疗儿童急性上呼吸道感染发热的退热疗效观察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石梅兰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10</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经皮内固定间接减压治疗伴神经损伤的胸腰椎爆裂性骨折</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易仁丰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11</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盐酸安罗替尼联合培美曲塞+顺铂一线治疗非鳞非小细胞肺癌的单中心探索性临床研究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陈尚忠</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12</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加速康复外科在甲状腺手术中的应用研究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谌新兴</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color w:val="000000"/>
                <w:sz w:val="24"/>
              </w:rPr>
            </w:pPr>
            <w:r>
              <w:rPr>
                <w:rFonts w:hint="eastAsia" w:ascii="仿宋" w:hAnsi="仿宋" w:eastAsia="仿宋" w:cs="Tahoma"/>
                <w:color w:val="000000"/>
                <w:sz w:val="24"/>
              </w:rPr>
              <w:t>13</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miR-7靶向EGFR对鼻咽CNE1细胞增殖和迁移侵袭的影响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陈洁海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14</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体外冲击波治疗纤维肌痛综合症的有效性及安全性研究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肖子振</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15</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比较两种抗VEGF药物治疗湿性AMD后黄斑区结构和功能的改变</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胡淑芳</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16</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基于风险矩阵法对我院2014-2019年中药注射剂不良反应的风险再评价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罗忠勇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17</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去氨加压素治疗原发性遗尿症的有效性、安全性研究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周慧明</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18</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弹簧圈栓塞治疗动脉瘤性蛛网膜下腔出血围手术期并发症探讨及危险因素分析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胡新星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19</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荧光定量PCR和免疫层析法用于新型冠状病毒肺炎诊断的对比研究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陈 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20</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动态观察血外周淋巴细胞计数对新型冠状病毒感染患者的疗效及预后评价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颜梅生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21</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Ilizarov胫骨横向骨搬运术治疗糖尿病足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蒋  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22</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改良型中等长度导管在输注高渗药物的应用研究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肖  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23</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color w:val="000000"/>
                <w:sz w:val="24"/>
              </w:rPr>
            </w:pPr>
            <w:r>
              <w:rPr>
                <w:rFonts w:hint="eastAsia" w:ascii="仿宋" w:hAnsi="仿宋" w:eastAsia="仿宋" w:cs="Tahoma"/>
                <w:color w:val="000000"/>
                <w:sz w:val="24"/>
              </w:rPr>
              <w:t>沙库巴曲缬沙坦对冠心病合并HFrEF患者的早期临床疗效评估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袁思琴</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24</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鼻内镜下低温等离子翼管神经切断术治疗变应性鼻炎的疗效评估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肖志超</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25</w:t>
            </w:r>
          </w:p>
        </w:tc>
        <w:tc>
          <w:tcPr>
            <w:tcW w:w="73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ahoma"/>
                <w:sz w:val="24"/>
              </w:rPr>
            </w:pPr>
            <w:r>
              <w:rPr>
                <w:rFonts w:hint="eastAsia" w:ascii="仿宋" w:hAnsi="仿宋" w:eastAsia="仿宋" w:cs="Tahoma"/>
                <w:sz w:val="24"/>
              </w:rPr>
              <w:t>娄底市儿童青少年骨龄与BMI相关性的分析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ahoma"/>
                <w:sz w:val="24"/>
              </w:rPr>
            </w:pPr>
            <w:r>
              <w:rPr>
                <w:rFonts w:hint="eastAsia" w:ascii="仿宋" w:hAnsi="仿宋" w:eastAsia="仿宋" w:cs="Tahoma"/>
                <w:sz w:val="24"/>
              </w:rPr>
              <w:t>刘冰雪</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 w:hAnsi="仿宋" w:eastAsia="仿宋"/>
                <w:sz w:val="24"/>
              </w:rPr>
            </w:pPr>
            <w:r>
              <w:rPr>
                <w:rFonts w:hint="eastAsia" w:ascii="仿宋" w:hAnsi="仿宋" w:eastAsia="仿宋"/>
                <w:sz w:val="24"/>
              </w:rPr>
              <w:t>青年项目</w:t>
            </w:r>
          </w:p>
        </w:tc>
      </w:tr>
    </w:tbl>
    <w:p/>
    <w:p/>
    <w:sectPr>
      <w:pgSz w:w="11906" w:h="16838"/>
      <w:pgMar w:top="1134" w:right="1418" w:bottom="90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1B7B"/>
    <w:rsid w:val="0B2E1B7B"/>
    <w:rsid w:val="2B4D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2020-04-29T04:03:00Z</dcterms:created>
  <dc:creator>sisi</dc:creator>
  <cp:lastModifiedBy>sisi</cp:lastModifiedBy>
  <dcterms:modified xsi:type="dcterms:W3CDTF">2020-04-29T04:03:37Z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