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2"/>
        <w:keepNext w:val="false"/>
        <w:keepLines w:val="false"/>
        <w:widowControl/>
        <w:suppressLineNumbers w:val="false"/>
        <w:pBdr>
          <w:left w:val="none" w:sz="0" w:space="0" w:color="auto"/>
          <w:right w:val="none" w:sz="0" w:space="0" w:color="auto"/>
          <w:top w:val="none" w:sz="0" w:space="0" w:color="auto"/>
          <w:bottom w:val="none" w:sz="0" w:space="0" w:color="auto"/>
        </w:pBdr>
        <w:spacing w:before="450" w:beforeAutospacing="false" w:after="300" w:afterAutospacing="false" w:lineRule="atLeast" w:line="540"/>
        <w:ind w:left="0" w:right="0"/>
        <w:jc w:val="center"/>
        <w:textAlignment w:val="baseline"/>
        <w:rPr>
          <w:rFonts w:ascii="微软雅黑" w:cs="微软雅黑" w:eastAsia="微软雅黑" w:hAnsi="微软雅黑" w:hint="eastAsia"/>
          <w:b/>
          <w:bCs/>
          <w:i w:val="false"/>
          <w:iCs w:val="false"/>
          <w:caps w:val="false"/>
          <w:color w:val="383838"/>
          <w:spacing w:val="0"/>
          <w:kern w:val="0"/>
          <w:sz w:val="36"/>
          <w:szCs w:val="36"/>
          <w:shd w:val="clear" w:color="auto" w:fill="ffffff"/>
          <w:vertAlign w:val="baseline"/>
          <w:lang w:val="en-US" w:eastAsia="zh-CN"/>
        </w:rPr>
      </w:pPr>
      <w:bookmarkStart w:id="0" w:name="_GoBack"/>
      <w:r>
        <w:rPr>
          <w:rFonts w:ascii="微软雅黑" w:cs="微软雅黑" w:eastAsia="微软雅黑" w:hAnsi="微软雅黑" w:hint="eastAsia"/>
          <w:b/>
          <w:bCs/>
          <w:i w:val="false"/>
          <w:iCs w:val="false"/>
          <w:caps w:val="false"/>
          <w:color w:val="383838"/>
          <w:spacing w:val="0"/>
          <w:kern w:val="0"/>
          <w:sz w:val="36"/>
          <w:szCs w:val="36"/>
          <w:shd w:val="clear" w:color="auto" w:fill="ffffff"/>
          <w:vertAlign w:val="baseline"/>
          <w:lang w:val="en-US" w:eastAsia="zh-CN"/>
        </w:rPr>
        <w:t>娄底市中心医院移动方舱实验室紧急采购公告</w:t>
      </w:r>
      <w:bookmarkEnd w:id="0"/>
    </w:p>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pacing w:before="75" w:beforeAutospacing="false" w:after="330" w:afterAutospacing="false" w:lineRule="atLeast" w:line="480"/>
        <w:ind w:right="226"/>
        <w:jc w:val="left"/>
        <w:textAlignment w:val="baseline"/>
        <w:rPr>
          <w:rFonts w:ascii="微软雅黑" w:cs="微软雅黑" w:eastAsia="微软雅黑" w:hAnsi="微软雅黑" w:hint="eastAsia"/>
          <w:i w:val="false"/>
          <w:iCs w:val="false"/>
          <w:caps w:val="false"/>
          <w:color w:val="383838"/>
          <w:spacing w:val="0"/>
          <w:kern w:val="0"/>
          <w:sz w:val="24"/>
          <w:szCs w:val="24"/>
          <w:shd w:val="clear" w:color="auto" w:fill="ffffff"/>
          <w:vertAlign w:val="baseline"/>
          <w:lang w:val="en-US" w:eastAsia="zh-CN"/>
        </w:rPr>
      </w:pPr>
    </w:p>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pacing w:before="75" w:beforeAutospacing="false" w:after="330" w:afterAutospacing="false" w:lineRule="atLeast" w:line="480"/>
        <w:ind w:right="226" w:firstLine="480" w:firstLineChars="200"/>
        <w:jc w:val="left"/>
        <w:textAlignment w:val="baseline"/>
        <w:rPr>
          <w:rFonts w:ascii="微软雅黑" w:cs="微软雅黑" w:eastAsia="微软雅黑" w:hAnsi="微软雅黑" w:hint="eastAsia"/>
          <w:i w:val="false"/>
          <w:iCs w:val="false"/>
          <w:caps w:val="false"/>
          <w:color w:val="383838"/>
          <w:spacing w:val="0"/>
          <w:kern w:val="0"/>
          <w:sz w:val="24"/>
          <w:szCs w:val="24"/>
          <w:shd w:val="clear" w:color="auto" w:fill="ffffff"/>
          <w:vertAlign w:val="baseline"/>
          <w:lang w:val="en-US" w:eastAsia="zh-CN"/>
        </w:rPr>
      </w:pPr>
      <w:r>
        <w:rPr>
          <w:rFonts w:ascii="微软雅黑" w:cs="微软雅黑" w:eastAsia="微软雅黑" w:hAnsi="微软雅黑" w:hint="eastAsia"/>
          <w:i w:val="false"/>
          <w:iCs w:val="false"/>
          <w:caps w:val="false"/>
          <w:color w:val="383838"/>
          <w:spacing w:val="0"/>
          <w:kern w:val="0"/>
          <w:sz w:val="24"/>
          <w:szCs w:val="24"/>
          <w:shd w:val="clear" w:color="auto" w:fill="ffffff"/>
          <w:vertAlign w:val="baseline"/>
          <w:lang w:val="en-US" w:eastAsia="zh-CN"/>
        </w:rPr>
        <w:t>为全力做好我市新冠疫情防控保障工作,根据娄底市卫健委《关于加快完成2台移动方舱实验室购置的请示》及娄底市新型冠状病毒感染的肺炎疫情防控工作指挥部批示，为短时间提升我市核酸检测能力，经医院党委会研究，拟紧急采购日检测1万管的移动方舱PCR实验室2台。现公示如下:</w:t>
      </w:r>
    </w:p>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pacing w:before="75" w:beforeAutospacing="false" w:after="330" w:afterAutospacing="false" w:lineRule="atLeast" w:line="480"/>
        <w:ind w:right="226" w:firstLine="640" w:firstLineChars="200"/>
        <w:jc w:val="left"/>
        <w:textAlignment w:val="baseline"/>
        <w:rPr>
          <w:rFonts w:ascii="微软雅黑" w:cs="微软雅黑" w:eastAsia="微软雅黑" w:hAnsi="微软雅黑" w:hint="default"/>
          <w:b/>
          <w:bCs/>
          <w:i w:val="false"/>
          <w:iCs w:val="false"/>
          <w:caps w:val="false"/>
          <w:color w:val="383838"/>
          <w:spacing w:val="0"/>
          <w:kern w:val="0"/>
          <w:sz w:val="32"/>
          <w:szCs w:val="32"/>
          <w:shd w:val="clear" w:color="auto" w:fill="ffffff"/>
          <w:vertAlign w:val="baseline"/>
          <w:lang w:val="en-US" w:eastAsia="zh-CN"/>
        </w:rPr>
      </w:pPr>
      <w:r>
        <w:rPr>
          <w:rFonts w:ascii="微软雅黑" w:cs="微软雅黑" w:eastAsia="微软雅黑" w:hAnsi="微软雅黑" w:hint="eastAsia"/>
          <w:b/>
          <w:bCs/>
          <w:i w:val="false"/>
          <w:iCs w:val="false"/>
          <w:caps w:val="false"/>
          <w:color w:val="383838"/>
          <w:spacing w:val="0"/>
          <w:kern w:val="0"/>
          <w:sz w:val="32"/>
          <w:szCs w:val="32"/>
          <w:shd w:val="clear" w:color="auto" w:fill="ffffff"/>
          <w:vertAlign w:val="baseline"/>
          <w:lang w:val="en-US" w:eastAsia="zh-CN"/>
        </w:rPr>
        <w:t>一、方舱实验室配置清单、要求及预算：</w:t>
      </w:r>
    </w:p>
    <w:tbl>
      <w:tblPr>
        <w:tblStyle w:val="style105"/>
        <w:tblW w:w="9753" w:type="dxa"/>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530"/>
        <w:gridCol w:w="3168"/>
        <w:gridCol w:w="2700"/>
        <w:gridCol w:w="1275"/>
        <w:gridCol w:w="1080"/>
      </w:tblGrid>
      <w:tr>
        <w:trPr>
          <w:trHeight w:val="270" w:hRule="atLeast"/>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1"/>
                <w:szCs w:val="21"/>
                <w:u w:val="none"/>
              </w:rPr>
            </w:pPr>
            <w:r>
              <w:rPr>
                <w:rFonts w:ascii="宋体" w:cs="宋体" w:eastAsia="宋体" w:hAnsi="宋体" w:hint="eastAsia"/>
                <w:b/>
                <w:bCs/>
                <w:i w:val="false"/>
                <w:iCs w:val="false"/>
                <w:color w:val="000000"/>
                <w:kern w:val="0"/>
                <w:sz w:val="21"/>
                <w:szCs w:val="21"/>
                <w:u w:val="none"/>
                <w:lang w:val="en-US" w:eastAsia="zh-CN"/>
              </w:rPr>
              <w:t>区域划分</w:t>
            </w: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1"/>
                <w:szCs w:val="21"/>
                <w:u w:val="none"/>
              </w:rPr>
            </w:pPr>
            <w:r>
              <w:rPr>
                <w:rFonts w:ascii="宋体" w:cs="宋体" w:eastAsia="宋体" w:hAnsi="宋体" w:hint="eastAsia"/>
                <w:b/>
                <w:bCs/>
                <w:i w:val="false"/>
                <w:iCs w:val="false"/>
                <w:color w:val="000000"/>
                <w:kern w:val="0"/>
                <w:sz w:val="21"/>
                <w:szCs w:val="21"/>
                <w:u w:val="none"/>
                <w:lang w:val="en-US" w:eastAsia="zh-CN"/>
              </w:rPr>
              <w:t>设备名称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b/>
                <w:bCs/>
                <w:i w:val="false"/>
                <w:iCs w:val="false"/>
                <w:color w:val="000000"/>
                <w:sz w:val="21"/>
                <w:szCs w:val="21"/>
                <w:u w:val="none"/>
                <w:lang w:val="en-US"/>
              </w:rPr>
            </w:pPr>
            <w:r>
              <w:rPr>
                <w:rFonts w:ascii="宋体" w:cs="宋体" w:eastAsia="宋体" w:hAnsi="宋体" w:hint="eastAsia"/>
                <w:b/>
                <w:bCs/>
                <w:i w:val="false"/>
                <w:iCs w:val="false"/>
                <w:color w:val="000000"/>
                <w:kern w:val="0"/>
                <w:sz w:val="21"/>
                <w:szCs w:val="21"/>
                <w:u w:val="none"/>
                <w:lang w:val="en-US" w:eastAsia="zh-CN"/>
              </w:rPr>
              <w:t>技术要求</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1"/>
                <w:szCs w:val="21"/>
                <w:u w:val="none"/>
              </w:rPr>
            </w:pPr>
            <w:r>
              <w:rPr>
                <w:rFonts w:ascii="宋体" w:cs="宋体" w:eastAsia="宋体" w:hAnsi="宋体" w:hint="eastAsia"/>
                <w:b/>
                <w:bCs/>
                <w:i w:val="false"/>
                <w:iCs w:val="false"/>
                <w:color w:val="000000"/>
                <w:kern w:val="0"/>
                <w:sz w:val="21"/>
                <w:szCs w:val="21"/>
                <w:u w:val="none"/>
                <w:lang w:val="en-US" w:eastAsia="zh-CN"/>
              </w:rPr>
              <w:t>数量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1"/>
                <w:szCs w:val="21"/>
                <w:u w:val="none"/>
              </w:rPr>
            </w:pPr>
            <w:r>
              <w:rPr>
                <w:rFonts w:ascii="宋体" w:cs="宋体" w:eastAsia="宋体" w:hAnsi="宋体" w:hint="eastAsia"/>
                <w:b/>
                <w:bCs/>
                <w:i w:val="false"/>
                <w:iCs w:val="false"/>
                <w:color w:val="000000"/>
                <w:kern w:val="0"/>
                <w:sz w:val="21"/>
                <w:szCs w:val="21"/>
                <w:u w:val="none"/>
                <w:lang w:val="en-US" w:eastAsia="zh-CN"/>
              </w:rPr>
              <w:t>单位</w:t>
            </w:r>
          </w:p>
        </w:tc>
      </w:tr>
      <w:tr>
        <w:tblPrEx/>
        <w:trPr>
          <w:trHeight w:val="270" w:hRule="atLeast"/>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2"/>
                <w:szCs w:val="22"/>
                <w:u w:val="none"/>
              </w:rPr>
            </w:pPr>
            <w:r>
              <w:rPr>
                <w:rFonts w:ascii="宋体" w:cs="宋体" w:eastAsia="宋体" w:hAnsi="宋体" w:hint="eastAsia"/>
                <w:b/>
                <w:bCs/>
                <w:i w:val="false"/>
                <w:iCs w:val="false"/>
                <w:color w:val="000000"/>
                <w:kern w:val="0"/>
                <w:sz w:val="22"/>
                <w:szCs w:val="22"/>
                <w:u w:val="none"/>
                <w:lang w:val="en-US" w:eastAsia="zh-CN"/>
              </w:rPr>
              <w:t>试剂准备间</w:t>
            </w: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超净工作台</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default"/>
                <w:i w:val="false"/>
                <w:iCs w:val="false"/>
                <w:color w:val="000000"/>
                <w:kern w:val="0"/>
                <w:sz w:val="21"/>
                <w:szCs w:val="21"/>
                <w:u w:val="none"/>
                <w:lang w:val="en-US" w:eastAsia="zh-CN"/>
              </w:rPr>
              <w:t>≥</w:t>
            </w:r>
            <w:r>
              <w:rPr>
                <w:rFonts w:ascii="宋体" w:cs="宋体" w:eastAsia="宋体" w:hAnsi="宋体" w:hint="eastAsia"/>
                <w:i w:val="false"/>
                <w:iCs w:val="false"/>
                <w:color w:val="000000"/>
                <w:kern w:val="0"/>
                <w:sz w:val="21"/>
                <w:szCs w:val="21"/>
                <w:u w:val="none"/>
                <w:lang w:val="en-US" w:eastAsia="zh-CN"/>
              </w:rPr>
              <w:t>1000mm</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85"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医用冷冻箱</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手动8道可调式移液器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5-50ul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100-1000ul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20-200ul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10-100ul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1-10ul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移液器支架</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可放置6把移液器</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个</w:t>
            </w:r>
          </w:p>
        </w:tc>
      </w:tr>
      <w:tr>
        <w:tblPrEx/>
        <w:trPr>
          <w:trHeight w:val="285"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漩涡混合器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9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手掌式离心机</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转速：7000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紫外线消毒车</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2"/>
                <w:szCs w:val="22"/>
                <w:u w:val="none"/>
              </w:rPr>
            </w:pPr>
            <w:r>
              <w:rPr>
                <w:rFonts w:ascii="宋体" w:cs="宋体" w:eastAsia="宋体" w:hAnsi="宋体" w:hint="eastAsia"/>
                <w:b/>
                <w:bCs/>
                <w:i w:val="false"/>
                <w:iCs w:val="false"/>
                <w:color w:val="000000"/>
                <w:kern w:val="0"/>
                <w:sz w:val="22"/>
                <w:szCs w:val="22"/>
                <w:u w:val="none"/>
                <w:lang w:val="en-US" w:eastAsia="zh-CN"/>
              </w:rPr>
              <w:t>样本制备区</w:t>
            </w: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生物安全柜</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A2双人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分液系统</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96孔</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85"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干热消毒箱</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9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医用离心机</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配套24*1.5ml角转子</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核酸提取仪</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85"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医用冷藏冰箱</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手掌式离心机</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85"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漩涡混合器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手动8道可调式移液器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5-50ul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支</w:t>
            </w:r>
          </w:p>
        </w:tc>
      </w:tr>
      <w:tr>
        <w:tblPrEx/>
        <w:trPr>
          <w:trHeight w:val="9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100-1000ul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20-200ul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10-100ul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移液器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1-10ul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1支</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紫外线消毒车</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2"/>
                <w:szCs w:val="22"/>
                <w:u w:val="none"/>
              </w:rPr>
            </w:pPr>
            <w:r>
              <w:rPr>
                <w:rFonts w:ascii="宋体" w:cs="宋体" w:eastAsia="宋体" w:hAnsi="宋体" w:hint="eastAsia"/>
                <w:b/>
                <w:bCs/>
                <w:i w:val="false"/>
                <w:iCs w:val="false"/>
                <w:color w:val="000000"/>
                <w:kern w:val="0"/>
                <w:sz w:val="22"/>
                <w:szCs w:val="22"/>
                <w:u w:val="none"/>
                <w:lang w:val="en-US" w:eastAsia="zh-CN"/>
              </w:rPr>
              <w:t>扩增及产物分析区</w:t>
            </w: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实时荧光定量PCR仪</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96通道</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紫外线消毒车</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笔记本电脑</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I3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355" w:hRule="atLeast"/>
        </w:trPr>
        <w:tc>
          <w:tcPr>
            <w:tcW w:w="1530" w:type="dxa"/>
            <w:vMerge w:val="continue"/>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宋体" w:cs="宋体" w:eastAsia="宋体" w:hAnsi="宋体" w:hint="eastAsia"/>
                <w:b/>
                <w:bCs/>
                <w:i w:val="false"/>
                <w:iCs w:val="false"/>
                <w:color w:val="000000"/>
                <w:sz w:val="22"/>
                <w:szCs w:val="22"/>
                <w:u w:val="none"/>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打印机</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黑白打印机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270" w:hRule="atLeast"/>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2"/>
                <w:szCs w:val="22"/>
                <w:u w:val="none"/>
              </w:rPr>
            </w:pPr>
            <w:r>
              <w:rPr>
                <w:rFonts w:ascii="宋体" w:cs="宋体" w:eastAsia="宋体" w:hAnsi="宋体" w:hint="eastAsia"/>
                <w:b/>
                <w:bCs/>
                <w:i w:val="false"/>
                <w:iCs w:val="false"/>
                <w:color w:val="000000"/>
                <w:kern w:val="0"/>
                <w:sz w:val="22"/>
                <w:szCs w:val="22"/>
                <w:u w:val="none"/>
                <w:lang w:val="en-US" w:eastAsia="zh-CN"/>
              </w:rPr>
              <w:t>洗消间</w:t>
            </w: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立式压力蒸汽灭菌器</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Arial" w:cs="Arial" w:eastAsia="宋体" w:hAnsi="Arial" w:hint="default"/>
                <w:i w:val="false"/>
                <w:iCs w:val="false"/>
                <w:color w:val="000000"/>
                <w:kern w:val="0"/>
                <w:sz w:val="21"/>
                <w:szCs w:val="21"/>
                <w:u w:val="none"/>
                <w:lang w:val="en-US" w:eastAsia="zh-CN"/>
              </w:rPr>
              <w:t>≥</w:t>
            </w:r>
            <w:r>
              <w:rPr>
                <w:rFonts w:ascii="宋体" w:cs="宋体" w:eastAsia="宋体" w:hAnsi="宋体" w:hint="eastAsia"/>
                <w:i w:val="false"/>
                <w:iCs w:val="false"/>
                <w:color w:val="000000"/>
                <w:kern w:val="0"/>
                <w:sz w:val="21"/>
                <w:szCs w:val="21"/>
                <w:u w:val="none"/>
                <w:lang w:val="en-US" w:eastAsia="zh-CN"/>
              </w:rPr>
              <w:t>75L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392" w:hRule="atLeast"/>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2"/>
                <w:szCs w:val="22"/>
                <w:u w:val="none"/>
              </w:rPr>
            </w:pPr>
            <w:r>
              <w:rPr>
                <w:rFonts w:ascii="宋体" w:cs="宋体" w:eastAsia="宋体" w:hAnsi="宋体" w:hint="eastAsia"/>
                <w:b/>
                <w:bCs/>
                <w:i w:val="false"/>
                <w:iCs w:val="false"/>
                <w:color w:val="000000"/>
                <w:kern w:val="0"/>
                <w:sz w:val="22"/>
                <w:szCs w:val="22"/>
                <w:u w:val="none"/>
                <w:lang w:val="en-US" w:eastAsia="zh-CN"/>
              </w:rPr>
              <w:t>舱体</w:t>
            </w: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核酸检测方舱</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kern w:val="0"/>
                <w:sz w:val="21"/>
                <w:szCs w:val="21"/>
                <w:u w:val="none"/>
                <w:lang w:val="en-US" w:eastAsia="zh-CN"/>
              </w:rPr>
            </w:pPr>
            <w:r>
              <w:rPr>
                <w:rFonts w:ascii="宋体" w:cs="宋体" w:eastAsia="宋体" w:hAnsi="宋体" w:hint="eastAsia"/>
                <w:i w:val="false"/>
                <w:iCs w:val="false"/>
                <w:color w:val="000000"/>
                <w:kern w:val="0"/>
                <w:sz w:val="21"/>
                <w:szCs w:val="21"/>
                <w:u w:val="none"/>
                <w:lang w:val="en-US" w:eastAsia="zh-CN"/>
              </w:rPr>
              <w:t>17.5M单体方舱</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00"/>
                <w:sz w:val="21"/>
                <w:szCs w:val="21"/>
                <w:u w:val="none"/>
              </w:rPr>
            </w:pPr>
            <w:r>
              <w:rPr>
                <w:rFonts w:ascii="宋体" w:cs="宋体" w:eastAsia="宋体" w:hAnsi="宋体" w:hint="eastAsia"/>
                <w:i w:val="false"/>
                <w:iCs w:val="false"/>
                <w:color w:val="000000"/>
                <w:kern w:val="0"/>
                <w:sz w:val="21"/>
                <w:szCs w:val="21"/>
                <w:u w:val="none"/>
                <w:lang w:val="en-US" w:eastAsia="zh-CN"/>
              </w:rPr>
              <w:t>台</w:t>
            </w:r>
          </w:p>
        </w:tc>
      </w:tr>
      <w:tr>
        <w:tblPrEx/>
        <w:trPr>
          <w:trHeight w:val="732" w:hRule="atLeast"/>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iCs w:val="false"/>
                <w:color w:val="000000"/>
                <w:sz w:val="22"/>
                <w:szCs w:val="22"/>
                <w:u w:val="none"/>
              </w:rPr>
            </w:pPr>
            <w:r>
              <w:rPr>
                <w:rFonts w:ascii="宋体" w:cs="宋体" w:eastAsia="宋体" w:hAnsi="宋体" w:hint="eastAsia"/>
                <w:b/>
                <w:bCs/>
                <w:i w:val="false"/>
                <w:iCs w:val="false"/>
                <w:color w:val="000000"/>
                <w:kern w:val="0"/>
                <w:sz w:val="22"/>
                <w:szCs w:val="22"/>
                <w:u w:val="none"/>
                <w:lang w:val="en-US" w:eastAsia="zh-CN"/>
              </w:rPr>
              <w:t>总计</w:t>
            </w:r>
          </w:p>
        </w:tc>
        <w:tc>
          <w:tcPr>
            <w:tcW w:w="822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75" w:beforeAutospacing="false" w:after="330" w:afterAutospacing="false" w:lineRule="atLeast" w:line="480"/>
              <w:ind w:right="226" w:rightChars="0"/>
              <w:jc w:val="center"/>
              <w:textAlignment w:val="baseline"/>
              <w:rPr>
                <w:rFonts w:ascii="宋体" w:cs="宋体" w:eastAsia="宋体" w:hAnsi="宋体" w:hint="eastAsia"/>
                <w:i w:val="false"/>
                <w:iCs w:val="false"/>
                <w:color w:val="000000"/>
                <w:sz w:val="21"/>
                <w:szCs w:val="21"/>
                <w:u w:val="none"/>
              </w:rPr>
            </w:pPr>
            <w:r>
              <w:rPr>
                <w:rFonts w:ascii="宋体" w:cs="宋体" w:eastAsia="宋体" w:hAnsi="宋体" w:hint="eastAsia"/>
                <w:b/>
                <w:bCs/>
                <w:i w:val="false"/>
                <w:iCs w:val="false"/>
                <w:color w:val="000000"/>
                <w:kern w:val="0"/>
                <w:sz w:val="21"/>
                <w:szCs w:val="21"/>
                <w:u w:val="none"/>
                <w:lang w:val="en-US" w:eastAsia="zh-CN"/>
              </w:rPr>
              <w:t>300万元/台，2台，总计600万元。</w:t>
            </w:r>
          </w:p>
        </w:tc>
      </w:tr>
      <w:bookmarkStart w:id="1" w:name="13.99米方舱配置清单及参数"/>
      <w:bookmarkEnd w:id="1"/>
    </w:tbl>
    <w:p>
      <w:pPr>
        <w:pStyle w:val="style66"/>
        <w:spacing w:before="7"/>
        <w:ind w:left="0"/>
        <w:rPr>
          <w:rFonts w:ascii="微软雅黑"/>
          <w:b/>
        </w:rPr>
      </w:pPr>
    </w:p>
    <w:p>
      <w:pPr>
        <w:pStyle w:val="style0"/>
        <w:rPr>
          <w:rFonts w:ascii="微软雅黑" w:eastAsia="微软雅黑" w:hint="eastAsia"/>
          <w:b/>
          <w:sz w:val="32"/>
          <w:szCs w:val="32"/>
          <w:lang w:eastAsia="zh-CN"/>
        </w:rPr>
      </w:pPr>
      <w:r>
        <w:rPr>
          <w:rFonts w:ascii="微软雅黑" w:eastAsia="微软雅黑" w:hint="eastAsia"/>
          <w:b/>
          <w:sz w:val="32"/>
          <w:szCs w:val="32"/>
          <w:lang w:val="en-US" w:eastAsia="zh-CN"/>
        </w:rPr>
        <w:t>方舱实验室</w:t>
      </w:r>
      <w:r>
        <w:rPr>
          <w:rFonts w:ascii="微软雅黑" w:eastAsia="微软雅黑" w:hint="eastAsia"/>
          <w:b/>
          <w:sz w:val="32"/>
          <w:szCs w:val="32"/>
        </w:rPr>
        <w:t>标准配置</w:t>
      </w:r>
      <w:r>
        <w:rPr>
          <w:rFonts w:ascii="微软雅黑" w:eastAsia="微软雅黑" w:hint="eastAsia"/>
          <w:b/>
          <w:sz w:val="32"/>
          <w:szCs w:val="32"/>
          <w:lang w:val="en-US" w:eastAsia="zh-CN"/>
        </w:rPr>
        <w:t>要求</w:t>
      </w:r>
    </w:p>
    <w:p>
      <w:pPr>
        <w:pStyle w:val="style2"/>
        <w:spacing w:before="193"/>
        <w:rPr>
          <w:rFonts w:ascii="微软雅黑" w:cs="宋体" w:eastAsia="微软雅黑" w:hAnsi="Calibri" w:hint="eastAsia"/>
          <w:b/>
          <w:bCs w:val="false"/>
          <w:kern w:val="2"/>
          <w:sz w:val="24"/>
          <w:szCs w:val="24"/>
          <w:lang w:val="en-US" w:bidi="ar-SA" w:eastAsia="zh-CN"/>
        </w:rPr>
      </w:pPr>
      <w:r>
        <w:rPr>
          <w:rFonts w:ascii="微软雅黑" w:cs="宋体" w:eastAsia="微软雅黑" w:hAnsi="Calibri" w:hint="eastAsia"/>
          <w:b/>
          <w:bCs w:val="false"/>
          <w:kern w:val="2"/>
          <w:sz w:val="24"/>
          <w:szCs w:val="24"/>
          <w:lang w:val="en-US" w:bidi="ar-SA" w:eastAsia="zh-CN"/>
        </w:rPr>
        <w:t>实验室整体设计及仪器配置必须符合我国加强型医学生物安全二级实验室相关标准技术要求。</w:t>
      </w:r>
    </w:p>
    <w:p>
      <w:pPr>
        <w:pStyle w:val="style179"/>
        <w:numPr>
          <w:ilvl w:val="0"/>
          <w:numId w:val="0"/>
        </w:numPr>
        <w:tabs>
          <w:tab w:val="left" w:leader="none" w:pos="1241"/>
        </w:tabs>
        <w:spacing w:before="160" w:lineRule="auto" w:line="362"/>
        <w:ind w:right="520" w:rightChars="0"/>
        <w:rPr>
          <w:sz w:val="24"/>
        </w:rPr>
      </w:pPr>
      <w:r>
        <w:rPr>
          <w:rFonts w:hint="eastAsia"/>
          <w:sz w:val="24"/>
          <w:lang w:val="en-US" w:eastAsia="zh-CN"/>
        </w:rPr>
        <w:t>1、按</w:t>
      </w:r>
      <w:r>
        <w:rPr>
          <w:sz w:val="24"/>
        </w:rPr>
        <w:t>《实验室生物安全通用要求》（GB</w:t>
      </w:r>
      <w:r>
        <w:rPr>
          <w:spacing w:val="16"/>
          <w:sz w:val="24"/>
        </w:rPr>
        <w:t xml:space="preserve"> </w:t>
      </w:r>
      <w:r>
        <w:rPr>
          <w:sz w:val="24"/>
        </w:rPr>
        <w:t>19489-2008）</w:t>
      </w:r>
      <w:r>
        <w:rPr>
          <w:spacing w:val="-2"/>
          <w:sz w:val="24"/>
        </w:rPr>
        <w:t>加强型生物安全二</w:t>
      </w:r>
      <w:r>
        <w:rPr>
          <w:sz w:val="24"/>
        </w:rPr>
        <w:t>级实验室相关技术要求；</w:t>
      </w:r>
    </w:p>
    <w:p>
      <w:pPr>
        <w:pStyle w:val="style179"/>
        <w:numPr>
          <w:ilvl w:val="0"/>
          <w:numId w:val="0"/>
        </w:numPr>
        <w:tabs>
          <w:tab w:val="left" w:leader="none" w:pos="1241"/>
        </w:tabs>
        <w:spacing w:before="3" w:lineRule="auto" w:line="364"/>
        <w:ind w:right="517" w:rightChars="0"/>
        <w:rPr>
          <w:sz w:val="24"/>
        </w:rPr>
      </w:pPr>
      <w:r>
        <w:rPr>
          <w:rFonts w:hint="eastAsia"/>
          <w:spacing w:val="-5"/>
          <w:sz w:val="24"/>
          <w:lang w:val="en-US" w:eastAsia="zh-CN"/>
        </w:rPr>
        <w:t>2、</w:t>
      </w:r>
      <w:r>
        <w:rPr>
          <w:rFonts w:hint="eastAsia"/>
          <w:sz w:val="24"/>
          <w:lang w:val="en-US" w:eastAsia="zh-CN"/>
        </w:rPr>
        <w:t>按</w:t>
      </w:r>
      <w:r>
        <w:rPr>
          <w:spacing w:val="-5"/>
          <w:sz w:val="24"/>
        </w:rPr>
        <w:t>《移动式实验室生物安全要求》</w:t>
      </w:r>
      <w:r>
        <w:rPr>
          <w:sz w:val="24"/>
        </w:rPr>
        <w:t>（GB</w:t>
      </w:r>
      <w:r>
        <w:rPr>
          <w:spacing w:val="-63"/>
          <w:sz w:val="24"/>
        </w:rPr>
        <w:t xml:space="preserve"> </w:t>
      </w:r>
      <w:r>
        <w:rPr>
          <w:sz w:val="24"/>
        </w:rPr>
        <w:t>27421-2015）</w:t>
      </w:r>
      <w:r>
        <w:rPr>
          <w:spacing w:val="-3"/>
          <w:sz w:val="24"/>
        </w:rPr>
        <w:t>中移动生物安全</w:t>
      </w:r>
      <w:r>
        <w:rPr>
          <w:sz w:val="24"/>
        </w:rPr>
        <w:t>二级实验室技术要求；</w:t>
      </w:r>
    </w:p>
    <w:p>
      <w:pPr>
        <w:pStyle w:val="style179"/>
        <w:numPr>
          <w:ilvl w:val="0"/>
          <w:numId w:val="0"/>
        </w:numPr>
        <w:tabs>
          <w:tab w:val="left" w:leader="none" w:pos="1241"/>
        </w:tabs>
        <w:spacing w:before="0" w:lineRule="exact" w:line="306"/>
        <w:rPr>
          <w:sz w:val="24"/>
        </w:rPr>
      </w:pPr>
      <w:r>
        <w:rPr>
          <w:rFonts w:hint="eastAsia"/>
          <w:spacing w:val="-4"/>
          <w:sz w:val="24"/>
          <w:lang w:val="en-US" w:eastAsia="zh-CN"/>
        </w:rPr>
        <w:t>3、</w:t>
      </w:r>
      <w:r>
        <w:rPr>
          <w:rFonts w:hint="eastAsia"/>
          <w:sz w:val="24"/>
          <w:lang w:val="en-US" w:eastAsia="zh-CN"/>
        </w:rPr>
        <w:t>按</w:t>
      </w:r>
      <w:r>
        <w:rPr>
          <w:spacing w:val="-4"/>
          <w:sz w:val="24"/>
        </w:rPr>
        <w:t>《生物安全实验室建筑技术规范》</w:t>
      </w:r>
      <w:r>
        <w:rPr>
          <w:sz w:val="24"/>
        </w:rPr>
        <w:t>（GB</w:t>
      </w:r>
      <w:r>
        <w:rPr>
          <w:spacing w:val="-62"/>
          <w:sz w:val="24"/>
        </w:rPr>
        <w:t xml:space="preserve"> </w:t>
      </w:r>
      <w:r>
        <w:rPr>
          <w:sz w:val="24"/>
        </w:rPr>
        <w:t>50346-2011）相关技术要求；</w:t>
      </w:r>
    </w:p>
    <w:p>
      <w:pPr>
        <w:pStyle w:val="style179"/>
        <w:numPr>
          <w:ilvl w:val="0"/>
          <w:numId w:val="0"/>
        </w:numPr>
        <w:tabs>
          <w:tab w:val="left" w:leader="none" w:pos="1241"/>
        </w:tabs>
        <w:spacing w:before="160" w:lineRule="auto" w:line="364"/>
        <w:ind w:right="521" w:rightChars="0"/>
        <w:rPr>
          <w:sz w:val="24"/>
        </w:rPr>
      </w:pPr>
      <w:r>
        <w:rPr>
          <w:rFonts w:hint="eastAsia"/>
          <w:sz w:val="24"/>
          <w:lang w:val="en-US" w:eastAsia="zh-CN"/>
        </w:rPr>
        <w:t>4、按</w:t>
      </w:r>
      <w:r>
        <w:rPr>
          <w:sz w:val="24"/>
        </w:rPr>
        <w:t>《医学生物安全二级实验室建筑技术标准》（T/CECS</w:t>
      </w:r>
      <w:r>
        <w:rPr>
          <w:spacing w:val="16"/>
          <w:sz w:val="24"/>
        </w:rPr>
        <w:t xml:space="preserve"> </w:t>
      </w:r>
      <w:r>
        <w:rPr>
          <w:sz w:val="24"/>
        </w:rPr>
        <w:t>662-2020）</w:t>
      </w:r>
      <w:r>
        <w:rPr>
          <w:spacing w:val="-15"/>
          <w:sz w:val="24"/>
        </w:rPr>
        <w:t>相</w:t>
      </w:r>
      <w:r>
        <w:rPr>
          <w:sz w:val="24"/>
        </w:rPr>
        <w:t>关技术要求。</w:t>
      </w:r>
    </w:p>
    <w:p>
      <w:pPr>
        <w:pStyle w:val="style179"/>
        <w:numPr>
          <w:ilvl w:val="0"/>
          <w:numId w:val="0"/>
        </w:numPr>
        <w:tabs>
          <w:tab w:val="left" w:leader="none" w:pos="1241"/>
        </w:tabs>
        <w:spacing w:before="0" w:lineRule="auto" w:line="364"/>
        <w:ind w:right="517" w:rightChars="0"/>
        <w:rPr>
          <w:rFonts w:ascii="微软雅黑" w:cs="宋体" w:eastAsia="微软雅黑" w:hAnsi="Calibri" w:hint="eastAsia"/>
          <w:b/>
          <w:bCs w:val="false"/>
          <w:kern w:val="2"/>
          <w:sz w:val="24"/>
          <w:szCs w:val="24"/>
          <w:lang w:val="en-US" w:bidi="ar-SA" w:eastAsia="zh-CN"/>
        </w:rPr>
      </w:pPr>
      <w:r>
        <w:rPr>
          <w:rFonts w:hint="eastAsia"/>
          <w:spacing w:val="-6"/>
          <w:sz w:val="24"/>
          <w:lang w:val="en-US" w:eastAsia="zh-CN"/>
        </w:rPr>
        <w:t>5、</w:t>
      </w:r>
      <w:r>
        <w:rPr>
          <w:rFonts w:hint="eastAsia"/>
          <w:sz w:val="24"/>
          <w:lang w:val="en-US" w:eastAsia="zh-CN"/>
        </w:rPr>
        <w:t>按</w:t>
      </w:r>
      <w:r>
        <w:rPr>
          <w:spacing w:val="-6"/>
          <w:sz w:val="24"/>
        </w:rPr>
        <w:t>《新型冠状病毒感染的肺炎实验室检测技术指南</w:t>
      </w:r>
      <w:r>
        <w:rPr>
          <w:sz w:val="24"/>
        </w:rPr>
        <w:t>（第三版</w:t>
      </w:r>
      <w:r>
        <w:rPr>
          <w:spacing w:val="-24"/>
          <w:sz w:val="24"/>
        </w:rPr>
        <w:t>）</w:t>
      </w:r>
      <w:r>
        <w:rPr>
          <w:spacing w:val="-11"/>
          <w:sz w:val="24"/>
        </w:rPr>
        <w:t>》相关技</w:t>
      </w:r>
      <w:r>
        <w:rPr>
          <w:sz w:val="24"/>
        </w:rPr>
        <w:t>术要求。</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75" w:beforeAutospacing="false" w:after="330" w:afterAutospacing="false" w:lineRule="atLeast" w:line="480"/>
        <w:ind w:right="226" w:rightChars="0"/>
        <w:jc w:val="left"/>
        <w:textAlignment w:val="baseline"/>
        <w:rPr>
          <w:rFonts w:ascii="微软雅黑" w:cs="宋体" w:eastAsia="微软雅黑" w:hAnsi="Calibri" w:hint="eastAsia"/>
          <w:b/>
          <w:bCs w:val="false"/>
          <w:kern w:val="2"/>
          <w:sz w:val="32"/>
          <w:szCs w:val="32"/>
          <w:lang w:val="en-US" w:bidi="ar-SA" w:eastAsia="zh-CN"/>
        </w:rPr>
      </w:pPr>
      <w:r>
        <w:rPr>
          <w:rFonts w:ascii="微软雅黑" w:cs="宋体" w:eastAsia="微软雅黑" w:hint="eastAsia"/>
          <w:b/>
          <w:bCs w:val="false"/>
          <w:kern w:val="2"/>
          <w:sz w:val="32"/>
          <w:szCs w:val="32"/>
          <w:lang w:val="en-US" w:bidi="ar-SA" w:eastAsia="zh-CN"/>
        </w:rPr>
        <w:t>二、</w:t>
      </w:r>
      <w:r>
        <w:rPr>
          <w:rFonts w:ascii="微软雅黑" w:cs="宋体" w:eastAsia="微软雅黑" w:hAnsi="Calibri" w:hint="eastAsia"/>
          <w:b/>
          <w:bCs w:val="false"/>
          <w:kern w:val="2"/>
          <w:sz w:val="32"/>
          <w:szCs w:val="32"/>
          <w:lang w:val="en-US" w:bidi="ar-SA" w:eastAsia="zh-CN"/>
        </w:rPr>
        <w:t>移动方舱车</w:t>
      </w:r>
      <w:r>
        <w:rPr>
          <w:rFonts w:ascii="微软雅黑" w:cs="宋体" w:eastAsia="微软雅黑" w:hint="eastAsia"/>
          <w:b/>
          <w:bCs w:val="false"/>
          <w:kern w:val="2"/>
          <w:sz w:val="32"/>
          <w:szCs w:val="32"/>
          <w:lang w:val="en-US" w:bidi="ar-SA" w:eastAsia="zh-CN"/>
        </w:rPr>
        <w:t>要求及预算</w:t>
      </w:r>
      <w:r>
        <w:rPr>
          <w:rFonts w:ascii="微软雅黑" w:cs="宋体" w:eastAsia="微软雅黑" w:hAnsi="Calibri" w:hint="eastAsia"/>
          <w:b/>
          <w:bCs w:val="false"/>
          <w:kern w:val="2"/>
          <w:sz w:val="32"/>
          <w:szCs w:val="32"/>
          <w:lang w:val="en-US" w:bidi="ar-SA" w:eastAsia="zh-CN"/>
        </w:rPr>
        <w:t>：</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75" w:beforeAutospacing="false" w:after="330" w:afterAutospacing="false" w:lineRule="atLeast" w:line="480"/>
        <w:ind w:right="226" w:rightChars="0"/>
        <w:jc w:val="left"/>
        <w:textAlignment w:val="baseline"/>
        <w:rPr>
          <w:rFonts w:ascii="Calibri" w:cs="宋体" w:eastAsia="宋体" w:hAnsi="Calibri" w:hint="eastAsia"/>
          <w:b/>
          <w:bCs/>
          <w:spacing w:val="-4"/>
          <w:kern w:val="2"/>
          <w:sz w:val="24"/>
          <w:szCs w:val="24"/>
          <w:lang w:val="en-US" w:bidi="ar-SA" w:eastAsia="zh-CN"/>
        </w:rPr>
      </w:pPr>
      <w:r>
        <w:rPr>
          <w:rFonts w:ascii="Calibri" w:cs="宋体" w:eastAsia="宋体" w:hAnsi="Calibri" w:hint="eastAsia"/>
          <w:b/>
          <w:bCs/>
          <w:spacing w:val="-4"/>
          <w:kern w:val="2"/>
          <w:sz w:val="24"/>
          <w:szCs w:val="24"/>
          <w:lang w:val="en-US" w:bidi="ar-SA" w:eastAsia="zh-CN"/>
        </w:rPr>
        <w:t>能安全负载17.5M检测方舱，车辆参数符合国家相关行业标准。</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75" w:beforeAutospacing="false" w:after="330" w:afterAutospacing="false" w:lineRule="atLeast" w:line="480"/>
        <w:ind w:right="226" w:rightChars="0"/>
        <w:jc w:val="left"/>
        <w:textAlignment w:val="baseline"/>
        <w:rPr>
          <w:rFonts w:ascii="Calibri" w:cs="宋体" w:eastAsia="宋体" w:hAnsi="Calibri" w:hint="eastAsia"/>
          <w:b/>
          <w:bCs/>
          <w:spacing w:val="-4"/>
          <w:kern w:val="2"/>
          <w:sz w:val="24"/>
          <w:szCs w:val="24"/>
          <w:lang w:val="en-US" w:bidi="ar-SA" w:eastAsia="zh-CN"/>
        </w:rPr>
      </w:pPr>
      <w:r>
        <w:rPr>
          <w:rFonts w:cs="宋体" w:hint="eastAsia"/>
          <w:b/>
          <w:bCs/>
          <w:spacing w:val="-4"/>
          <w:kern w:val="2"/>
          <w:sz w:val="24"/>
          <w:szCs w:val="24"/>
          <w:lang w:val="en-US" w:bidi="ar-SA" w:eastAsia="zh-CN"/>
        </w:rPr>
        <w:t>6</w:t>
      </w:r>
      <w:r>
        <w:rPr>
          <w:rFonts w:ascii="Calibri" w:cs="宋体" w:eastAsia="宋体" w:hAnsi="Calibri" w:hint="eastAsia"/>
          <w:b/>
          <w:bCs/>
          <w:spacing w:val="-4"/>
          <w:kern w:val="2"/>
          <w:sz w:val="24"/>
          <w:szCs w:val="24"/>
          <w:lang w:val="en-US" w:bidi="ar-SA" w:eastAsia="zh-CN"/>
        </w:rPr>
        <w:t>0万元/台，2台，总计</w:t>
      </w:r>
      <w:r>
        <w:rPr>
          <w:rFonts w:cs="宋体" w:hint="eastAsia"/>
          <w:b/>
          <w:bCs/>
          <w:spacing w:val="-4"/>
          <w:kern w:val="2"/>
          <w:sz w:val="24"/>
          <w:szCs w:val="24"/>
          <w:lang w:val="en-US" w:bidi="ar-SA" w:eastAsia="zh-CN"/>
        </w:rPr>
        <w:t>12</w:t>
      </w:r>
      <w:r>
        <w:rPr>
          <w:rFonts w:ascii="Calibri" w:cs="宋体" w:eastAsia="宋体" w:hAnsi="Calibri" w:hint="eastAsia"/>
          <w:b/>
          <w:bCs/>
          <w:spacing w:val="-4"/>
          <w:kern w:val="2"/>
          <w:sz w:val="24"/>
          <w:szCs w:val="24"/>
          <w:lang w:val="en-US" w:bidi="ar-SA" w:eastAsia="zh-CN"/>
        </w:rPr>
        <w:t>0万元。</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rPr>
      </w:pPr>
      <w:r>
        <w:rPr>
          <w:rFonts w:ascii="微软雅黑" w:cs="宋体" w:eastAsia="微软雅黑" w:hint="eastAsia"/>
          <w:b/>
          <w:bCs w:val="false"/>
          <w:kern w:val="2"/>
          <w:sz w:val="32"/>
          <w:szCs w:val="32"/>
          <w:lang w:val="en-US" w:bidi="ar-SA" w:eastAsia="zh-CN"/>
        </w:rPr>
        <w:t>三、商务参数</w:t>
      </w:r>
      <w:r>
        <w:rPr>
          <w:rFonts w:ascii="宋体" w:cs="宋体" w:eastAsia="宋体" w:hAnsi="宋体" w:hint="eastAsia"/>
          <w:color w:val="auto"/>
          <w:sz w:val="24"/>
          <w:szCs w:val="24"/>
        </w:rPr>
        <w:cr/>
      </w:r>
      <w:r>
        <w:rPr>
          <w:rFonts w:ascii="宋体" w:cs="宋体" w:eastAsia="宋体" w:hAnsi="宋体" w:hint="eastAsia"/>
          <w:color w:val="auto"/>
          <w:sz w:val="24"/>
          <w:szCs w:val="24"/>
        </w:rPr>
        <w:t>*1、运输、装卸、培训、安装调试：由中标人负责承担，最终通过使用科室、设备科及相关部门确认验收交付使用。</w:t>
      </w:r>
      <w:r>
        <w:rPr>
          <w:rFonts w:ascii="宋体" w:cs="宋体" w:eastAsia="宋体" w:hAnsi="宋体" w:hint="eastAsia"/>
          <w:color w:val="auto"/>
          <w:sz w:val="24"/>
          <w:szCs w:val="24"/>
        </w:rPr>
        <w:cr/>
      </w:r>
      <w:r>
        <w:rPr>
          <w:rFonts w:ascii="宋体" w:cs="宋体" w:eastAsia="宋体" w:hAnsi="宋体" w:hint="eastAsia"/>
          <w:color w:val="auto"/>
          <w:sz w:val="24"/>
          <w:szCs w:val="24"/>
        </w:rPr>
        <w:t>*2、交货时间：</w:t>
      </w:r>
      <w:r>
        <w:rPr>
          <w:rFonts w:ascii="宋体" w:cs="宋体" w:eastAsia="宋体" w:hAnsi="宋体" w:hint="eastAsia"/>
          <w:color w:val="auto"/>
          <w:sz w:val="24"/>
          <w:szCs w:val="24"/>
          <w:lang w:val="en-US" w:eastAsia="zh-CN"/>
        </w:rPr>
        <w:t>紧急采购，</w:t>
      </w:r>
      <w:r>
        <w:rPr>
          <w:rFonts w:ascii="宋体" w:cs="宋体" w:eastAsia="宋体" w:hAnsi="宋体" w:hint="default"/>
          <w:color w:val="auto"/>
          <w:sz w:val="24"/>
          <w:szCs w:val="24"/>
          <w:lang w:val="en-US" w:eastAsia="zh-CN"/>
        </w:rPr>
        <w:t>按新冠肺炎疫情防控指挥部</w:t>
      </w:r>
      <w:r>
        <w:rPr>
          <w:rFonts w:ascii="宋体" w:cs="宋体" w:eastAsia="宋体" w:hAnsi="宋体" w:hint="eastAsia"/>
          <w:color w:val="auto"/>
          <w:sz w:val="24"/>
          <w:szCs w:val="24"/>
          <w:lang w:val="en-US" w:eastAsia="zh-CN"/>
        </w:rPr>
        <w:t>要求</w:t>
      </w:r>
      <w:r>
        <w:rPr>
          <w:rFonts w:ascii="宋体" w:cs="宋体" w:hAnsi="宋体" w:hint="eastAsia"/>
          <w:color w:val="auto"/>
          <w:sz w:val="24"/>
          <w:szCs w:val="24"/>
          <w:lang w:val="en-US" w:eastAsia="zh-CN"/>
        </w:rPr>
        <w:t>2022年3月25日24：00以前</w:t>
      </w:r>
      <w:r>
        <w:rPr>
          <w:rFonts w:ascii="宋体" w:cs="宋体" w:eastAsia="宋体" w:hAnsi="宋体" w:hint="eastAsia"/>
          <w:color w:val="auto"/>
          <w:sz w:val="24"/>
          <w:szCs w:val="24"/>
          <w:lang w:val="en-US" w:eastAsia="zh-CN"/>
        </w:rPr>
        <w:t>到货</w:t>
      </w:r>
      <w:r>
        <w:rPr>
          <w:rFonts w:ascii="宋体" w:cs="宋体" w:eastAsia="宋体" w:hAnsi="宋体" w:hint="eastAsia"/>
          <w:color w:val="auto"/>
          <w:sz w:val="24"/>
          <w:szCs w:val="24"/>
        </w:rPr>
        <w:t>。</w:t>
      </w:r>
      <w:r>
        <w:rPr>
          <w:rFonts w:ascii="宋体" w:cs="宋体" w:eastAsia="宋体" w:hAnsi="宋体" w:hint="eastAsia"/>
          <w:color w:val="auto"/>
          <w:sz w:val="24"/>
          <w:szCs w:val="24"/>
        </w:rPr>
        <w:cr/>
      </w:r>
      <w:r>
        <w:rPr>
          <w:rFonts w:ascii="宋体" w:cs="宋体" w:eastAsia="宋体" w:hAnsi="宋体" w:hint="eastAsia"/>
          <w:color w:val="auto"/>
          <w:sz w:val="24"/>
          <w:szCs w:val="24"/>
        </w:rPr>
        <w:t>*3、付款方式：设备验收合格后，供应商将发票交到娄底市中心医院后按程序支付货款90%（按医院财务制度一般情况下4个月内支付、特殊情况下最多不超过6个月），10%为质保金，</w:t>
      </w:r>
      <w:r>
        <w:rPr>
          <w:rFonts w:ascii="宋体" w:cs="宋体" w:eastAsia="宋体" w:hAnsi="宋体" w:hint="eastAsia"/>
          <w:color w:val="auto"/>
          <w:sz w:val="24"/>
          <w:szCs w:val="24"/>
          <w:lang w:val="en-US" w:eastAsia="zh-CN"/>
        </w:rPr>
        <w:t>一年后</w:t>
      </w:r>
      <w:r>
        <w:rPr>
          <w:rFonts w:ascii="宋体" w:cs="宋体" w:eastAsia="宋体" w:hAnsi="宋体" w:hint="eastAsia"/>
          <w:color w:val="auto"/>
          <w:sz w:val="24"/>
          <w:szCs w:val="24"/>
        </w:rPr>
        <w:t>设备运行正常予以支付。</w:t>
      </w:r>
      <w:r>
        <w:rPr>
          <w:rFonts w:ascii="宋体" w:cs="宋体" w:eastAsia="宋体" w:hAnsi="宋体" w:hint="eastAsia"/>
          <w:color w:val="auto"/>
          <w:sz w:val="24"/>
          <w:szCs w:val="24"/>
        </w:rPr>
        <w:cr/>
      </w:r>
      <w:r>
        <w:rPr>
          <w:rFonts w:ascii="宋体" w:cs="宋体" w:eastAsia="宋体" w:hAnsi="宋体" w:hint="eastAsia"/>
          <w:color w:val="auto"/>
          <w:sz w:val="24"/>
          <w:szCs w:val="24"/>
        </w:rPr>
        <w:t>*4、交货地点：娄底市中心医院。</w:t>
      </w:r>
      <w:r>
        <w:rPr>
          <w:rFonts w:ascii="宋体" w:cs="宋体" w:eastAsia="宋体" w:hAnsi="宋体" w:hint="eastAsia"/>
          <w:color w:val="auto"/>
          <w:sz w:val="24"/>
          <w:szCs w:val="24"/>
        </w:rPr>
        <w:cr/>
      </w:r>
      <w:r>
        <w:rPr>
          <w:rFonts w:ascii="宋体" w:cs="宋体" w:eastAsia="宋体" w:hAnsi="宋体" w:hint="eastAsia"/>
          <w:color w:val="auto"/>
          <w:sz w:val="24"/>
          <w:szCs w:val="24"/>
        </w:rPr>
        <w:t>*5、质保与售后：出具原厂售后质保承诺书，质保</w:t>
      </w:r>
      <w:r>
        <w:rPr>
          <w:rFonts w:ascii="宋体" w:cs="宋体" w:eastAsia="宋体" w:hAnsi="宋体" w:hint="eastAsia"/>
          <w:color w:val="auto"/>
          <w:sz w:val="24"/>
          <w:szCs w:val="24"/>
          <w:lang w:val="en-US" w:eastAsia="zh-CN"/>
        </w:rPr>
        <w:t>一</w:t>
      </w:r>
      <w:r>
        <w:rPr>
          <w:rFonts w:ascii="宋体" w:cs="宋体" w:eastAsia="宋体" w:hAnsi="宋体" w:hint="eastAsia"/>
          <w:color w:val="auto"/>
          <w:sz w:val="24"/>
          <w:szCs w:val="24"/>
        </w:rPr>
        <w:t>年，质保期内每年巡检两次。</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lang w:val="en-US" w:eastAsia="zh-CN"/>
        </w:rPr>
      </w:pPr>
      <w:r>
        <w:rPr>
          <w:rFonts w:ascii="宋体" w:cs="宋体" w:eastAsia="宋体" w:hAnsi="宋体" w:hint="eastAsia"/>
          <w:color w:val="auto"/>
          <w:sz w:val="24"/>
          <w:szCs w:val="24"/>
          <w:lang w:val="en-US" w:eastAsia="zh-CN"/>
        </w:rPr>
        <w:t>6、供应商提供所投标设备在三甲医院的业绩证明。</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default"/>
          <w:color w:val="auto"/>
          <w:sz w:val="24"/>
          <w:szCs w:val="24"/>
          <w:lang w:val="en-US" w:eastAsia="zh-CN"/>
        </w:rPr>
      </w:pPr>
      <w:r>
        <w:rPr>
          <w:rFonts w:ascii="宋体" w:cs="宋体" w:eastAsia="宋体" w:hAnsi="宋体" w:hint="eastAsia"/>
          <w:color w:val="auto"/>
          <w:sz w:val="24"/>
          <w:szCs w:val="24"/>
          <w:lang w:val="en-US" w:eastAsia="zh-CN"/>
        </w:rPr>
        <w:t>7、紧急采购时间仓促，未尽事宜面议。</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75" w:beforeAutospacing="false" w:after="330" w:afterAutospacing="false" w:lineRule="atLeast" w:line="480"/>
        <w:ind w:right="226" w:rightChars="0"/>
        <w:jc w:val="left"/>
        <w:textAlignment w:val="baseline"/>
        <w:rPr>
          <w:rFonts w:ascii="Calibri" w:cs="宋体" w:eastAsia="宋体" w:hAnsi="Calibri" w:hint="eastAsia"/>
          <w:b/>
          <w:bCs/>
          <w:spacing w:val="-4"/>
          <w:kern w:val="2"/>
          <w:sz w:val="24"/>
          <w:szCs w:val="24"/>
          <w:lang w:val="en-US" w:bidi="ar-SA" w:eastAsia="zh-CN"/>
        </w:rPr>
      </w:pP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before="0" w:lineRule="auto" w:line="14"/>
      <w:ind w:left="0"/>
      <w:rPr>
        <w:sz w:val="12"/>
      </w:rPr>
    </w:pPr>
    <w:r>
      <w:rPr/>
      <mc:AlternateContent>
        <mc:Choice Requires="wps">
          <w:drawing>
            <wp:anchor distT="0" distB="0" distL="0" distR="0" simplePos="false" relativeHeight="2" behindDoc="true" locked="false" layoutInCell="true" allowOverlap="true">
              <wp:simplePos x="0" y="0"/>
              <wp:positionH relativeFrom="page">
                <wp:posOffset>3624580</wp:posOffset>
              </wp:positionH>
              <wp:positionV relativeFrom="page">
                <wp:posOffset>9917430</wp:posOffset>
              </wp:positionV>
              <wp:extent cx="349250" cy="1397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9250" cy="139700"/>
                      </a:xfrm>
                      <a:prstGeom prst="rect"/>
                      <a:ln>
                        <a:noFill/>
                      </a:ln>
                    </wps:spPr>
                    <wps:txbx id="4097">
                      <w:txbxContent>
                        <w:p>
                          <w:pPr>
                            <w:pStyle w:val="style0"/>
                            <w:spacing w:lineRule="exact" w:line="220"/>
                            <w:ind w:left="20"/>
                            <w:rPr>
                              <w:sz w:val="18"/>
                            </w:rPr>
                          </w:pPr>
                          <w:r>
                            <w:rPr>
                              <w:sz w:val="18"/>
                            </w:rPr>
                            <w:t xml:space="preserve">- </w:t>
                          </w:r>
                          <w:r>
                            <w:rPr/>
                            <w:fldChar w:fldCharType="begin"/>
                          </w:r>
                          <w:r>
                            <w:rPr>
                              <w:sz w:val="18"/>
                            </w:rPr>
                            <w:instrText xml:space="preserve"> PAGE </w:instrText>
                          </w:r>
                          <w:r>
                            <w:rPr/>
                            <w:fldChar w:fldCharType="separate"/>
                          </w:r>
                          <w:r>
                            <w:rPr>
                              <w:sz w:val="18"/>
                            </w:rPr>
                            <w:t>1</w:t>
                          </w:r>
                          <w:r>
                            <w:rPr/>
                            <w:fldChar w:fldCharType="end"/>
                          </w:r>
                          <w:r>
                            <w:rPr>
                              <w:sz w:val="18"/>
                            </w:rPr>
                            <w:t xml:space="preserve"> -</w:t>
                          </w:r>
                        </w:p>
                      </w:txbxContent>
                    </wps:txbx>
                    <wps:bodyPr lIns="0" rIns="0" tIns="0" bIns="0" upright="true">
                      <a:prstTxWarp prst="textNoShape"/>
                    </wps:bodyPr>
                  </wps:wsp>
                </a:graphicData>
              </a:graphic>
            </wp:anchor>
          </w:drawing>
        </mc:Choice>
        <mc:Fallback>
          <w:pict>
            <v:rect id="4097" filled="f" stroked="f" style="position:absolute;margin-left:285.4pt;margin-top:780.9pt;width:27.5pt;height:11.0pt;z-index:-2147483645;mso-position-horizontal-relative:page;mso-position-vertical-relative:page;mso-width-relative:page;mso-height-relative:page;mso-wrap-distance-left:0.0pt;mso-wrap-distance-right:0.0pt;visibility:visible;">
              <v:stroke on="f"/>
              <v:fill/>
              <v:textbox inset="0.0pt,0.0pt,0.0pt,0.0pt">
                <w:txbxContent>
                  <w:p>
                    <w:pPr>
                      <w:pStyle w:val="style0"/>
                      <w:spacing w:lineRule="exact" w:line="220"/>
                      <w:ind w:left="20"/>
                      <w:rPr>
                        <w:sz w:val="18"/>
                      </w:rPr>
                    </w:pPr>
                    <w:r>
                      <w:rPr>
                        <w:sz w:val="18"/>
                      </w:rPr>
                      <w:t xml:space="preserve">- </w:t>
                    </w:r>
                    <w:r>
                      <w:rPr/>
                      <w:fldChar w:fldCharType="begin"/>
                    </w:r>
                    <w:r>
                      <w:rPr>
                        <w:sz w:val="18"/>
                      </w:rPr>
                      <w:instrText xml:space="preserve"> PAGE </w:instrText>
                    </w:r>
                    <w:r>
                      <w:rPr/>
                      <w:fldChar w:fldCharType="separate"/>
                    </w:r>
                    <w:r>
                      <w:rPr>
                        <w:sz w:val="18"/>
                      </w:rPr>
                      <w:t>1</w:t>
                    </w:r>
                    <w:r>
                      <w:rPr/>
                      <w:fldChar w:fldCharType="end"/>
                    </w:r>
                    <w:r>
                      <w:rPr>
                        <w:sz w:val="1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1"/>
    <w:pPr>
      <w:ind w:left="520"/>
      <w:outlineLvl w:val="0"/>
    </w:pPr>
    <w:rPr>
      <w:rFonts w:ascii="微软雅黑" w:cs="微软雅黑" w:eastAsia="微软雅黑" w:hAnsi="微软雅黑"/>
      <w:b/>
      <w:bCs/>
      <w:sz w:val="28"/>
      <w:szCs w:val="28"/>
    </w:rPr>
  </w:style>
  <w:style w:type="paragraph" w:styleId="style2">
    <w:name w:val="heading 2"/>
    <w:basedOn w:val="style0"/>
    <w:next w:val="style0"/>
    <w:qFormat/>
    <w:uiPriority w:val="0"/>
    <w:pPr>
      <w:spacing w:before="0" w:beforeAutospacing="true" w:after="0" w:afterAutospacing="true"/>
      <w:jc w:val="left"/>
    </w:pPr>
    <w:rPr>
      <w:rFonts w:ascii="宋体" w:cs="宋体" w:eastAsia="宋体" w:hAnsi="宋体" w:hint="eastAsia"/>
      <w:b/>
      <w:bCs/>
      <w:kern w:val="0"/>
      <w:sz w:val="36"/>
      <w:szCs w:val="36"/>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spacing w:before="158"/>
      <w:ind w:left="1000"/>
    </w:pPr>
    <w:rPr>
      <w:sz w:val="24"/>
      <w:szCs w:val="24"/>
    </w:rPr>
  </w:style>
  <w:style w:type="paragraph" w:styleId="style94">
    <w:name w:val="Normal (Web)"/>
    <w:basedOn w:val="style0"/>
    <w:next w:val="style94"/>
    <w:uiPriority w:val="0"/>
    <w:pPr/>
    <w:rPr>
      <w:sz w:val="24"/>
    </w:rPr>
  </w:style>
  <w:style w:type="paragraph" w:styleId="style62">
    <w:name w:val="Title"/>
    <w:basedOn w:val="style0"/>
    <w:next w:val="style62"/>
    <w:qFormat/>
    <w:uiPriority w:val="1"/>
    <w:pPr>
      <w:spacing w:before="1" w:lineRule="exact" w:line="571"/>
      <w:ind w:left="2593"/>
    </w:pPr>
    <w:rPr>
      <w:rFonts w:ascii="微软雅黑" w:cs="微软雅黑" w:eastAsia="微软雅黑" w:hAnsi="微软雅黑"/>
      <w:b/>
      <w:bCs/>
      <w:sz w:val="32"/>
      <w:szCs w:val="32"/>
    </w:rPr>
  </w:style>
  <w:style w:type="character" w:customStyle="1" w:styleId="style4097">
    <w:name w:val="font31"/>
    <w:basedOn w:val="style65"/>
    <w:next w:val="style4097"/>
    <w:qFormat/>
    <w:uiPriority w:val="0"/>
    <w:rPr>
      <w:rFonts w:ascii="宋体" w:cs="宋体" w:eastAsia="宋体" w:hAnsi="宋体" w:hint="eastAsia"/>
      <w:color w:val="000000"/>
      <w:sz w:val="21"/>
      <w:szCs w:val="21"/>
      <w:u w:val="none"/>
    </w:rPr>
  </w:style>
  <w:style w:type="character" w:customStyle="1" w:styleId="style4098">
    <w:name w:val="font51"/>
    <w:basedOn w:val="style65"/>
    <w:next w:val="style4098"/>
    <w:qFormat/>
    <w:uiPriority w:val="0"/>
    <w:rPr>
      <w:rFonts w:ascii="宋体" w:cs="宋体" w:eastAsia="宋体" w:hAnsi="宋体" w:hint="eastAsia"/>
      <w:color w:val="000000"/>
      <w:sz w:val="24"/>
      <w:szCs w:val="24"/>
      <w:u w:val="none"/>
    </w:rPr>
  </w:style>
  <w:style w:type="paragraph" w:customStyle="1" w:styleId="style4099">
    <w:name w:val="Table Paragraph"/>
    <w:basedOn w:val="style0"/>
    <w:next w:val="style4099"/>
    <w:qFormat/>
    <w:uiPriority w:val="1"/>
    <w:pPr/>
  </w:style>
  <w:style w:type="paragraph" w:styleId="style179">
    <w:name w:val="List Paragraph"/>
    <w:basedOn w:val="style0"/>
    <w:next w:val="style179"/>
    <w:qFormat/>
    <w:uiPriority w:val="1"/>
    <w:pPr>
      <w:spacing w:before="158"/>
      <w:ind w:left="1241" w:hanging="241"/>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1064</Words>
  <Pages>1</Pages>
  <Characters>1230</Characters>
  <Application>WPS Office</Application>
  <DocSecurity>0</DocSecurity>
  <Paragraphs>218</Paragraphs>
  <ScaleCrop>false</ScaleCrop>
  <LinksUpToDate>false</LinksUpToDate>
  <CharactersWithSpaces>1236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2022-03-23T11:44:00Z</dcterms:created>
  <dc:creator>dell</dc:creator>
  <lastModifiedBy>LIO-AN00m</lastModifiedBy>
  <lastPrinted>2022-03-24T02:52:35Z</lastPrinted>
  <dcterms:modified xsi:type="dcterms:W3CDTF">2022-03-24T04:53:11Z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B98D8C8AA8C745E7ADE907943BAE06BF</vt:lpwstr>
  </property>
</Properties>
</file>