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27" w:rsidRPr="00B87F79" w:rsidRDefault="00D87D27" w:rsidP="00D87D27">
      <w:pPr>
        <w:rPr>
          <w:b/>
          <w:sz w:val="28"/>
          <w:szCs w:val="28"/>
        </w:rPr>
      </w:pPr>
      <w:r w:rsidRPr="00B87F79">
        <w:rPr>
          <w:rFonts w:hint="eastAsia"/>
          <w:b/>
          <w:sz w:val="28"/>
          <w:szCs w:val="28"/>
        </w:rPr>
        <w:t>附件三</w:t>
      </w:r>
    </w:p>
    <w:p w:rsidR="0039640F" w:rsidRPr="00B87F79" w:rsidRDefault="0039640F" w:rsidP="0039640F">
      <w:pPr>
        <w:jc w:val="center"/>
        <w:rPr>
          <w:b/>
          <w:sz w:val="28"/>
          <w:szCs w:val="28"/>
        </w:rPr>
      </w:pPr>
      <w:r w:rsidRPr="00B87F79">
        <w:rPr>
          <w:rFonts w:hint="eastAsia"/>
          <w:b/>
          <w:sz w:val="28"/>
          <w:szCs w:val="28"/>
        </w:rPr>
        <w:t>证通公司自助机维保内容</w:t>
      </w:r>
    </w:p>
    <w:tbl>
      <w:tblPr>
        <w:tblStyle w:val="a5"/>
        <w:tblW w:w="0" w:type="auto"/>
        <w:tblLook w:val="04A0"/>
      </w:tblPr>
      <w:tblGrid>
        <w:gridCol w:w="1981"/>
        <w:gridCol w:w="6541"/>
      </w:tblGrid>
      <w:tr w:rsidR="0039640F" w:rsidRPr="00F71590" w:rsidTr="00601502">
        <w:tc>
          <w:tcPr>
            <w:tcW w:w="1981" w:type="dxa"/>
          </w:tcPr>
          <w:p w:rsidR="0039640F" w:rsidRPr="009C7CDE" w:rsidRDefault="0039640F" w:rsidP="001A7BE0">
            <w:pPr>
              <w:spacing w:line="540" w:lineRule="exact"/>
              <w:jc w:val="center"/>
              <w:rPr>
                <w:rFonts w:ascii="宋体" w:hAnsi="宋体"/>
                <w:szCs w:val="21"/>
              </w:rPr>
            </w:pPr>
            <w:r w:rsidRPr="009C7CDE">
              <w:rPr>
                <w:rFonts w:ascii="宋体" w:hAnsi="宋体" w:hint="eastAsia"/>
                <w:szCs w:val="21"/>
              </w:rPr>
              <w:t>服务内容</w:t>
            </w:r>
          </w:p>
        </w:tc>
        <w:tc>
          <w:tcPr>
            <w:tcW w:w="6541" w:type="dxa"/>
          </w:tcPr>
          <w:p w:rsidR="0039640F" w:rsidRPr="009C7CDE" w:rsidRDefault="0039640F" w:rsidP="001A7BE0">
            <w:pPr>
              <w:pStyle w:val="Default"/>
              <w:ind w:firstLineChars="1000" w:firstLine="2100"/>
              <w:jc w:val="both"/>
              <w:rPr>
                <w:rFonts w:hAnsi="宋体"/>
                <w:color w:val="auto"/>
                <w:sz w:val="21"/>
                <w:szCs w:val="21"/>
              </w:rPr>
            </w:pPr>
            <w:r w:rsidRPr="009C7CDE">
              <w:rPr>
                <w:rFonts w:hAnsi="宋体" w:hint="eastAsia"/>
                <w:color w:val="auto"/>
                <w:sz w:val="21"/>
                <w:szCs w:val="21"/>
              </w:rPr>
              <w:t>具体内容</w:t>
            </w:r>
          </w:p>
        </w:tc>
      </w:tr>
      <w:tr w:rsidR="0039640F" w:rsidRPr="00F71590" w:rsidTr="00601502">
        <w:tc>
          <w:tcPr>
            <w:tcW w:w="1981" w:type="dxa"/>
          </w:tcPr>
          <w:p w:rsidR="00757C69" w:rsidRPr="00F71590" w:rsidRDefault="00757C69" w:rsidP="00757C69">
            <w:pPr>
              <w:spacing w:line="540" w:lineRule="exact"/>
              <w:jc w:val="center"/>
              <w:rPr>
                <w:rFonts w:ascii="宋体" w:hAnsi="宋体"/>
                <w:szCs w:val="21"/>
              </w:rPr>
            </w:pPr>
            <w:r>
              <w:rPr>
                <w:rFonts w:ascii="宋体" w:hAnsi="宋体"/>
                <w:szCs w:val="21"/>
              </w:rPr>
              <w:t>上门服务</w:t>
            </w:r>
          </w:p>
        </w:tc>
        <w:tc>
          <w:tcPr>
            <w:tcW w:w="6541" w:type="dxa"/>
          </w:tcPr>
          <w:p w:rsidR="0039640F" w:rsidRPr="00757C69" w:rsidRDefault="00757C69" w:rsidP="00CE0EA4">
            <w:pPr>
              <w:spacing w:line="360" w:lineRule="auto"/>
              <w:ind w:firstLine="540"/>
              <w:rPr>
                <w:rFonts w:ascii="宋体" w:eastAsia="宋体" w:hAnsi="宋体"/>
                <w:szCs w:val="21"/>
              </w:rPr>
            </w:pPr>
            <w:r>
              <w:rPr>
                <w:rFonts w:ascii="宋体" w:eastAsia="宋体" w:hAnsi="宋体" w:hint="eastAsia"/>
                <w:szCs w:val="21"/>
              </w:rPr>
              <w:t>对</w:t>
            </w:r>
            <w:r w:rsidR="00990A38">
              <w:rPr>
                <w:rFonts w:ascii="宋体" w:eastAsia="宋体" w:hAnsi="宋体" w:hint="eastAsia"/>
                <w:szCs w:val="21"/>
              </w:rPr>
              <w:t>证通自助机</w:t>
            </w:r>
            <w:r>
              <w:rPr>
                <w:rFonts w:ascii="宋体" w:eastAsia="宋体" w:hAnsi="宋体" w:hint="eastAsia"/>
                <w:szCs w:val="21"/>
              </w:rPr>
              <w:t>设备软件及硬件</w:t>
            </w:r>
            <w:r w:rsidR="008A71B5">
              <w:rPr>
                <w:rFonts w:ascii="宋体" w:eastAsia="宋体" w:hAnsi="宋体" w:hint="eastAsia"/>
                <w:szCs w:val="21"/>
              </w:rPr>
              <w:t>派专人管理，</w:t>
            </w:r>
            <w:r>
              <w:rPr>
                <w:rFonts w:ascii="宋体" w:eastAsia="宋体" w:hAnsi="宋体" w:hint="eastAsia"/>
                <w:szCs w:val="21"/>
              </w:rPr>
              <w:t>提供全包式上门服务，含巡检服务、硬件故障修复、配件修复等。</w:t>
            </w:r>
            <w:r w:rsidR="000C177C">
              <w:rPr>
                <w:rFonts w:ascii="宋体" w:eastAsia="宋体" w:hAnsi="宋体" w:hint="eastAsia"/>
                <w:szCs w:val="21"/>
              </w:rPr>
              <w:t>每周一</w:t>
            </w:r>
            <w:r w:rsidR="00194529">
              <w:rPr>
                <w:rFonts w:ascii="宋体" w:eastAsia="宋体" w:hAnsi="宋体" w:hint="eastAsia"/>
                <w:szCs w:val="21"/>
              </w:rPr>
              <w:t>全天在医院现场值守</w:t>
            </w:r>
            <w:r w:rsidR="000C177C">
              <w:rPr>
                <w:rFonts w:ascii="宋体" w:eastAsia="宋体" w:hAnsi="宋体" w:hint="eastAsia"/>
                <w:szCs w:val="21"/>
              </w:rPr>
              <w:t>。</w:t>
            </w:r>
          </w:p>
        </w:tc>
      </w:tr>
      <w:tr w:rsidR="0039640F" w:rsidRPr="00F71590" w:rsidTr="00B87F79">
        <w:trPr>
          <w:trHeight w:val="1453"/>
        </w:trPr>
        <w:tc>
          <w:tcPr>
            <w:tcW w:w="1981" w:type="dxa"/>
          </w:tcPr>
          <w:p w:rsidR="0039640F" w:rsidRPr="00F71590" w:rsidRDefault="00757C69" w:rsidP="001A7BE0">
            <w:pPr>
              <w:spacing w:line="540" w:lineRule="exact"/>
              <w:jc w:val="center"/>
              <w:rPr>
                <w:rFonts w:ascii="宋体" w:hAnsi="宋体"/>
                <w:szCs w:val="21"/>
              </w:rPr>
            </w:pPr>
            <w:r>
              <w:rPr>
                <w:rFonts w:ascii="宋体" w:eastAsia="宋体" w:hAnsi="宋体" w:hint="eastAsia"/>
                <w:szCs w:val="21"/>
              </w:rPr>
              <w:t>巡检服务</w:t>
            </w:r>
          </w:p>
        </w:tc>
        <w:tc>
          <w:tcPr>
            <w:tcW w:w="6541" w:type="dxa"/>
          </w:tcPr>
          <w:p w:rsidR="00757C69" w:rsidRDefault="00757C69" w:rsidP="00757C69">
            <w:pPr>
              <w:spacing w:line="360" w:lineRule="auto"/>
              <w:ind w:firstLine="540"/>
              <w:rPr>
                <w:rFonts w:ascii="宋体" w:eastAsia="宋体" w:hAnsi="宋体"/>
                <w:szCs w:val="21"/>
              </w:rPr>
            </w:pPr>
            <w:r>
              <w:rPr>
                <w:rFonts w:ascii="宋体" w:eastAsia="宋体" w:hAnsi="宋体" w:hint="eastAsia"/>
                <w:szCs w:val="21"/>
              </w:rPr>
              <w:t>每月对</w:t>
            </w:r>
            <w:r w:rsidR="00990A38">
              <w:rPr>
                <w:rFonts w:ascii="宋体" w:eastAsia="宋体" w:hAnsi="宋体" w:hint="eastAsia"/>
                <w:szCs w:val="21"/>
              </w:rPr>
              <w:t>证通自助机设备</w:t>
            </w:r>
            <w:r>
              <w:rPr>
                <w:rFonts w:ascii="宋体" w:eastAsia="宋体" w:hAnsi="宋体" w:hint="eastAsia"/>
                <w:szCs w:val="21"/>
              </w:rPr>
              <w:t>提供巡检服务（12次/年）</w:t>
            </w:r>
            <w:r w:rsidR="00CE0EA4">
              <w:rPr>
                <w:rFonts w:ascii="宋体" w:eastAsia="宋体" w:hAnsi="宋体" w:hint="eastAsia"/>
                <w:szCs w:val="21"/>
              </w:rPr>
              <w:t>,并出具报告</w:t>
            </w:r>
            <w:r>
              <w:rPr>
                <w:rFonts w:ascii="宋体" w:eastAsia="宋体" w:hAnsi="宋体" w:hint="eastAsia"/>
                <w:szCs w:val="21"/>
              </w:rPr>
              <w:t>。</w:t>
            </w:r>
          </w:p>
          <w:p w:rsidR="0039640F" w:rsidRPr="0058103A" w:rsidRDefault="00757C69" w:rsidP="0058103A">
            <w:pPr>
              <w:spacing w:line="360" w:lineRule="auto"/>
              <w:ind w:firstLine="540"/>
              <w:rPr>
                <w:rFonts w:ascii="宋体" w:eastAsia="宋体" w:hAnsi="宋体"/>
                <w:szCs w:val="21"/>
              </w:rPr>
            </w:pPr>
            <w:r>
              <w:rPr>
                <w:rFonts w:ascii="宋体" w:eastAsia="宋体" w:hAnsi="宋体" w:hint="eastAsia"/>
                <w:szCs w:val="21"/>
              </w:rPr>
              <w:t>在</w:t>
            </w:r>
            <w:r w:rsidR="00990A38">
              <w:rPr>
                <w:rFonts w:ascii="宋体" w:eastAsia="宋体" w:hAnsi="宋体" w:hint="eastAsia"/>
                <w:szCs w:val="21"/>
              </w:rPr>
              <w:t>保修期内发生的零部件费、人工费、差旅费、运费、税费等全部费用由维保</w:t>
            </w:r>
            <w:r>
              <w:rPr>
                <w:rFonts w:ascii="宋体" w:eastAsia="宋体" w:hAnsi="宋体" w:hint="eastAsia"/>
                <w:szCs w:val="21"/>
              </w:rPr>
              <w:t>方负担。</w:t>
            </w:r>
          </w:p>
        </w:tc>
      </w:tr>
      <w:tr w:rsidR="0039640F" w:rsidRPr="00F71590" w:rsidTr="00601502">
        <w:tc>
          <w:tcPr>
            <w:tcW w:w="1981" w:type="dxa"/>
          </w:tcPr>
          <w:p w:rsidR="0039640F" w:rsidRPr="00F71590" w:rsidRDefault="001158CC" w:rsidP="001A7BE0">
            <w:pPr>
              <w:spacing w:line="540" w:lineRule="exact"/>
              <w:jc w:val="center"/>
              <w:rPr>
                <w:rFonts w:ascii="宋体" w:hAnsi="宋体"/>
                <w:szCs w:val="21"/>
              </w:rPr>
            </w:pPr>
            <w:r>
              <w:rPr>
                <w:rFonts w:ascii="宋体" w:eastAsia="宋体" w:hAnsi="宋体" w:hint="eastAsia"/>
                <w:szCs w:val="21"/>
              </w:rPr>
              <w:t>培训服务</w:t>
            </w:r>
          </w:p>
        </w:tc>
        <w:tc>
          <w:tcPr>
            <w:tcW w:w="6541" w:type="dxa"/>
          </w:tcPr>
          <w:p w:rsidR="0039640F" w:rsidRPr="009C7CDE" w:rsidRDefault="001158CC" w:rsidP="001A7BE0">
            <w:pPr>
              <w:pStyle w:val="Default"/>
              <w:jc w:val="center"/>
              <w:rPr>
                <w:rFonts w:hAnsi="宋体"/>
                <w:color w:val="auto"/>
                <w:sz w:val="21"/>
                <w:szCs w:val="21"/>
              </w:rPr>
            </w:pPr>
            <w:r>
              <w:rPr>
                <w:rFonts w:hAnsi="宋体" w:hint="eastAsia"/>
                <w:sz w:val="21"/>
                <w:szCs w:val="21"/>
              </w:rPr>
              <w:t>根据院方需求，可以对设备引导人员免费提供</w:t>
            </w:r>
            <w:r>
              <w:rPr>
                <w:rFonts w:hAnsi="宋体"/>
                <w:sz w:val="21"/>
                <w:szCs w:val="21"/>
              </w:rPr>
              <w:t>自助服务终端</w:t>
            </w:r>
            <w:r>
              <w:rPr>
                <w:rFonts w:hAnsi="宋体" w:hint="eastAsia"/>
                <w:sz w:val="21"/>
                <w:szCs w:val="21"/>
              </w:rPr>
              <w:t>使用与维护培训。</w:t>
            </w:r>
          </w:p>
        </w:tc>
      </w:tr>
      <w:tr w:rsidR="0039640F" w:rsidRPr="00F71590" w:rsidTr="00601502">
        <w:tc>
          <w:tcPr>
            <w:tcW w:w="1981" w:type="dxa"/>
          </w:tcPr>
          <w:p w:rsidR="0039640F" w:rsidRPr="00F71590" w:rsidRDefault="001158CC" w:rsidP="001A7BE0">
            <w:pPr>
              <w:spacing w:line="540" w:lineRule="exact"/>
              <w:jc w:val="center"/>
              <w:rPr>
                <w:rFonts w:ascii="宋体" w:hAnsi="宋体"/>
                <w:szCs w:val="21"/>
              </w:rPr>
            </w:pPr>
            <w:r>
              <w:rPr>
                <w:rFonts w:ascii="宋体" w:eastAsia="宋体" w:hAnsi="宋体" w:hint="eastAsia"/>
                <w:szCs w:val="21"/>
              </w:rPr>
              <w:t>服务记录</w:t>
            </w:r>
          </w:p>
        </w:tc>
        <w:tc>
          <w:tcPr>
            <w:tcW w:w="6541" w:type="dxa"/>
          </w:tcPr>
          <w:p w:rsidR="0039640F" w:rsidRPr="009C7CDE" w:rsidRDefault="001158CC" w:rsidP="001A7BE0">
            <w:pPr>
              <w:pStyle w:val="Default"/>
              <w:jc w:val="center"/>
              <w:rPr>
                <w:rFonts w:hAnsi="宋体"/>
                <w:color w:val="auto"/>
                <w:sz w:val="21"/>
                <w:szCs w:val="21"/>
              </w:rPr>
            </w:pPr>
            <w:r>
              <w:rPr>
                <w:rFonts w:hAnsi="宋体" w:hint="eastAsia"/>
                <w:sz w:val="21"/>
                <w:szCs w:val="21"/>
              </w:rPr>
              <w:t>维保方完成合同设备的巡检服务和维修服务之后</w:t>
            </w:r>
            <w:r>
              <w:rPr>
                <w:rFonts w:hAnsi="宋体"/>
                <w:sz w:val="21"/>
                <w:szCs w:val="21"/>
              </w:rPr>
              <w:t>，</w:t>
            </w:r>
            <w:r>
              <w:rPr>
                <w:rFonts w:hAnsi="宋体" w:hint="eastAsia"/>
                <w:sz w:val="21"/>
                <w:szCs w:val="21"/>
              </w:rPr>
              <w:t>按院方要求填写和提交巡检服务记录单和维修记录单。维保方在保修服务年度结束后的十个工作日内向院方书面提供一份合同设备的上一年年度维修服务总结报告。</w:t>
            </w:r>
          </w:p>
        </w:tc>
      </w:tr>
      <w:tr w:rsidR="0039640F" w:rsidRPr="00F71590" w:rsidTr="00601502">
        <w:tc>
          <w:tcPr>
            <w:tcW w:w="1981" w:type="dxa"/>
          </w:tcPr>
          <w:p w:rsidR="0039640F" w:rsidRPr="00F71590" w:rsidRDefault="001158CC" w:rsidP="001A7BE0">
            <w:pPr>
              <w:jc w:val="center"/>
              <w:rPr>
                <w:rFonts w:ascii="宋体" w:hAnsi="宋体" w:cs="宋体"/>
                <w:szCs w:val="21"/>
              </w:rPr>
            </w:pPr>
            <w:r>
              <w:rPr>
                <w:rFonts w:ascii="宋体" w:hAnsi="宋体" w:cs="宋体"/>
                <w:szCs w:val="21"/>
              </w:rPr>
              <w:t>及时响应</w:t>
            </w:r>
          </w:p>
        </w:tc>
        <w:tc>
          <w:tcPr>
            <w:tcW w:w="6541" w:type="dxa"/>
          </w:tcPr>
          <w:p w:rsidR="0039640F" w:rsidRPr="0058103A" w:rsidRDefault="008A71B5" w:rsidP="0058103A">
            <w:pPr>
              <w:tabs>
                <w:tab w:val="left" w:pos="180"/>
              </w:tabs>
              <w:spacing w:line="360" w:lineRule="auto"/>
              <w:ind w:firstLine="540"/>
              <w:rPr>
                <w:rFonts w:ascii="宋体" w:eastAsia="宋体" w:hAnsi="宋体"/>
                <w:szCs w:val="21"/>
              </w:rPr>
            </w:pPr>
            <w:r>
              <w:rPr>
                <w:rFonts w:ascii="宋体" w:eastAsia="宋体" w:hAnsi="宋体" w:hint="eastAsia"/>
                <w:szCs w:val="21"/>
              </w:rPr>
              <w:t>7*24小时待命，节假日正常服务。</w:t>
            </w:r>
            <w:r w:rsidR="001158CC">
              <w:rPr>
                <w:rFonts w:ascii="宋体" w:eastAsia="宋体" w:hAnsi="宋体" w:hint="eastAsia"/>
                <w:szCs w:val="21"/>
              </w:rPr>
              <w:t>接维护通知,维保方在30分钟内派出维修人员，2小时内到达设备的现场，4小时内修复设备故障，重大故障须更换配件，在2个工作日内修复，使设备正常运行。</w:t>
            </w:r>
          </w:p>
        </w:tc>
      </w:tr>
      <w:tr w:rsidR="00835A00" w:rsidTr="00835A00">
        <w:tc>
          <w:tcPr>
            <w:tcW w:w="1981" w:type="dxa"/>
          </w:tcPr>
          <w:p w:rsidR="00835A00" w:rsidRPr="00835A00" w:rsidRDefault="00835A00" w:rsidP="00835A00">
            <w:pPr>
              <w:spacing w:line="360" w:lineRule="auto"/>
              <w:ind w:firstLine="540"/>
              <w:rPr>
                <w:rFonts w:ascii="宋体" w:eastAsia="宋体" w:hAnsi="宋体"/>
                <w:szCs w:val="21"/>
              </w:rPr>
            </w:pPr>
            <w:r w:rsidRPr="00835A00">
              <w:rPr>
                <w:rFonts w:ascii="宋体" w:eastAsia="宋体" w:hAnsi="宋体"/>
                <w:szCs w:val="21"/>
              </w:rPr>
              <w:t>按时核算</w:t>
            </w:r>
          </w:p>
        </w:tc>
        <w:tc>
          <w:tcPr>
            <w:tcW w:w="6541" w:type="dxa"/>
          </w:tcPr>
          <w:p w:rsidR="00835A00" w:rsidRPr="00835A00" w:rsidRDefault="00835A00" w:rsidP="00835A00">
            <w:pPr>
              <w:spacing w:line="360" w:lineRule="auto"/>
              <w:ind w:firstLine="540"/>
              <w:rPr>
                <w:rFonts w:ascii="宋体" w:eastAsia="宋体" w:hAnsi="宋体"/>
                <w:szCs w:val="21"/>
              </w:rPr>
            </w:pPr>
            <w:r w:rsidRPr="00835A00">
              <w:rPr>
                <w:rFonts w:ascii="宋体" w:eastAsia="宋体" w:hAnsi="宋体"/>
                <w:szCs w:val="21"/>
              </w:rPr>
              <w:t>每月核算在用自助机台数，按月度核算报告，年底结算。</w:t>
            </w:r>
          </w:p>
        </w:tc>
      </w:tr>
      <w:tr w:rsidR="00601502" w:rsidTr="00BF094A">
        <w:trPr>
          <w:trHeight w:val="884"/>
        </w:trPr>
        <w:tc>
          <w:tcPr>
            <w:tcW w:w="1981" w:type="dxa"/>
            <w:vAlign w:val="center"/>
          </w:tcPr>
          <w:p w:rsidR="00601502" w:rsidRPr="00F71590" w:rsidRDefault="00601502" w:rsidP="009E37B3">
            <w:pPr>
              <w:spacing w:line="540" w:lineRule="exact"/>
              <w:jc w:val="center"/>
              <w:rPr>
                <w:rFonts w:ascii="宋体" w:hAnsi="宋体"/>
                <w:szCs w:val="21"/>
              </w:rPr>
            </w:pPr>
            <w:r w:rsidRPr="00A73C97">
              <w:rPr>
                <w:rFonts w:ascii="宋体" w:hAnsi="宋体" w:hint="eastAsia"/>
                <w:szCs w:val="21"/>
              </w:rPr>
              <w:t>版本升级服务</w:t>
            </w:r>
          </w:p>
        </w:tc>
        <w:tc>
          <w:tcPr>
            <w:tcW w:w="6541" w:type="dxa"/>
            <w:vAlign w:val="center"/>
          </w:tcPr>
          <w:p w:rsidR="00601502" w:rsidRPr="00C05931" w:rsidRDefault="00601502" w:rsidP="0058103A">
            <w:pPr>
              <w:widowControl/>
              <w:kinsoku w:val="0"/>
              <w:autoSpaceDE w:val="0"/>
              <w:autoSpaceDN w:val="0"/>
              <w:adjustRightInd w:val="0"/>
              <w:snapToGrid w:val="0"/>
              <w:spacing w:beforeLines="50" w:line="360" w:lineRule="auto"/>
              <w:jc w:val="left"/>
              <w:textAlignment w:val="baseline"/>
              <w:rPr>
                <w:rFonts w:ascii="宋体" w:hAnsi="宋体"/>
                <w:szCs w:val="21"/>
              </w:rPr>
            </w:pPr>
            <w:r w:rsidRPr="00A73C97">
              <w:rPr>
                <w:rFonts w:ascii="宋体" w:hAnsi="宋体" w:hint="eastAsia"/>
                <w:szCs w:val="21"/>
              </w:rPr>
              <w:t>维保期内院方可享受维保方标准模块的免费升级服务。针对该系统自身缺陷和政府政策要求，终生免费升级。</w:t>
            </w:r>
            <w:r w:rsidR="001C7B77">
              <w:rPr>
                <w:rFonts w:ascii="宋体" w:hAnsi="宋体" w:hint="eastAsia"/>
                <w:szCs w:val="21"/>
              </w:rPr>
              <w:t>如有HIS等医院信息系统升级所引起的升级需求，院方可享受免费升级服务。</w:t>
            </w:r>
          </w:p>
        </w:tc>
      </w:tr>
      <w:tr w:rsidR="00B86221" w:rsidTr="00F77ED8">
        <w:tc>
          <w:tcPr>
            <w:tcW w:w="1981" w:type="dxa"/>
            <w:vAlign w:val="center"/>
          </w:tcPr>
          <w:p w:rsidR="00B86221" w:rsidRPr="00120B11" w:rsidRDefault="00B86221" w:rsidP="009E37B3">
            <w:pPr>
              <w:spacing w:line="540" w:lineRule="exact"/>
              <w:jc w:val="center"/>
              <w:rPr>
                <w:rFonts w:ascii="宋体" w:hAnsi="宋体"/>
                <w:szCs w:val="21"/>
              </w:rPr>
            </w:pPr>
            <w:r>
              <w:rPr>
                <w:rFonts w:ascii="宋体" w:hAnsi="宋体"/>
                <w:szCs w:val="21"/>
              </w:rPr>
              <w:t>系统对接</w:t>
            </w:r>
          </w:p>
        </w:tc>
        <w:tc>
          <w:tcPr>
            <w:tcW w:w="6541" w:type="dxa"/>
            <w:vAlign w:val="center"/>
          </w:tcPr>
          <w:p w:rsidR="00B86221" w:rsidRPr="00120B11" w:rsidRDefault="005933EA" w:rsidP="009E37B3">
            <w:pPr>
              <w:pStyle w:val="Default"/>
              <w:spacing w:line="540" w:lineRule="exact"/>
              <w:jc w:val="center"/>
              <w:rPr>
                <w:rFonts w:eastAsiaTheme="minorEastAsia" w:hAnsi="宋体" w:cstheme="minorBidi"/>
                <w:color w:val="auto"/>
                <w:kern w:val="2"/>
                <w:sz w:val="21"/>
                <w:szCs w:val="21"/>
              </w:rPr>
            </w:pPr>
            <w:r w:rsidRPr="005933EA">
              <w:rPr>
                <w:rFonts w:eastAsiaTheme="minorEastAsia" w:hAnsi="宋体" w:cstheme="minorBidi" w:hint="eastAsia"/>
                <w:color w:val="auto"/>
                <w:kern w:val="2"/>
                <w:sz w:val="21"/>
                <w:szCs w:val="21"/>
              </w:rPr>
              <w:t>维保期内院方可免费享受系统与医院其它信息管理系统的接口开发调试，并按院方要求开放接口和数据库以便其他业务系统开发和调试</w:t>
            </w:r>
            <w:r w:rsidR="00FE51EA">
              <w:rPr>
                <w:rFonts w:eastAsiaTheme="minorEastAsia" w:hAnsi="宋体" w:cstheme="minorBidi" w:hint="eastAsia"/>
                <w:color w:val="auto"/>
                <w:kern w:val="2"/>
                <w:sz w:val="21"/>
                <w:szCs w:val="21"/>
              </w:rPr>
              <w:t>。</w:t>
            </w:r>
          </w:p>
        </w:tc>
      </w:tr>
      <w:tr w:rsidR="00B86221" w:rsidTr="00F77ED8">
        <w:tc>
          <w:tcPr>
            <w:tcW w:w="1981" w:type="dxa"/>
            <w:vAlign w:val="center"/>
          </w:tcPr>
          <w:p w:rsidR="00B86221" w:rsidRPr="00120B11" w:rsidRDefault="00B86221" w:rsidP="009E37B3">
            <w:pPr>
              <w:spacing w:line="540" w:lineRule="exact"/>
              <w:jc w:val="center"/>
              <w:rPr>
                <w:rFonts w:ascii="宋体" w:hAnsi="宋体"/>
                <w:szCs w:val="21"/>
              </w:rPr>
            </w:pPr>
            <w:r>
              <w:rPr>
                <w:rFonts w:ascii="宋体" w:hAnsi="宋体"/>
                <w:szCs w:val="21"/>
              </w:rPr>
              <w:t>数据安全保障</w:t>
            </w:r>
          </w:p>
        </w:tc>
        <w:tc>
          <w:tcPr>
            <w:tcW w:w="6541" w:type="dxa"/>
            <w:vAlign w:val="center"/>
          </w:tcPr>
          <w:p w:rsidR="00B86221" w:rsidRPr="00120B11" w:rsidRDefault="00B86221" w:rsidP="009E37B3">
            <w:pPr>
              <w:pStyle w:val="Default"/>
              <w:spacing w:line="540" w:lineRule="exact"/>
              <w:jc w:val="center"/>
              <w:rPr>
                <w:rFonts w:eastAsiaTheme="minorEastAsia" w:hAnsi="宋体" w:cstheme="minorBidi"/>
                <w:color w:val="auto"/>
                <w:kern w:val="2"/>
                <w:sz w:val="21"/>
                <w:szCs w:val="21"/>
              </w:rPr>
            </w:pPr>
            <w:r>
              <w:rPr>
                <w:rFonts w:eastAsiaTheme="minorEastAsia" w:hAnsi="宋体" w:cstheme="minorBidi"/>
                <w:color w:val="auto"/>
                <w:kern w:val="2"/>
                <w:sz w:val="21"/>
                <w:szCs w:val="21"/>
              </w:rPr>
              <w:t>维保方必须保证系统数据安全，不出现由于系统问题所导致的数据泄密。维保人员需签署安全保密协议，不得将我院系统内数据外传。</w:t>
            </w:r>
          </w:p>
        </w:tc>
      </w:tr>
      <w:tr w:rsidR="00B86221" w:rsidTr="00F77ED8">
        <w:tc>
          <w:tcPr>
            <w:tcW w:w="1981" w:type="dxa"/>
            <w:vAlign w:val="center"/>
          </w:tcPr>
          <w:p w:rsidR="00B86221" w:rsidRPr="00120B11" w:rsidRDefault="00B86221" w:rsidP="009E37B3">
            <w:pPr>
              <w:spacing w:line="540" w:lineRule="exact"/>
              <w:jc w:val="center"/>
              <w:rPr>
                <w:rFonts w:ascii="宋体" w:hAnsi="宋体"/>
                <w:szCs w:val="21"/>
              </w:rPr>
            </w:pPr>
            <w:r>
              <w:rPr>
                <w:rFonts w:ascii="宋体" w:hAnsi="宋体"/>
                <w:szCs w:val="21"/>
              </w:rPr>
              <w:t>网络安全保障</w:t>
            </w:r>
          </w:p>
        </w:tc>
        <w:tc>
          <w:tcPr>
            <w:tcW w:w="6541" w:type="dxa"/>
            <w:vAlign w:val="center"/>
          </w:tcPr>
          <w:p w:rsidR="00B86221" w:rsidRPr="00120B11" w:rsidRDefault="00B86221" w:rsidP="009E37B3">
            <w:pPr>
              <w:pStyle w:val="Default"/>
              <w:spacing w:line="540" w:lineRule="exact"/>
              <w:jc w:val="center"/>
              <w:rPr>
                <w:rFonts w:eastAsiaTheme="minorEastAsia" w:hAnsi="宋体" w:cstheme="minorBidi"/>
                <w:color w:val="auto"/>
                <w:kern w:val="2"/>
                <w:sz w:val="21"/>
                <w:szCs w:val="21"/>
              </w:rPr>
            </w:pPr>
            <w:r>
              <w:rPr>
                <w:rFonts w:eastAsiaTheme="minorEastAsia" w:hAnsi="宋体" w:cstheme="minorBidi"/>
                <w:color w:val="auto"/>
                <w:kern w:val="2"/>
                <w:sz w:val="21"/>
                <w:szCs w:val="21"/>
              </w:rPr>
              <w:t>维保方必须保证网络安全。如有网络攻防演练等网络安全行动，院方享受免费服务。</w:t>
            </w:r>
          </w:p>
        </w:tc>
      </w:tr>
    </w:tbl>
    <w:p w:rsidR="0039640F" w:rsidRPr="00933551" w:rsidRDefault="0039640F" w:rsidP="00933551">
      <w:pPr>
        <w:pStyle w:val="3"/>
        <w:shd w:val="clear" w:color="auto" w:fill="FFFFFF"/>
        <w:spacing w:before="0" w:beforeAutospacing="0" w:after="54" w:afterAutospacing="0" w:line="299" w:lineRule="atLeast"/>
        <w:rPr>
          <w:b w:val="0"/>
          <w:bCs w:val="0"/>
          <w:sz w:val="21"/>
          <w:szCs w:val="21"/>
        </w:rPr>
      </w:pPr>
      <w:r w:rsidRPr="00933551">
        <w:rPr>
          <w:rFonts w:hint="eastAsia"/>
          <w:b w:val="0"/>
          <w:bCs w:val="0"/>
          <w:sz w:val="21"/>
          <w:szCs w:val="21"/>
        </w:rPr>
        <w:t>我院自助机品牌</w:t>
      </w:r>
      <w:r w:rsidR="00933551" w:rsidRPr="00933551">
        <w:rPr>
          <w:rFonts w:hint="eastAsia"/>
          <w:b w:val="0"/>
          <w:bCs w:val="0"/>
          <w:sz w:val="21"/>
          <w:szCs w:val="21"/>
        </w:rPr>
        <w:t>出自</w:t>
      </w:r>
      <w:hyperlink r:id="rId6" w:tgtFrame="_blank" w:history="1">
        <w:r w:rsidR="00A44694" w:rsidRPr="00933551">
          <w:rPr>
            <w:b w:val="0"/>
            <w:bCs w:val="0"/>
            <w:sz w:val="21"/>
            <w:szCs w:val="21"/>
          </w:rPr>
          <w:t>深圳市证通电子股份有限公司 </w:t>
        </w:r>
      </w:hyperlink>
      <w:r w:rsidRPr="00933551">
        <w:rPr>
          <w:b w:val="0"/>
          <w:bCs w:val="0"/>
          <w:sz w:val="21"/>
          <w:szCs w:val="21"/>
        </w:rPr>
        <w:t>，参与维保公司要能保证</w:t>
      </w:r>
      <w:r w:rsidR="00AF1CC4">
        <w:rPr>
          <w:b w:val="0"/>
          <w:bCs w:val="0"/>
          <w:sz w:val="21"/>
          <w:szCs w:val="21"/>
        </w:rPr>
        <w:t>自助机</w:t>
      </w:r>
      <w:r w:rsidRPr="00933551">
        <w:rPr>
          <w:b w:val="0"/>
          <w:bCs w:val="0"/>
          <w:sz w:val="21"/>
          <w:szCs w:val="21"/>
        </w:rPr>
        <w:t>的日常正常运行。</w:t>
      </w:r>
    </w:p>
    <w:p w:rsidR="00C33A95" w:rsidRPr="0039640F" w:rsidRDefault="00C33A95"/>
    <w:sectPr w:rsidR="00C33A95" w:rsidRPr="0039640F" w:rsidSect="000128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DB2" w:rsidRDefault="00805DB2" w:rsidP="00001A78">
      <w:pPr>
        <w:ind w:firstLine="420"/>
      </w:pPr>
      <w:r>
        <w:separator/>
      </w:r>
    </w:p>
  </w:endnote>
  <w:endnote w:type="continuationSeparator" w:id="1">
    <w:p w:rsidR="00805DB2" w:rsidRDefault="00805DB2" w:rsidP="00001A7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DB2" w:rsidRDefault="00805DB2" w:rsidP="00001A78">
      <w:pPr>
        <w:ind w:firstLine="420"/>
      </w:pPr>
      <w:r>
        <w:separator/>
      </w:r>
    </w:p>
  </w:footnote>
  <w:footnote w:type="continuationSeparator" w:id="1">
    <w:p w:rsidR="00805DB2" w:rsidRDefault="00805DB2" w:rsidP="00001A78">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A78"/>
    <w:rsid w:val="00001A78"/>
    <w:rsid w:val="000C177C"/>
    <w:rsid w:val="000F7078"/>
    <w:rsid w:val="001158CC"/>
    <w:rsid w:val="00194529"/>
    <w:rsid w:val="001C7B77"/>
    <w:rsid w:val="00207167"/>
    <w:rsid w:val="0039640F"/>
    <w:rsid w:val="003D52CF"/>
    <w:rsid w:val="00447CAA"/>
    <w:rsid w:val="00503701"/>
    <w:rsid w:val="00512C89"/>
    <w:rsid w:val="00515C7F"/>
    <w:rsid w:val="0058103A"/>
    <w:rsid w:val="005933EA"/>
    <w:rsid w:val="005955F7"/>
    <w:rsid w:val="00601502"/>
    <w:rsid w:val="00757C69"/>
    <w:rsid w:val="0077276F"/>
    <w:rsid w:val="00805DB2"/>
    <w:rsid w:val="00835A00"/>
    <w:rsid w:val="0089008C"/>
    <w:rsid w:val="008A71B5"/>
    <w:rsid w:val="00933551"/>
    <w:rsid w:val="009379B4"/>
    <w:rsid w:val="00990A38"/>
    <w:rsid w:val="009A1F09"/>
    <w:rsid w:val="009F5E43"/>
    <w:rsid w:val="00A44694"/>
    <w:rsid w:val="00AB3025"/>
    <w:rsid w:val="00AF1CC4"/>
    <w:rsid w:val="00B43EFC"/>
    <w:rsid w:val="00B86221"/>
    <w:rsid w:val="00B87F79"/>
    <w:rsid w:val="00BF094A"/>
    <w:rsid w:val="00C33A95"/>
    <w:rsid w:val="00CA7F35"/>
    <w:rsid w:val="00CD3364"/>
    <w:rsid w:val="00CE0EA4"/>
    <w:rsid w:val="00D67948"/>
    <w:rsid w:val="00D87D27"/>
    <w:rsid w:val="00E531A1"/>
    <w:rsid w:val="00EE6464"/>
    <w:rsid w:val="00F04171"/>
    <w:rsid w:val="00FB6953"/>
    <w:rsid w:val="00FE5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40F"/>
    <w:pPr>
      <w:widowControl w:val="0"/>
      <w:jc w:val="both"/>
    </w:pPr>
  </w:style>
  <w:style w:type="paragraph" w:styleId="3">
    <w:name w:val="heading 3"/>
    <w:basedOn w:val="a"/>
    <w:link w:val="3Char"/>
    <w:uiPriority w:val="9"/>
    <w:qFormat/>
    <w:rsid w:val="00A4469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A78"/>
    <w:rPr>
      <w:sz w:val="18"/>
      <w:szCs w:val="18"/>
    </w:rPr>
  </w:style>
  <w:style w:type="paragraph" w:styleId="a4">
    <w:name w:val="footer"/>
    <w:basedOn w:val="a"/>
    <w:link w:val="Char0"/>
    <w:uiPriority w:val="99"/>
    <w:unhideWhenUsed/>
    <w:rsid w:val="00001A78"/>
    <w:pPr>
      <w:tabs>
        <w:tab w:val="center" w:pos="4153"/>
        <w:tab w:val="right" w:pos="8306"/>
      </w:tabs>
      <w:snapToGrid w:val="0"/>
      <w:jc w:val="left"/>
    </w:pPr>
    <w:rPr>
      <w:sz w:val="18"/>
      <w:szCs w:val="18"/>
    </w:rPr>
  </w:style>
  <w:style w:type="character" w:customStyle="1" w:styleId="Char0">
    <w:name w:val="页脚 Char"/>
    <w:basedOn w:val="a0"/>
    <w:link w:val="a4"/>
    <w:uiPriority w:val="99"/>
    <w:rsid w:val="00001A78"/>
    <w:rPr>
      <w:sz w:val="18"/>
      <w:szCs w:val="18"/>
    </w:rPr>
  </w:style>
  <w:style w:type="table" w:styleId="a5">
    <w:name w:val="Table Grid"/>
    <w:basedOn w:val="a1"/>
    <w:uiPriority w:val="59"/>
    <w:rsid w:val="00001A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9640F"/>
    <w:pPr>
      <w:widowControl w:val="0"/>
      <w:autoSpaceDE w:val="0"/>
      <w:autoSpaceDN w:val="0"/>
      <w:adjustRightInd w:val="0"/>
    </w:pPr>
    <w:rPr>
      <w:rFonts w:ascii="宋体" w:eastAsia="宋体" w:hAnsi="Times New Roman" w:cs="宋体"/>
      <w:color w:val="000000"/>
      <w:kern w:val="0"/>
      <w:sz w:val="24"/>
      <w:szCs w:val="24"/>
    </w:rPr>
  </w:style>
  <w:style w:type="character" w:customStyle="1" w:styleId="3Char">
    <w:name w:val="标题 3 Char"/>
    <w:basedOn w:val="a0"/>
    <w:link w:val="3"/>
    <w:uiPriority w:val="9"/>
    <w:rsid w:val="00A44694"/>
    <w:rPr>
      <w:rFonts w:ascii="宋体" w:eastAsia="宋体" w:hAnsi="宋体" w:cs="宋体"/>
      <w:b/>
      <w:bCs/>
      <w:kern w:val="0"/>
      <w:sz w:val="27"/>
      <w:szCs w:val="27"/>
    </w:rPr>
  </w:style>
  <w:style w:type="character" w:styleId="a6">
    <w:name w:val="Hyperlink"/>
    <w:basedOn w:val="a0"/>
    <w:uiPriority w:val="99"/>
    <w:semiHidden/>
    <w:unhideWhenUsed/>
    <w:rsid w:val="00A44694"/>
    <w:rPr>
      <w:color w:val="0000FF"/>
      <w:u w:val="single"/>
    </w:rPr>
  </w:style>
  <w:style w:type="character" w:styleId="a7">
    <w:name w:val="Emphasis"/>
    <w:basedOn w:val="a0"/>
    <w:uiPriority w:val="20"/>
    <w:qFormat/>
    <w:rsid w:val="00A44694"/>
    <w:rPr>
      <w:i/>
      <w:iCs/>
    </w:rPr>
  </w:style>
</w:styles>
</file>

<file path=word/webSettings.xml><?xml version="1.0" encoding="utf-8"?>
<w:webSettings xmlns:r="http://schemas.openxmlformats.org/officeDocument/2006/relationships" xmlns:w="http://schemas.openxmlformats.org/wordprocessingml/2006/main">
  <w:divs>
    <w:div w:id="1587109678">
      <w:bodyDiv w:val="1"/>
      <w:marLeft w:val="0"/>
      <w:marRight w:val="0"/>
      <w:marTop w:val="0"/>
      <w:marBottom w:val="0"/>
      <w:divBdr>
        <w:top w:val="none" w:sz="0" w:space="0" w:color="auto"/>
        <w:left w:val="none" w:sz="0" w:space="0" w:color="auto"/>
        <w:bottom w:val="none" w:sz="0" w:space="0" w:color="auto"/>
        <w:right w:val="none" w:sz="0" w:space="0" w:color="auto"/>
      </w:divBdr>
    </w:div>
    <w:div w:id="16855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6bfoxfXsLtqoHL-JjH-ZmPtRE0wr9b5kbv194_z0ZQRCn-tSHAjg91jR4DLquaT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131</Words>
  <Characters>752</Characters>
  <Application>Microsoft Office Word</Application>
  <DocSecurity>0</DocSecurity>
  <Lines>6</Lines>
  <Paragraphs>1</Paragraphs>
  <ScaleCrop>false</ScaleCrop>
  <Company>P R C</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cp:lastPrinted>2022-07-19T00:42:00Z</cp:lastPrinted>
  <dcterms:created xsi:type="dcterms:W3CDTF">2022-07-12T02:31:00Z</dcterms:created>
  <dcterms:modified xsi:type="dcterms:W3CDTF">2022-07-19T01:28:00Z</dcterms:modified>
</cp:coreProperties>
</file>