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（生物安全柜公开挂网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十</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生物安全柜</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生物安全柜</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院内公开挂网，最低价评分，在满足所有参数的条件下，报价最低者中标，如有两个并列最低价，则由两个并列最低价投标人再次报价，直至出现最低报价为止。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生物安全柜</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3.26</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1、A2级生物安全柜，产品执行标准:中华人民共和国医药行业标准 《YY 0569-2011》。</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2、气流模式：达到30%外排，70%内循环要求。</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3、工作区尺寸：长、宽、高≥600*500*520mm；</w:t>
      </w:r>
    </w:p>
    <w:p>
      <w:pPr>
        <w:pStyle w:val="16"/>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4、外形尺寸：长、宽、高≥740*650*1850mm</w:t>
      </w:r>
    </w:p>
    <w:p>
      <w:pPr>
        <w:pStyle w:val="16"/>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5、流入气流：0.53m/s</w:t>
      </w:r>
    </w:p>
    <w:p>
      <w:pPr>
        <w:pStyle w:val="16"/>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6、振动半峰值 ≤5μm</w:t>
      </w:r>
    </w:p>
    <w:p>
      <w:pPr>
        <w:pStyle w:val="16"/>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7、外箱体采用优质冷轧钢板，静电喷塑；操作区三侧采用不锈钢一体化结构，内部可清洗部位采用 ≥10mm大圆角处理，便于清理。</w:t>
      </w:r>
    </w:p>
    <w:p>
      <w:pPr>
        <w:pStyle w:val="16"/>
        <w:keepNext w:val="0"/>
        <w:keepLines w:val="0"/>
        <w:pageBreakBefore w:val="0"/>
        <w:widowControl w:val="0"/>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8、标配两块ULPA超高效过滤器,针对0.12μm颗粒系可以达到99.999%截流效率，过滤膜材质采用无隔板硼硅酸盐玻璃纤维。</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cs="Courier New" w:asciiTheme="majorEastAsia" w:hAnsiTheme="majorEastAsia" w:eastAsia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kern w:val="2"/>
          <w:sz w:val="24"/>
          <w:szCs w:val="24"/>
          <w:lang w:val="en-US" w:eastAsia="zh-CN" w:bidi="ar-SA"/>
        </w:rPr>
        <w:t>9、</w:t>
      </w:r>
      <w:r>
        <w:rPr>
          <w:rFonts w:hint="eastAsia" w:asciiTheme="majorEastAsia" w:hAnsiTheme="majorEastAsia" w:eastAsiaTheme="majorEastAsia" w:cstheme="majorEastAsia"/>
          <w:b w:val="0"/>
          <w:bCs w:val="0"/>
          <w:sz w:val="24"/>
          <w:szCs w:val="24"/>
        </w:rPr>
        <w:t>控制软件</w:t>
      </w:r>
      <w:r>
        <w:rPr>
          <w:rFonts w:hint="eastAsia" w:cs="宋体" w:asciiTheme="majorEastAsia" w:hAnsiTheme="majorEastAsia" w:eastAsiaTheme="majorEastAsia"/>
          <w:b w:val="0"/>
          <w:bCs w:val="0"/>
          <w:color w:val="000000" w:themeColor="text1"/>
          <w:sz w:val="24"/>
          <w:szCs w:val="24"/>
          <w14:textFill>
            <w14:solidFill>
              <w14:schemeClr w14:val="tx1"/>
            </w14:solidFill>
          </w14:textFill>
        </w:rPr>
        <w:t>LCD液晶屏显示可显示工作区温度、气流流速、过滤膜使用寿命等系统参数，可调节各项参数设定，显示屏数字指示各项参数示值，</w:t>
      </w:r>
      <w:r>
        <w:rPr>
          <w:rFonts w:hint="eastAsia" w:cs="Courier New" w:asciiTheme="majorEastAsia" w:hAnsiTheme="majorEastAsia" w:eastAsiaTheme="majorEastAsia"/>
          <w:b w:val="0"/>
          <w:bCs w:val="0"/>
          <w:color w:val="000000" w:themeColor="text1"/>
          <w:sz w:val="24"/>
          <w:szCs w:val="24"/>
          <w14:textFill>
            <w14:solidFill>
              <w14:schemeClr w14:val="tx1"/>
            </w14:solidFill>
          </w14:textFill>
        </w:rPr>
        <w:t>密码修改程序设置，防止误操作。</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asciiTheme="majorEastAsia" w:hAnsiTheme="majorEastAsia" w:eastAsiaTheme="majorEastAsia" w:cstheme="majorEastAsia"/>
          <w:b w:val="0"/>
          <w:bCs w:val="0"/>
          <w:kern w:val="0"/>
          <w:sz w:val="24"/>
          <w:szCs w:val="24"/>
        </w:rPr>
      </w:pPr>
      <w:r>
        <w:rPr>
          <w:rFonts w:hint="eastAsia" w:ascii="宋体" w:hAnsi="宋体" w:eastAsia="宋体" w:cs="宋体"/>
          <w:b w:val="0"/>
          <w:bCs w:val="0"/>
          <w:sz w:val="24"/>
          <w:szCs w:val="24"/>
          <w:lang w:val="en-US" w:eastAsia="zh-CN"/>
        </w:rPr>
        <w:t>10、</w:t>
      </w:r>
      <w:r>
        <w:rPr>
          <w:rFonts w:hint="eastAsia" w:asciiTheme="majorEastAsia" w:hAnsiTheme="majorEastAsia" w:eastAsiaTheme="majorEastAsia" w:cstheme="majorEastAsia"/>
          <w:b w:val="0"/>
          <w:bCs w:val="0"/>
          <w:kern w:val="0"/>
          <w:sz w:val="24"/>
          <w:szCs w:val="24"/>
        </w:rPr>
        <w:t>负压防泄漏设计，工作区四面负压包围，做到</w:t>
      </w:r>
      <w:r>
        <w:rPr>
          <w:rFonts w:hint="eastAsia" w:asciiTheme="majorEastAsia" w:hAnsiTheme="majorEastAsia" w:eastAsiaTheme="majorEastAsia" w:cstheme="majorEastAsia"/>
          <w:b w:val="0"/>
          <w:bCs w:val="0"/>
          <w:color w:val="000000" w:themeColor="text1"/>
          <w:kern w:val="0"/>
          <w:sz w:val="24"/>
          <w:szCs w:val="24"/>
          <w14:textFill>
            <w14:solidFill>
              <w14:schemeClr w14:val="tx1"/>
            </w14:solidFill>
          </w14:textFill>
        </w:rPr>
        <w:t>零泄露，</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确保操作区的洁净度。</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11、</w:t>
      </w:r>
      <w:r>
        <w:rPr>
          <w:rFonts w:hint="eastAsia" w:asciiTheme="majorEastAsia" w:hAnsiTheme="majorEastAsia" w:eastAsiaTheme="majorEastAsia" w:cstheme="majorEastAsia"/>
          <w:b w:val="0"/>
          <w:bCs w:val="0"/>
          <w:sz w:val="24"/>
          <w:szCs w:val="24"/>
        </w:rPr>
        <w:t>风机自带电压波动补偿功能，具有阻力感应补偿功能。</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12、</w:t>
      </w:r>
      <w:r>
        <w:rPr>
          <w:rFonts w:hint="eastAsia" w:asciiTheme="majorEastAsia" w:hAnsiTheme="majorEastAsia" w:eastAsiaTheme="majorEastAsia" w:cstheme="majorEastAsia"/>
          <w:b w:val="0"/>
          <w:bCs w:val="0"/>
          <w:sz w:val="24"/>
          <w:szCs w:val="24"/>
        </w:rPr>
        <w:t>温度传感器：可实时检测并显示温度。</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13、</w:t>
      </w:r>
      <w:r>
        <w:rPr>
          <w:rFonts w:hint="eastAsia" w:asciiTheme="majorEastAsia" w:hAnsiTheme="majorEastAsia" w:eastAsiaTheme="majorEastAsia" w:cstheme="majorEastAsia"/>
          <w:b w:val="0"/>
          <w:bCs w:val="0"/>
          <w:sz w:val="24"/>
          <w:szCs w:val="24"/>
        </w:rPr>
        <w:t>配备过滤器预失效和破损及阻塞报警技术，配备风机过载报警提示。</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kern w:val="2"/>
          <w:sz w:val="24"/>
          <w:szCs w:val="24"/>
          <w:lang w:val="en-US" w:eastAsia="zh-CN" w:bidi="ar-SA"/>
        </w:rPr>
        <w:t>14、</w:t>
      </w:r>
      <w:r>
        <w:rPr>
          <w:rFonts w:hint="eastAsia" w:asciiTheme="majorEastAsia" w:hAnsiTheme="majorEastAsia" w:eastAsiaTheme="majorEastAsia" w:cstheme="majorEastAsia"/>
          <w:b w:val="0"/>
          <w:bCs w:val="0"/>
          <w:sz w:val="24"/>
          <w:szCs w:val="24"/>
          <w:lang w:eastAsia="zh-CN"/>
        </w:rPr>
        <w:t>有警报</w:t>
      </w:r>
      <w:r>
        <w:rPr>
          <w:rFonts w:hint="eastAsia" w:asciiTheme="majorEastAsia" w:hAnsiTheme="majorEastAsia" w:eastAsiaTheme="majorEastAsia" w:cstheme="majorEastAsia"/>
          <w:b w:val="0"/>
          <w:bCs w:val="0"/>
          <w:sz w:val="24"/>
          <w:szCs w:val="24"/>
          <w:lang w:val="en-US" w:eastAsia="zh-CN"/>
        </w:rPr>
        <w:t>功能</w:t>
      </w:r>
      <w:r>
        <w:rPr>
          <w:rFonts w:hint="eastAsia" w:asciiTheme="majorEastAsia" w:hAnsiTheme="majorEastAsia" w:eastAsiaTheme="majorEastAsia" w:cstheme="majorEastAsia"/>
          <w:b w:val="0"/>
          <w:bCs w:val="0"/>
          <w:sz w:val="24"/>
          <w:szCs w:val="24"/>
        </w:rPr>
        <w:t>，当移动玻璃门超过规定限高值（200mm）时，</w:t>
      </w:r>
      <w:r>
        <w:rPr>
          <w:rFonts w:hint="eastAsia" w:asciiTheme="majorEastAsia" w:hAnsiTheme="majorEastAsia" w:eastAsiaTheme="majorEastAsia" w:cstheme="majorEastAsia"/>
          <w:b w:val="0"/>
          <w:bCs w:val="0"/>
          <w:sz w:val="24"/>
          <w:szCs w:val="24"/>
          <w:lang w:eastAsia="zh-CN"/>
        </w:rPr>
        <w:t>警示</w:t>
      </w:r>
      <w:r>
        <w:rPr>
          <w:rFonts w:hint="eastAsia" w:asciiTheme="majorEastAsia" w:hAnsiTheme="majorEastAsia" w:eastAsiaTheme="majorEastAsia" w:cstheme="majorEastAsia"/>
          <w:b w:val="0"/>
          <w:bCs w:val="0"/>
          <w:sz w:val="24"/>
          <w:szCs w:val="24"/>
        </w:rPr>
        <w:t>提醒用户。</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sz w:val="24"/>
          <w:szCs w:val="24"/>
          <w:lang w:val="en-US" w:eastAsia="zh-CN"/>
        </w:rPr>
        <w:t>15、</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 xml:space="preserve">紫外灯具有定时预约功能。                                 </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宋体" w:hAnsi="宋体" w:eastAsia="宋体" w:cs="宋体"/>
          <w:b w:val="0"/>
          <w:bCs w:val="0"/>
          <w:sz w:val="24"/>
          <w:szCs w:val="24"/>
          <w:lang w:val="en-US" w:eastAsia="zh-CN"/>
        </w:rPr>
        <w:t>16、</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前窗一体化滑动移门，可任意定位，且能完全关闭以便杀菌。前窗玻璃门采用不低于6mm厚安全钢化玻璃。</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17、</w:t>
      </w:r>
      <w:r>
        <w:rPr>
          <w:rFonts w:hint="eastAsia" w:asciiTheme="majorEastAsia" w:hAnsiTheme="majorEastAsia" w:eastAsiaTheme="majorEastAsia" w:cstheme="majorEastAsia"/>
          <w:b w:val="0"/>
          <w:bCs w:val="0"/>
          <w:sz w:val="24"/>
          <w:szCs w:val="24"/>
        </w:rPr>
        <w:t>前窗与杀菌灯连锁设计：当前窗开启时，杀菌灯熄灭。</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18、</w:t>
      </w:r>
      <w:r>
        <w:rPr>
          <w:rFonts w:hint="eastAsia" w:asciiTheme="majorEastAsia" w:hAnsiTheme="majorEastAsia" w:eastAsiaTheme="majorEastAsia" w:cstheme="majorEastAsia"/>
          <w:b w:val="0"/>
          <w:bCs w:val="0"/>
          <w:sz w:val="24"/>
          <w:szCs w:val="24"/>
        </w:rPr>
        <w:t>具有因停电</w:t>
      </w:r>
      <w:r>
        <w:rPr>
          <w:rFonts w:hint="eastAsia" w:asciiTheme="majorEastAsia" w:hAnsiTheme="majorEastAsia" w:eastAsiaTheme="majorEastAsia" w:cstheme="majorEastAsia"/>
          <w:b w:val="0"/>
          <w:bCs w:val="0"/>
          <w:sz w:val="24"/>
          <w:szCs w:val="24"/>
          <w:lang w:eastAsia="zh-CN"/>
        </w:rPr>
        <w:t>、</w:t>
      </w:r>
      <w:r>
        <w:rPr>
          <w:rFonts w:hint="eastAsia" w:asciiTheme="majorEastAsia" w:hAnsiTheme="majorEastAsia" w:eastAsiaTheme="majorEastAsia" w:cstheme="majorEastAsia"/>
          <w:b w:val="0"/>
          <w:bCs w:val="0"/>
          <w:sz w:val="24"/>
          <w:szCs w:val="24"/>
        </w:rPr>
        <w:t>死机状态数据丢失</w:t>
      </w:r>
      <w:r>
        <w:rPr>
          <w:rFonts w:hint="eastAsia" w:asciiTheme="majorEastAsia" w:hAnsiTheme="majorEastAsia" w:eastAsiaTheme="majorEastAsia" w:cstheme="majorEastAsia"/>
          <w:b w:val="0"/>
          <w:bCs w:val="0"/>
          <w:sz w:val="24"/>
          <w:szCs w:val="24"/>
          <w:lang w:val="en-US" w:eastAsia="zh-CN"/>
        </w:rPr>
        <w:t>的</w:t>
      </w:r>
      <w:r>
        <w:rPr>
          <w:rFonts w:hint="eastAsia" w:asciiTheme="majorEastAsia" w:hAnsiTheme="majorEastAsia" w:eastAsiaTheme="majorEastAsia" w:cstheme="majorEastAsia"/>
          <w:b w:val="0"/>
          <w:bCs w:val="0"/>
          <w:sz w:val="24"/>
          <w:szCs w:val="24"/>
        </w:rPr>
        <w:t>参数记忆保护</w:t>
      </w:r>
      <w:r>
        <w:rPr>
          <w:rFonts w:hint="eastAsia" w:asciiTheme="majorEastAsia" w:hAnsiTheme="majorEastAsia" w:eastAsiaTheme="majorEastAsia" w:cstheme="majorEastAsia"/>
          <w:b w:val="0"/>
          <w:bCs w:val="0"/>
          <w:sz w:val="24"/>
          <w:szCs w:val="24"/>
          <w:lang w:val="en-US" w:eastAsia="zh-CN"/>
        </w:rPr>
        <w:t>功能</w:t>
      </w: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lang w:val="en-US" w:eastAsia="zh-CN"/>
        </w:rPr>
        <w:t>具有</w:t>
      </w:r>
      <w:r>
        <w:rPr>
          <w:rFonts w:hint="eastAsia" w:asciiTheme="majorEastAsia" w:hAnsiTheme="majorEastAsia" w:eastAsiaTheme="majorEastAsia" w:cstheme="majorEastAsia"/>
          <w:b w:val="0"/>
          <w:bCs w:val="0"/>
          <w:sz w:val="24"/>
          <w:szCs w:val="24"/>
        </w:rPr>
        <w:t>来电恢复功能。</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19、</w:t>
      </w:r>
      <w:r>
        <w:rPr>
          <w:rFonts w:hint="eastAsia" w:asciiTheme="majorEastAsia" w:hAnsiTheme="majorEastAsia" w:eastAsiaTheme="majorEastAsia" w:cstheme="majorEastAsia"/>
          <w:b w:val="0"/>
          <w:bCs w:val="0"/>
          <w:sz w:val="24"/>
          <w:szCs w:val="24"/>
        </w:rPr>
        <w:t>前吸入口采用回风无阻碍的设计,防止逆流的形成。</w:t>
      </w:r>
    </w:p>
    <w:p>
      <w:pPr>
        <w:keepNext w:val="0"/>
        <w:keepLines w:val="0"/>
        <w:pageBreakBefore w:val="0"/>
        <w:widowControl w:val="0"/>
        <w:kinsoku/>
        <w:wordWrap/>
        <w:overflowPunct/>
        <w:topLinePunct w:val="0"/>
        <w:autoSpaceDE/>
        <w:autoSpaceDN/>
        <w:bidi w:val="0"/>
        <w:ind w:firstLine="480" w:firstLineChars="200"/>
        <w:textAlignment w:val="auto"/>
        <w:rPr>
          <w:rFonts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20</w:t>
      </w:r>
      <w:r>
        <w:rPr>
          <w:rFonts w:hint="eastAsia" w:asciiTheme="majorEastAsia" w:hAnsiTheme="majorEastAsia" w:eastAsiaTheme="majorEastAsia" w:cstheme="majorEastAsia"/>
          <w:b w:val="0"/>
          <w:bCs w:val="0"/>
          <w:sz w:val="24"/>
          <w:szCs w:val="24"/>
        </w:rPr>
        <w:t>生物安全性：</w:t>
      </w:r>
    </w:p>
    <w:p>
      <w:pPr>
        <w:keepNext w:val="0"/>
        <w:keepLines w:val="0"/>
        <w:pageBreakBefore w:val="0"/>
        <w:widowControl w:val="0"/>
        <w:kinsoku/>
        <w:wordWrap/>
        <w:overflowPunct/>
        <w:topLinePunct w:val="0"/>
        <w:autoSpaceDE/>
        <w:autoSpaceDN/>
        <w:bidi w:val="0"/>
        <w:ind w:firstLine="720" w:firstLineChars="300"/>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（1）人员安全性： 撞击式采样器的菌落数≤10CFU/次</w:t>
      </w:r>
    </w:p>
    <w:p>
      <w:pPr>
        <w:keepNext w:val="0"/>
        <w:keepLines w:val="0"/>
        <w:pageBreakBefore w:val="0"/>
        <w:widowControl w:val="0"/>
        <w:kinsoku/>
        <w:wordWrap/>
        <w:overflowPunct/>
        <w:topLinePunct w:val="0"/>
        <w:autoSpaceDE/>
        <w:autoSpaceDN/>
        <w:bidi w:val="0"/>
        <w:ind w:firstLine="2880" w:firstLineChars="1200"/>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狭缝式采样器的菌落数≤5CFU/次</w:t>
      </w:r>
    </w:p>
    <w:p>
      <w:pPr>
        <w:keepNext w:val="0"/>
        <w:keepLines w:val="0"/>
        <w:pageBreakBefore w:val="0"/>
        <w:widowControl w:val="0"/>
        <w:kinsoku/>
        <w:wordWrap/>
        <w:overflowPunct/>
        <w:topLinePunct w:val="0"/>
        <w:autoSpaceDE/>
        <w:autoSpaceDN/>
        <w:bidi w:val="0"/>
        <w:ind w:firstLine="720" w:firstLineChars="300"/>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（2）产品安全性： 菌落数≤5CFU/次</w:t>
      </w:r>
    </w:p>
    <w:p>
      <w:pPr>
        <w:keepNext w:val="0"/>
        <w:keepLines w:val="0"/>
        <w:pageBreakBefore w:val="0"/>
        <w:widowControl w:val="0"/>
        <w:kinsoku/>
        <w:wordWrap/>
        <w:overflowPunct/>
        <w:topLinePunct w:val="0"/>
        <w:autoSpaceDE/>
        <w:autoSpaceDN/>
        <w:bidi w:val="0"/>
        <w:ind w:firstLine="720" w:firstLineChars="300"/>
        <w:textAlignment w:val="auto"/>
        <w:rPr>
          <w:rFonts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（3）交叉污染安全性：菌落数≤2CFU/次</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21、</w:t>
      </w:r>
      <w:r>
        <w:rPr>
          <w:rFonts w:hint="eastAsia" w:asciiTheme="majorEastAsia" w:hAnsiTheme="majorEastAsia" w:eastAsiaTheme="majorEastAsia" w:cstheme="majorEastAsia"/>
          <w:b w:val="0"/>
          <w:bCs w:val="0"/>
          <w:sz w:val="24"/>
          <w:szCs w:val="24"/>
        </w:rPr>
        <w:t>柜内电源：防水插座设计，整机具有断电保护功能。</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Theme="majorEastAsia" w:hAnsiTheme="majorEastAsia" w:eastAsiaTheme="majorEastAsia" w:cstheme="majorEastAsia"/>
          <w:b w:val="0"/>
          <w:bCs w:val="0"/>
          <w:sz w:val="24"/>
          <w:szCs w:val="24"/>
        </w:rPr>
      </w:pPr>
      <w:r>
        <w:rPr>
          <w:rFonts w:hint="eastAsia" w:ascii="宋体" w:hAnsi="宋体" w:eastAsia="宋体" w:cs="宋体"/>
          <w:b w:val="0"/>
          <w:bCs w:val="0"/>
          <w:sz w:val="24"/>
          <w:szCs w:val="24"/>
          <w:lang w:val="en-US" w:eastAsia="zh-CN"/>
        </w:rPr>
        <w:t>22、</w:t>
      </w:r>
      <w:r>
        <w:rPr>
          <w:rFonts w:hint="eastAsia" w:asciiTheme="majorEastAsia" w:hAnsiTheme="majorEastAsia" w:eastAsiaTheme="majorEastAsia" w:cstheme="majorEastAsia"/>
          <w:b w:val="0"/>
          <w:bCs w:val="0"/>
          <w:sz w:val="24"/>
          <w:szCs w:val="24"/>
        </w:rPr>
        <w:t>生产企业具备医疗器械生产许可证</w:t>
      </w:r>
      <w:r>
        <w:rPr>
          <w:rFonts w:hint="eastAsia" w:asciiTheme="majorEastAsia" w:hAnsiTheme="majorEastAsia" w:eastAsiaTheme="majorEastAsia" w:cstheme="majorEastAsia"/>
          <w:b w:val="0"/>
          <w:bCs w:val="0"/>
          <w:sz w:val="24"/>
          <w:szCs w:val="24"/>
          <w:lang w:eastAsia="zh-CN"/>
        </w:rPr>
        <w:t>。</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6、在投标文件中必须提供相关佐证资料（加盖原厂公章的技术参数、技术白皮书、说明书、彩页），并在响应表中备注该条参数响应或正偏离的佐证资料所在页码。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生物安全柜</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生物安全柜</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生物安全柜</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5.1 本合同设</w:t>
      </w:r>
      <w:r>
        <w:rPr>
          <w:rFonts w:hint="eastAsia" w:ascii="宋体" w:hAnsi="宋体" w:eastAsia="宋体" w:cs="宋体"/>
          <w:color w:val="000000" w:themeColor="text1"/>
          <w:sz w:val="24"/>
          <w:szCs w:val="24"/>
          <w:lang w:val="en-US" w:eastAsia="zh-CN"/>
          <w14:textFill>
            <w14:solidFill>
              <w14:schemeClr w14:val="tx1"/>
            </w14:solidFill>
          </w14:textFill>
        </w:rPr>
        <w:t>备质保期为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Start w:id="4" w:name="_GoBack"/>
      <w:r>
        <w:rPr>
          <w:rFonts w:hint="eastAsia" w:ascii="宋体" w:hAnsi="宋体" w:eastAsia="宋体" w:cs="宋体"/>
          <w:color w:val="000000" w:themeColor="text1"/>
          <w:sz w:val="24"/>
          <w:szCs w:val="24"/>
          <w:u w:val="single"/>
          <w:lang w:val="en-US" w:eastAsia="zh-CN"/>
          <w14:textFill>
            <w14:solidFill>
              <w14:schemeClr w14:val="tx1"/>
            </w14:solidFill>
          </w14:textFill>
        </w:rPr>
        <w:t>贰</w:t>
      </w:r>
      <w:bookmarkEnd w:id="4"/>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5.2 </w:t>
      </w:r>
      <w:r>
        <w:rPr>
          <w:rFonts w:hint="eastAsia" w:ascii="宋体" w:hAnsi="宋体" w:eastAsia="宋体" w:cs="宋体"/>
          <w:color w:val="000000" w:themeColor="text1"/>
          <w:sz w:val="24"/>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lang w:val="en-US" w:eastAsia="zh-CN"/>
          <w14:textFill>
            <w14:solidFill>
              <w14:schemeClr w14:val="tx1"/>
            </w14:solidFill>
          </w14:textFill>
        </w:rPr>
        <w:t>如设备在</w:t>
      </w:r>
      <w:r>
        <w:rPr>
          <w:rFonts w:hint="eastAsia" w:ascii="宋体" w:hAnsi="宋体" w:eastAsia="宋体" w:cs="宋体"/>
          <w:color w:val="000000" w:themeColor="text1"/>
          <w:sz w:val="24"/>
          <w14:textFill>
            <w14:solidFill>
              <w14:schemeClr w14:val="tx1"/>
            </w14:solidFill>
          </w14:textFill>
        </w:rPr>
        <w:t>质</w:t>
      </w:r>
      <w:r>
        <w:rPr>
          <w:rFonts w:hint="eastAsia" w:ascii="宋体" w:hAnsi="宋体" w:eastAsia="宋体" w:cs="宋体"/>
          <w:color w:val="000000" w:themeColor="text1"/>
          <w:sz w:val="24"/>
          <w:szCs w:val="24"/>
          <w:lang w:val="en-US" w:eastAsia="zh-CN"/>
          <w14:textFill>
            <w14:solidFill>
              <w14:schemeClr w14:val="tx1"/>
            </w14:solidFill>
          </w14:textFill>
        </w:rPr>
        <w:t>保期内出现质量问题，乙方应在接到甲方通知（包括电话通知）后24小时响应，响应后4小时上门服务，相关费用由乙方承担。如乙方不及时履行保修义务，甲方有权委托第三方进行维修，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5.4 质保期届满后，如设备出现问题，乙方应在接到甲方通知（包括电话通知）后24小时响应，响应后4小时上门服务，相关费用由甲方承担。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w:t>
      </w:r>
      <w:r>
        <w:rPr>
          <w:rFonts w:hint="eastAsia" w:ascii="宋体" w:hAnsi="宋体" w:eastAsia="宋体" w:cs="宋体"/>
          <w:color w:val="000000" w:themeColor="text1"/>
          <w:sz w:val="24"/>
          <w:szCs w:val="24"/>
          <w:lang w:val="en-US" w:eastAsia="zh-CN"/>
          <w14:textFill>
            <w14:solidFill>
              <w14:schemeClr w14:val="tx1"/>
            </w14:solidFill>
          </w14:textFill>
        </w:rPr>
        <w:t>认合格之日起4个月内，支付结算总价款的90%；自甲方在总体验收报告单上签字确认合格之日起满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贰 </w:t>
      </w:r>
      <w:r>
        <w:rPr>
          <w:rFonts w:hint="eastAsia" w:ascii="宋体" w:hAnsi="宋体" w:eastAsia="宋体" w:cs="宋体"/>
          <w:color w:val="000000" w:themeColor="text1"/>
          <w:sz w:val="24"/>
          <w:szCs w:val="24"/>
          <w:lang w:val="en-US" w:eastAsia="zh-CN"/>
          <w14:textFill>
            <w14:solidFill>
              <w14:schemeClr w14:val="tx1"/>
            </w14:solidFill>
          </w14:textFill>
        </w:rPr>
        <w:t>年的10个工作日内，免息支付结算总价款的10%。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22833F1"/>
    <w:multiLevelType w:val="singleLevel"/>
    <w:tmpl w:val="F22833F1"/>
    <w:lvl w:ilvl="0" w:tentative="0">
      <w:start w:val="1"/>
      <w:numFmt w:val="decimal"/>
      <w:suff w:val="nothing"/>
      <w:lvlText w:val="%1、"/>
      <w:lvlJc w:val="left"/>
    </w:lvl>
  </w:abstractNum>
  <w:abstractNum w:abstractNumId="2">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6176FE"/>
    <w:rsid w:val="06E91EC4"/>
    <w:rsid w:val="0E331420"/>
    <w:rsid w:val="0EDD1643"/>
    <w:rsid w:val="12054909"/>
    <w:rsid w:val="12080B62"/>
    <w:rsid w:val="12994AC5"/>
    <w:rsid w:val="129F447F"/>
    <w:rsid w:val="1AF56B46"/>
    <w:rsid w:val="1F796B24"/>
    <w:rsid w:val="1FE73549"/>
    <w:rsid w:val="20B41DA7"/>
    <w:rsid w:val="28E81B29"/>
    <w:rsid w:val="29404759"/>
    <w:rsid w:val="2C7642D0"/>
    <w:rsid w:val="2DDA1E78"/>
    <w:rsid w:val="2EAB125F"/>
    <w:rsid w:val="2EAC037F"/>
    <w:rsid w:val="2EB67A5C"/>
    <w:rsid w:val="302741D2"/>
    <w:rsid w:val="308B184D"/>
    <w:rsid w:val="340F06E9"/>
    <w:rsid w:val="372F7378"/>
    <w:rsid w:val="397348CD"/>
    <w:rsid w:val="3B3B544D"/>
    <w:rsid w:val="3B654F2B"/>
    <w:rsid w:val="3B690CE8"/>
    <w:rsid w:val="3E584E51"/>
    <w:rsid w:val="429A4992"/>
    <w:rsid w:val="435B161D"/>
    <w:rsid w:val="43B25DAC"/>
    <w:rsid w:val="4B7F39F4"/>
    <w:rsid w:val="4BAE646F"/>
    <w:rsid w:val="4DCD6AB3"/>
    <w:rsid w:val="50540C20"/>
    <w:rsid w:val="51AC28BD"/>
    <w:rsid w:val="55976FB7"/>
    <w:rsid w:val="611B6B1B"/>
    <w:rsid w:val="64133D6A"/>
    <w:rsid w:val="678E4F5D"/>
    <w:rsid w:val="680E122C"/>
    <w:rsid w:val="6DE375E4"/>
    <w:rsid w:val="71584067"/>
    <w:rsid w:val="74566F5C"/>
    <w:rsid w:val="750117A8"/>
    <w:rsid w:val="77423DFF"/>
    <w:rsid w:val="7BBF44BB"/>
    <w:rsid w:val="7BD43BBE"/>
    <w:rsid w:val="7BF15CE4"/>
    <w:rsid w:val="7C3A27E5"/>
    <w:rsid w:val="7D97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2</TotalTime>
  <ScaleCrop>false</ScaleCrop>
  <LinksUpToDate>false</LinksUpToDate>
  <CharactersWithSpaces>8973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2023-10-17T07:17:36Z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3505A2AB25E048A4A9B0E6A6741CA1BA_11</vt:lpwstr>
  </property>
</Properties>
</file>