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（监护仪</w:t>
      </w:r>
      <w:r>
        <w:rPr>
          <w:rFonts w:hint="eastAsia" w:ascii="Times New Roman" w:hAnsi="Times New Roman" w:eastAsia="宋体" w:cs="Times New Roman"/>
          <w:b/>
          <w:bCs/>
          <w:kern w:val="44"/>
          <w:sz w:val="32"/>
          <w:szCs w:val="32"/>
          <w:lang w:val="en-US" w:eastAsia="zh-CN" w:bidi="ar-SA"/>
        </w:rPr>
        <w:t>院内</w:t>
      </w:r>
      <w:r>
        <w:rPr>
          <w:rFonts w:hint="eastAsia" w:cs="Times New Roman"/>
          <w:b/>
          <w:bCs/>
          <w:kern w:val="44"/>
          <w:sz w:val="32"/>
          <w:szCs w:val="32"/>
          <w:lang w:val="en-US" w:eastAsia="zh-CN" w:bidi="ar-SA"/>
        </w:rPr>
        <w:t>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三</w:t>
      </w:r>
      <w:r>
        <w:rPr>
          <w:rFonts w:hint="eastAsia" w:ascii="宋体" w:hAnsi="宋体" w:cs="宋体"/>
          <w:bCs/>
          <w:sz w:val="32"/>
          <w:szCs w:val="32"/>
        </w:rPr>
        <w:t>年</w:t>
      </w:r>
      <w:r>
        <w:rPr>
          <w:rFonts w:hint="eastAsia" w:ascii="宋体" w:hAnsi="宋体" w:cs="宋体"/>
          <w:bCs/>
          <w:sz w:val="32"/>
          <w:szCs w:val="32"/>
          <w:lang w:val="en-US" w:eastAsia="zh-CN"/>
        </w:rPr>
        <w:t>十一</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监护仪</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监护仪</w:t>
      </w:r>
      <w:r>
        <w:rPr>
          <w:rFonts w:hint="eastAsia" w:asciiTheme="minorEastAsia" w:hAnsiTheme="minorEastAsia" w:eastAsiaTheme="minorEastAsia" w:cstheme="minorEastAsia"/>
          <w:b w:val="0"/>
          <w:bCs/>
          <w:color w:val="auto"/>
          <w:sz w:val="24"/>
          <w:szCs w:val="24"/>
          <w:lang w:val="en-US" w:eastAsia="zh-CN"/>
        </w:rPr>
        <w:t>采购项目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院内公开挂网，最低价评分，在满足所有参数的条件下，报价最低者中标，如有多个并列最低价，则由并列最低价投标人再次报价，直至出现最低报价为止。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1、具有独立法人地位，营业执照具有相应的经营范围；</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1721"/>
        <w:gridCol w:w="1710"/>
        <w:gridCol w:w="2134"/>
        <w:gridCol w:w="278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1721"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监护仪</w:t>
            </w:r>
          </w:p>
        </w:tc>
        <w:tc>
          <w:tcPr>
            <w:tcW w:w="1710"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监护仪2台，血流动力模块1个</w:t>
            </w:r>
            <w:bookmarkStart w:id="4" w:name="_GoBack"/>
            <w:bookmarkEnd w:id="4"/>
          </w:p>
        </w:tc>
        <w:tc>
          <w:tcPr>
            <w:tcW w:w="2134"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18</w:t>
            </w:r>
          </w:p>
        </w:tc>
        <w:tc>
          <w:tcPr>
            <w:tcW w:w="2786"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1.监护仪结构：</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 xml:space="preserve">模块化插件式床边监护仪，主机、显示屏和插件槽一体化设计，主机插槽数≥4个 </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1.2.</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 xml:space="preserve">监护仪主机（非辅助插件箱）每个槽位均具备插件模块红外通讯接口以及金属硬件通讯接口（非供电接口），保证模块通讯速率及稳定性 </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1.3.</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≥15英寸彩色电容触摸屏，高分辨率≥1280×800像素，≥8通道显示，显示屏亮度自动调节，屏幕支持手势滑动操作，支持穿戴医用防护手套操作</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1.4.</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采用无风扇设计</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1.5.</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可内置高能锂电池，供电时间≥4小时</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1.6.</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配置≥4个USB接口，支持连接存储介质、鼠标、键盘、条码扫描枪等USB设备</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2监测参数：</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2.1</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基本功能模块支持心电，呼吸，心率，无创血压，血氧饱和度，脉搏，双通道体温和双通道有创血压的同时监测</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2.2</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标配基本功能模块支持升级从监护仪拔出后作为一个独立的监护仪支持病人的无缝转移，插入监护仪操作插槽作为主机模块，具有独立操作显示屏，屏幕尺寸≥5.5英寸，内置锂电池供电≥4小时，无风扇设计</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2.3.</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ECG支持3/5导心电监测，可选配6/12导联心电监测。</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2.4.</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 xml:space="preserve">支持房颤及室上性心律失常分析功能，如：室上性心动过速，SVCs/min等，标配支持≥27种实时心律失常分析 </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2.5.</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 xml:space="preserve">支持≥3通道心电波形同步分析，可进行多导心电分析 </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2.6.</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 xml:space="preserve">提供ST段分析功能，适用于成人，小儿和新生儿，支持在专门的窗口中分组显示心脏前壁，下壁和侧壁的ST实时片段和参考片段 </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2.7.</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 xml:space="preserve">支持RR呼吸率测量，测量范围：1～200rpm </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2.8.</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具有QT/QTc实时连续测量功能，提供QT，QTc和ΔQTc参数值的显示</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2.9.</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无创血压适用于成人，小儿和新生儿</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2.10.</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无创血压提供手动、自动间隔、连续、序列、整点五种 测量模式</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2.11.</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提供辅助静脉穿刺功能</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2.12.</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 xml:space="preserve">NIBP 成人病人类型收缩压测量：25～290mmHg </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2.13.</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血氧监测适用于成人，小儿和新生儿</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2.14.</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提供灌注指数（PI）的监测</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2.15.</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 xml:space="preserve">配置指套式血氧探头，支持浸泡清洁与消毒，防水等级IPx7 </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2.16.</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 xml:space="preserve">支持双通道有创压IBP监测，支持升级多达6通道有创压监测 </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2.17.</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有创压适用于成人，小儿和新生儿</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2.18.</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 xml:space="preserve">IBP有创压测量范围：-50～360mmHg </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2.19.</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 xml:space="preserve">提供肺动脉锲压（PAWP）的监测和PPV参数监测 </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2.30.</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支持多达6道IBP波形叠加显示，满足临床对比查看和节约显示空间的需求</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2.31.</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支持升级主流、旁流、微流EtCO2监测模块，旁流EtCO2监测模块支持升级顺磁氧监测技术 进行氧气监测，水槽要求易用快速更换</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2.32.支持升级模块，进行RM呼吸力学监测，提供≥18项呼吸力学参数参数指标，可监测包括： PIF峰值吸气流量，PEF峰值呼气流量， WOB病人呼吸功，NIF负吸入压力，RSBI浅呼吸指数 </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2.33.</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 xml:space="preserve">支持升级模块，进行ICG参数监测，可无创监测患者连续心排量 </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2.34.</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支持升级模块，可与主流品牌的麻醉机、输注泵产品相连，实现麻醉机、输注泵设备的信息在监护仪上显示、存储、记录、打印或者用于参与计算。</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3.系统功能：</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3.1.</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具有图形化报警指示功能，看报警信息更容易</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3.2.</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具有报警升级功能，当参数报警经过一定的时间未被处理或伴发了其他报警，就会升级到更高一个级别</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3.3.</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具有特殊报警音，当监护仪在病人发生致命性参数报警时，发出特殊的报警音进行提示病人处于危急状态</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3.4.</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 xml:space="preserve">支持根据病人的参数趋势变化，自动推送推荐报警限 </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3.5.</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 xml:space="preserve">具备参数组合报警功能，可对患者同时多个参数变化给出统一报警提示，预示病人不同生理系统状态改变，提供≥10个预设组合报警，并允许自定义≥10个组合报警 </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3.6.</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标配具备血液动力学，药物计算，氧合计算，通气计算和肾功能计算功能，并提供产品、手册截图证明材料</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3.7.</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 xml:space="preserve">提供血流动力学软件工具，显示完整血流动力学参数，并以图形化界面显示病人心脏收缩力，外周血管阻力等状态，提供电子化血流动力学实验记录，重点参数蛛网图显示评估病人相关参数变化，需提供产品截图证明材料 </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3.8.</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 xml:space="preserve">提供输注泵用药信息回顾工具，可同时间轴显示病人生命体征参数及用药信息回顾，呈现病人生命体征变化趋势与药物输注流速变化之间的关系 </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3.9.</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支持≥100小时趋势表和趋势图回顾 ，最小分辨率1分钟</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4.0.</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支持≥800条事件 回顾。每条报警事件至少能够存储32秒三道相关波形，以及报警触发时所有测量参数值</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4.1.</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具备≥40小时全息波形 的存储与回顾功能</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4.2.</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支持≥100小时ST波形片段的存储与回顾</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4.3.</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患者离开科室，监护仪状态由接收患者到解除患者后，患者数据不删除，支持在监护仪回顾历史病人数据</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4.4.</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 xml:space="preserve">工作模式提供：监护模式、待机模式、抢救模式，体外循环模式、插管模式，夜间模式、隐私模式、演示模式 </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宋体" w:hAnsi="宋体" w:cs="宋体"/>
          <w:color w:val="auto"/>
          <w:sz w:val="24"/>
          <w:szCs w:val="24"/>
          <w:lang w:val="en-US" w:eastAsia="zh-CN"/>
        </w:rPr>
        <w:t>4.5.</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支持与除颤监护仪，遥测，生命体征监测仪、呼吸机混合联通至中心监护系统，实现护士站的集中管理</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监护仪                 2台</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PICCO血流动力学模块   1块</w:t>
      </w:r>
    </w:p>
    <w:p>
      <w:pPr>
        <w:rPr>
          <w:rFonts w:hint="eastAsia"/>
          <w:lang w:val="en-US" w:eastAsia="zh-CN"/>
        </w:rPr>
      </w:pP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3年</w:t>
      </w:r>
      <w:r>
        <w:rPr>
          <w:rFonts w:hint="eastAsia" w:ascii="宋体" w:hAnsi="宋体" w:eastAsia="宋体" w:cs="宋体"/>
          <w:color w:val="auto"/>
          <w:sz w:val="24"/>
          <w:szCs w:val="24"/>
        </w:rPr>
        <w:t>后支付10%余款给乙方。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6、在投标文件中必须提供相关佐证资料（原厂的技术参数、技术白皮书、说明书、彩页），并在响应表中备注该条参数响应或正偏离的佐证资料所在页码。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医院公开挂网采购 </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u w:val="single"/>
          <w:lang w:val="en-US" w:eastAsia="zh-CN"/>
        </w:rPr>
        <w:t xml:space="preserve"> 监护仪及PICCO血流动力学模块 </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eastAsia="宋体" w:cs="宋体"/>
          <w:color w:val="auto"/>
          <w:sz w:val="24"/>
          <w:szCs w:val="24"/>
          <w:u w:val="single"/>
          <w:lang w:val="en-US" w:eastAsia="zh-CN"/>
        </w:rPr>
        <w:t xml:space="preserve"> 监护仪及PICCO血流动力学模块 </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监护仪</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2台</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rPr>
              <w:t>PICCO血流动力学模块</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1块</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1.2 本合同约定</w:t>
      </w:r>
      <w:r>
        <w:rPr>
          <w:rFonts w:hint="eastAsia" w:ascii="宋体" w:hAnsi="宋体" w:eastAsia="宋体" w:cs="宋体"/>
          <w:color w:val="000000" w:themeColor="text1"/>
          <w:sz w:val="24"/>
          <w:szCs w:val="24"/>
          <w:lang w:val="en-US" w:eastAsia="zh-CN"/>
          <w14:textFill>
            <w14:solidFill>
              <w14:schemeClr w14:val="tx1"/>
            </w14:solidFill>
          </w14:textFill>
        </w:rPr>
        <w:t>价格为固定价格，在本合同履行期间，不因市场价格波动作任何调整。</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eastAsia" w:ascii="宋体" w:hAnsi="宋体" w:eastAsia="宋体" w:cs="宋体"/>
          <w:color w:val="auto"/>
          <w:sz w:val="24"/>
          <w:szCs w:val="24"/>
          <w:lang w:val="en-US" w:eastAsia="zh-CN"/>
        </w:rPr>
        <w:t>接到甲方通知15日内</w:t>
      </w:r>
      <w:r>
        <w:rPr>
          <w:rFonts w:hint="default" w:ascii="宋体" w:hAnsi="宋体" w:eastAsia="宋体" w:cs="宋体"/>
          <w:color w:val="auto"/>
          <w:sz w:val="24"/>
          <w:szCs w:val="24"/>
          <w:lang w:val="en-US" w:eastAsia="zh-CN"/>
        </w:rPr>
        <w:t>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eastAsia" w:ascii="宋体" w:hAnsi="宋体" w:eastAsia="宋体" w:cs="宋体"/>
          <w:color w:val="auto"/>
          <w:sz w:val="24"/>
          <w:szCs w:val="24"/>
          <w:lang w:val="en-US" w:eastAsia="zh-CN"/>
        </w:rPr>
        <w:t>在到货后1日内</w:t>
      </w:r>
      <w:r>
        <w:rPr>
          <w:rFonts w:hint="default" w:ascii="宋体" w:hAnsi="宋体" w:eastAsia="宋体" w:cs="宋体"/>
          <w:color w:val="auto"/>
          <w:sz w:val="24"/>
          <w:szCs w:val="24"/>
          <w:lang w:val="en-US" w:eastAsia="zh-CN"/>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00" w:themeColor="text1"/>
          <w:sz w:val="24"/>
          <w:szCs w:val="24"/>
          <w:lang w:val="en-US" w:eastAsia="zh-CN"/>
          <w14:textFill>
            <w14:solidFill>
              <w14:schemeClr w14:val="tx1"/>
            </w14:solidFill>
          </w14:textFill>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 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4</w:t>
      </w:r>
      <w:r>
        <w:rPr>
          <w:rFonts w:hint="eastAsia" w:ascii="宋体" w:hAnsi="宋体" w:eastAsia="宋体" w:cs="宋体"/>
          <w:color w:val="000000" w:themeColor="text1"/>
          <w:sz w:val="24"/>
          <w:szCs w:val="24"/>
          <w:lang w:val="en-US" w:eastAsia="zh-CN"/>
          <w14:textFill>
            <w14:solidFill>
              <w14:schemeClr w14:val="tx1"/>
            </w14:solidFill>
          </w14:textFill>
        </w:rPr>
        <w:t>.5 甲乙双方同意，与本合同有关的任何文书，应以书面方式送达本合同约定的联系方式。书面形式包括手机短信、微信、书面函件、电子邮件等形式。</w:t>
      </w:r>
    </w:p>
    <w:p>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4.6双方确认的文书（包括未来可能发生的诉讼或仲裁活动中法院或仲裁机构的送达法律文书）送达地址：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4.6.1甲方的文书送达地址：</w:t>
      </w:r>
      <w:r>
        <w:rPr>
          <w:rFonts w:hint="eastAsia" w:ascii="宋体" w:hAnsi="宋体" w:eastAsia="宋体" w:cs="宋体"/>
          <w:color w:val="000000" w:themeColor="text1"/>
          <w:sz w:val="24"/>
          <w:szCs w:val="24"/>
          <w:u w:val="single"/>
          <w:lang w:val="en-US" w:eastAsia="zh-CN"/>
          <w14:textFill>
            <w14:solidFill>
              <w14:schemeClr w14:val="tx1"/>
            </w14:solidFill>
          </w14:textFill>
        </w:rPr>
        <w:t>湖南省娄底市娄星区长青中街51号娄底市中心医院</w:t>
      </w:r>
      <w:r>
        <w:rPr>
          <w:rFonts w:hint="eastAsia" w:ascii="宋体" w:hAnsi="宋体" w:eastAsia="宋体" w:cs="宋体"/>
          <w:color w:val="000000" w:themeColor="text1"/>
          <w:sz w:val="24"/>
          <w:szCs w:val="24"/>
          <w:lang w:val="en-US" w:eastAsia="zh-CN"/>
          <w14:textFill>
            <w14:solidFill>
              <w14:schemeClr w14:val="tx1"/>
            </w14:solidFill>
          </w14:textFill>
        </w:rPr>
        <w:t>；收件人：</w:t>
      </w:r>
      <w:r>
        <w:rPr>
          <w:rFonts w:hint="eastAsia" w:ascii="宋体" w:hAnsi="宋体" w:eastAsia="宋体" w:cs="宋体"/>
          <w:color w:val="000000" w:themeColor="text1"/>
          <w:sz w:val="24"/>
          <w:szCs w:val="24"/>
          <w:u w:val="single"/>
          <w:lang w:val="en-US" w:eastAsia="zh-CN"/>
          <w14:textFill>
            <w14:solidFill>
              <w14:schemeClr w14:val="tx1"/>
            </w14:solidFill>
          </w14:textFill>
        </w:rPr>
        <w:t>朱振宇</w:t>
      </w: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15673845559 </w:t>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4.6.2 乙方的文书送达地址</w:t>
      </w: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；联系人：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none"/>
          <w:lang w:val="en-US" w:eastAsia="zh-CN"/>
          <w14:textFill>
            <w14:solidFill>
              <w14:schemeClr w14:val="tx1"/>
            </w14:solidFill>
          </w14:textFill>
        </w:rPr>
        <w:t xml:space="preserve">。 </w:t>
      </w:r>
    </w:p>
    <w:p>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4.7上述通知应被视为在下列时间送达：以快递或专人发送的，在收件人签收之日或拒收之日；以挂号邮件发出的，在发出之日起7个工作日；以电子邮件发出的，在电子邮件进入收件方电子邮箱服务器之日。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4.8以上地址和联系方式，任何一方发生变更应在变更之日起三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eastAsia="宋体" w:cs="宋体"/>
          <w:color w:val="auto"/>
          <w:sz w:val="24"/>
          <w:szCs w:val="24"/>
          <w:u w:val="single"/>
          <w:lang w:val="en-US" w:eastAsia="zh-CN"/>
        </w:rPr>
        <w:t xml:space="preserve"> 3 </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乙方在质保期内免费提供维修、更换、保养、咨询等服务。</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w:t>
      </w:r>
      <w:r>
        <w:rPr>
          <w:rFonts w:hint="eastAsia" w:ascii="宋体" w:hAnsi="宋体" w:eastAsia="宋体" w:cs="宋体"/>
          <w:color w:val="000000" w:themeColor="text1"/>
          <w:sz w:val="24"/>
          <w:szCs w:val="24"/>
          <w:lang w:val="en-US" w:eastAsia="zh-CN"/>
          <w14:textFill>
            <w14:solidFill>
              <w14:schemeClr w14:val="tx1"/>
            </w14:solidFill>
          </w14:textFill>
        </w:rPr>
        <w:t>期内出现质量问题，乙方应在接到甲方通知（包括电话通知）后24小时响应，响应后4小时上门服务，相关费用由乙方承担。如乙方不及时履行保修义务，甲方有权委托第三方进行维修，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479" w:leftChars="228" w:firstLine="0" w:firstLine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5.4 质保期届满后，如设备出现问题，乙方应在接到甲方通知（包括电话通知）后24小时内响应，响应后4小时上门服务，相关费用由甲方承担。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5 </w:t>
      </w:r>
      <w:r>
        <w:rPr>
          <w:rFonts w:hint="eastAsia" w:ascii="宋体" w:hAnsi="宋体" w:eastAsia="宋体" w:cs="宋体"/>
          <w:color w:val="000000" w:themeColor="text1"/>
          <w:sz w:val="24"/>
          <w:szCs w:val="24"/>
          <w14:textFill>
            <w14:solidFill>
              <w14:schemeClr w14:val="tx1"/>
            </w14:solidFill>
          </w14:textFill>
        </w:rPr>
        <w:t>乙方须指派</w:t>
      </w:r>
      <w:r>
        <w:rPr>
          <w:rFonts w:hint="eastAsia" w:ascii="宋体" w:hAnsi="宋体" w:eastAsia="宋体" w:cs="宋体"/>
          <w:color w:val="000000" w:themeColor="text1"/>
          <w:sz w:val="24"/>
          <w:szCs w:val="24"/>
          <w:u w:val="non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3</w:t>
      </w:r>
      <w:r>
        <w:rPr>
          <w:rFonts w:hint="eastAsia" w:ascii="宋体" w:hAnsi="宋体" w:eastAsia="宋体" w:cs="宋体"/>
          <w:color w:val="000000" w:themeColor="text1"/>
          <w:sz w:val="24"/>
          <w:szCs w:val="24"/>
          <w:lang w:val="en-US" w:eastAsia="zh-CN"/>
          <w14:textFill>
            <w14:solidFill>
              <w14:schemeClr w14:val="tx1"/>
            </w14:solidFill>
          </w14:textFill>
        </w:rPr>
        <w:t>年的10个工作日内，向乙方免息支付结算总价款的10%。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6.2 乙方应在甲方首次付款前，向甲方提供以自己名义开具的与结算总价款对应的增值税普通发票，如因乙方未及时提供发票，甲方有权顺延付款期限。</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7.1 乙方履行本合同过程中发生事故，包括但不限于在运输、装卸、安装及调试过</w:t>
      </w:r>
      <w:r>
        <w:rPr>
          <w:rFonts w:hint="eastAsia" w:ascii="宋体" w:hAnsi="宋体" w:eastAsia="宋体" w:cs="宋体"/>
          <w:color w:val="000000" w:themeColor="text1"/>
          <w:sz w:val="24"/>
          <w:szCs w:val="24"/>
          <w:lang w:val="en-US" w:eastAsia="zh-CN"/>
          <w14:textFill>
            <w14:solidFill>
              <w14:schemeClr w14:val="tx1"/>
            </w14:solidFill>
          </w14:textFill>
        </w:rPr>
        <w:t>程中发生事故，给甲方、乙方或第三方人身、财产造成的所有损失，均由乙方负责处理和承担全部法律责任、经济赔偿责任。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 乙方出现以下违约情形之一的，甲方有权拒绝支付任何价款并解除合同</w:t>
      </w:r>
      <w:r>
        <w:rPr>
          <w:rFonts w:hint="eastAsia" w:ascii="宋体" w:hAnsi="宋体" w:eastAsia="宋体" w:cs="宋体"/>
          <w:color w:val="000000" w:themeColor="text1"/>
          <w:sz w:val="24"/>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8.2.1 乙方逾期</w:t>
      </w:r>
      <w:r>
        <w:rPr>
          <w:rFonts w:hint="eastAsia" w:ascii="宋体" w:hAnsi="宋体" w:eastAsia="宋体" w:cs="宋体"/>
          <w:color w:val="000000" w:themeColor="text1"/>
          <w:sz w:val="24"/>
          <w:szCs w:val="24"/>
          <w:u w:val="single"/>
          <w:lang w:val="en-US" w:eastAsia="zh-CN"/>
          <w14:textFill>
            <w14:solidFill>
              <w14:schemeClr w14:val="tx1"/>
            </w14:solidFill>
          </w14:textFill>
        </w:rPr>
        <w:t>30</w:t>
      </w:r>
      <w:r>
        <w:rPr>
          <w:rFonts w:hint="eastAsia" w:ascii="宋体" w:hAnsi="宋体" w:eastAsia="宋体" w:cs="宋体"/>
          <w:color w:val="000000" w:themeColor="text1"/>
          <w:sz w:val="24"/>
          <w:szCs w:val="24"/>
          <w:lang w:val="en-US" w:eastAsia="zh-CN"/>
          <w14:textFill>
            <w14:solidFill>
              <w14:schemeClr w14:val="tx1"/>
            </w14:solidFill>
          </w14:textFill>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8.2.2 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8.2.3 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8.2.4 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如双方本合同履行中发生争议，双方应先协商解决，协商解决不成的，任何一方可向甲方所在地有管辖权的人民法院提起诉讼解决。</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10.3 本合同一式伍份，甲方执肆份、乙方执壹份，自双方签字并盖章之日</w:t>
      </w:r>
      <w:r>
        <w:rPr>
          <w:rFonts w:hint="eastAsia" w:ascii="宋体" w:hAnsi="宋体" w:eastAsia="宋体" w:cs="宋体"/>
          <w:color w:val="auto"/>
          <w:sz w:val="24"/>
          <w:szCs w:val="24"/>
          <w:lang w:val="en-US" w:eastAsia="zh-CN"/>
        </w:rPr>
        <w:t>起生效。</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rPr>
          <w:rFonts w:hint="eastAsia"/>
          <w:lang w:val="en-US" w:eastAsia="zh-CN"/>
        </w:rPr>
      </w:pPr>
    </w:p>
    <w:p>
      <w:pPr>
        <w:spacing w:line="360" w:lineRule="auto"/>
        <w:ind w:firstLine="880" w:firstLineChars="200"/>
        <w:rPr>
          <w:rFonts w:hint="eastAsia" w:ascii="宋体" w:hAnsi="宋体" w:cs="宋体"/>
          <w:color w:val="auto"/>
          <w:sz w:val="44"/>
          <w:szCs w:val="44"/>
          <w:lang w:val="en-US" w:eastAsia="zh-CN"/>
        </w:rPr>
      </w:pPr>
    </w:p>
    <w:p>
      <w:pPr>
        <w:spacing w:line="360" w:lineRule="auto"/>
        <w:ind w:firstLine="880" w:firstLineChars="200"/>
        <w:rPr>
          <w:rFonts w:hint="eastAsia" w:ascii="宋体" w:hAnsi="宋体" w:cs="宋体"/>
          <w:color w:val="auto"/>
          <w:sz w:val="44"/>
          <w:szCs w:val="44"/>
          <w:lang w:val="en-US" w:eastAsia="zh-CN"/>
        </w:rPr>
      </w:pPr>
    </w:p>
    <w:p>
      <w:pPr>
        <w:spacing w:line="360" w:lineRule="auto"/>
        <w:ind w:firstLine="880" w:firstLineChars="200"/>
        <w:rPr>
          <w:rFonts w:hint="eastAsia" w:ascii="宋体" w:hAnsi="宋体" w:cs="宋体"/>
          <w:color w:val="auto"/>
          <w:sz w:val="44"/>
          <w:szCs w:val="44"/>
          <w:lang w:val="en-US" w:eastAsia="zh-CN"/>
        </w:rPr>
      </w:pPr>
    </w:p>
    <w:p>
      <w:pPr>
        <w:pStyle w:val="2"/>
        <w:rPr>
          <w:rFonts w:hint="eastAsia"/>
          <w:lang w:val="en-US" w:eastAsia="zh-CN"/>
        </w:rPr>
      </w:pPr>
    </w:p>
    <w:p>
      <w:pPr>
        <w:rPr>
          <w:rFonts w:hint="eastAsia"/>
          <w:lang w:val="en-US" w:eastAsia="zh-CN"/>
        </w:rPr>
      </w:pPr>
    </w:p>
    <w:p>
      <w:pPr>
        <w:pStyle w:val="11"/>
        <w:rPr>
          <w:rFonts w:hint="eastAsia"/>
          <w:lang w:val="en-US" w:eastAsia="zh-CN"/>
        </w:rPr>
      </w:pPr>
    </w:p>
    <w:p>
      <w:pPr>
        <w:pStyle w:val="11"/>
        <w:rPr>
          <w:rFonts w:hint="eastAsia"/>
          <w:lang w:val="en-US" w:eastAsia="zh-CN"/>
        </w:rPr>
      </w:pPr>
    </w:p>
    <w:p>
      <w:pPr>
        <w:spacing w:line="360" w:lineRule="auto"/>
        <w:rPr>
          <w:rFonts w:hint="eastAsia" w:ascii="宋体" w:hAnsi="宋体" w:cs="宋体"/>
          <w:color w:val="auto"/>
          <w:sz w:val="44"/>
          <w:szCs w:val="44"/>
          <w:lang w:val="en-US" w:eastAsia="zh-CN"/>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F22833F1"/>
    <w:multiLevelType w:val="singleLevel"/>
    <w:tmpl w:val="F22833F1"/>
    <w:lvl w:ilvl="0" w:tentative="0">
      <w:start w:val="1"/>
      <w:numFmt w:val="decimal"/>
      <w:suff w:val="nothing"/>
      <w:lvlText w:val="%1、"/>
      <w:lvlJc w:val="left"/>
    </w:lvl>
  </w:abstractNum>
  <w:abstractNum w:abstractNumId="2">
    <w:nsid w:val="1E6DDE31"/>
    <w:multiLevelType w:val="singleLevel"/>
    <w:tmpl w:val="1E6DDE31"/>
    <w:lvl w:ilvl="0" w:tentative="0">
      <w:start w:val="1"/>
      <w:numFmt w:val="chineseCounting"/>
      <w:suff w:val="space"/>
      <w:lvlText w:val="第%1条"/>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6E91EC4"/>
    <w:rsid w:val="0A4A04E9"/>
    <w:rsid w:val="0DC219D0"/>
    <w:rsid w:val="0E331420"/>
    <w:rsid w:val="0EDD1643"/>
    <w:rsid w:val="0F753717"/>
    <w:rsid w:val="0FD665BE"/>
    <w:rsid w:val="10914EF9"/>
    <w:rsid w:val="12080B62"/>
    <w:rsid w:val="12994AC5"/>
    <w:rsid w:val="129F447F"/>
    <w:rsid w:val="15675A4C"/>
    <w:rsid w:val="1AF56B46"/>
    <w:rsid w:val="1F796B24"/>
    <w:rsid w:val="1FE73549"/>
    <w:rsid w:val="20B41DA7"/>
    <w:rsid w:val="21026F8C"/>
    <w:rsid w:val="28E81B29"/>
    <w:rsid w:val="29B45A41"/>
    <w:rsid w:val="2A262830"/>
    <w:rsid w:val="2C7642D0"/>
    <w:rsid w:val="2DD77C64"/>
    <w:rsid w:val="2DDA1E78"/>
    <w:rsid w:val="2EAC037F"/>
    <w:rsid w:val="2EB67A5C"/>
    <w:rsid w:val="302741D2"/>
    <w:rsid w:val="308B184D"/>
    <w:rsid w:val="340F06E9"/>
    <w:rsid w:val="372F7378"/>
    <w:rsid w:val="397348CD"/>
    <w:rsid w:val="3B3B544D"/>
    <w:rsid w:val="3B654F2B"/>
    <w:rsid w:val="3BB72BAE"/>
    <w:rsid w:val="3C9F0607"/>
    <w:rsid w:val="3DDC47DD"/>
    <w:rsid w:val="3E584E51"/>
    <w:rsid w:val="429A4992"/>
    <w:rsid w:val="435B161D"/>
    <w:rsid w:val="43B25DAC"/>
    <w:rsid w:val="4B7F39F4"/>
    <w:rsid w:val="4BAE646F"/>
    <w:rsid w:val="4CAC1559"/>
    <w:rsid w:val="4DCD6AB3"/>
    <w:rsid w:val="4EA93938"/>
    <w:rsid w:val="50540C20"/>
    <w:rsid w:val="51AC28BD"/>
    <w:rsid w:val="5F8F066E"/>
    <w:rsid w:val="611B6B1B"/>
    <w:rsid w:val="64133D6A"/>
    <w:rsid w:val="678E4F5D"/>
    <w:rsid w:val="680E122C"/>
    <w:rsid w:val="6DE375E4"/>
    <w:rsid w:val="71584067"/>
    <w:rsid w:val="74566F5C"/>
    <w:rsid w:val="750117A8"/>
    <w:rsid w:val="77423DFF"/>
    <w:rsid w:val="7B0620DE"/>
    <w:rsid w:val="7BBF44BB"/>
    <w:rsid w:val="7BF15CE4"/>
    <w:rsid w:val="7C3A27E5"/>
    <w:rsid w:val="7D972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99"/>
    <w:pPr>
      <w:spacing w:line="400" w:lineRule="exact"/>
      <w:ind w:left="630"/>
    </w:pPr>
    <w:rPr>
      <w:rFonts w:ascii="楷体_GB2312"/>
      <w:sz w:val="30"/>
      <w:szCs w:val="30"/>
    </w:rPr>
  </w:style>
  <w:style w:type="paragraph" w:styleId="5">
    <w:name w:val="Body Text First Indent 2"/>
    <w:basedOn w:val="4"/>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customStyle="1" w:styleId="11">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qFormat/>
    <w:uiPriority w:val="0"/>
    <w:pPr>
      <w:jc w:val="center"/>
    </w:pPr>
    <w:rPr>
      <w:rFonts w:ascii="Arial" w:hAnsi="Arial" w:eastAsia="宋体"/>
      <w:b/>
      <w:sz w:val="28"/>
      <w:szCs w:val="24"/>
    </w:rPr>
  </w:style>
  <w:style w:type="paragraph" w:customStyle="1" w:styleId="14">
    <w:name w:val="列出段落1"/>
    <w:basedOn w:val="1"/>
    <w:qFormat/>
    <w:uiPriority w:val="99"/>
    <w:pPr>
      <w:ind w:firstLine="420" w:firstLineChars="200"/>
    </w:pPr>
  </w:style>
  <w:style w:type="paragraph" w:customStyle="1" w:styleId="15">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1</TotalTime>
  <ScaleCrop>false</ScaleCrop>
  <LinksUpToDate>false</LinksUpToDate>
  <CharactersWithSpaces>8973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2023-11-10T01:17:49Z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3505A2AB25E048A4A9B0E6A6741CA1BA_11</vt:lpwstr>
  </property>
</Properties>
</file>