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（智能视力表、智能模块</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十一</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智能视力表、智能模块</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智能视力表、智能模块</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院内公开挂网，最低价评分，在满足所有参数的条件下，报价最低者中标，如有多个并列最低价，则由</w:t>
      </w:r>
      <w:bookmarkStart w:id="4" w:name="_GoBack"/>
      <w:bookmarkEnd w:id="4"/>
      <w:r>
        <w:rPr>
          <w:rFonts w:hint="eastAsia" w:asciiTheme="minorEastAsia" w:hAnsiTheme="minorEastAsia" w:eastAsiaTheme="minorEastAsia" w:cstheme="minorEastAsia"/>
          <w:bCs/>
          <w:color w:val="auto"/>
          <w:sz w:val="24"/>
          <w:szCs w:val="24"/>
          <w:lang w:val="en-US" w:eastAsia="zh-CN"/>
        </w:rPr>
        <w:t>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智能视力表</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0.64</w:t>
            </w:r>
          </w:p>
        </w:tc>
        <w:tc>
          <w:tcPr>
            <w:tcW w:w="2786" w:type="dxa"/>
            <w:vMerge w:val="restar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智能模块</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0.78</w:t>
            </w:r>
          </w:p>
        </w:tc>
        <w:tc>
          <w:tcPr>
            <w:tcW w:w="278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4389" w:type="dxa"/>
            <w:gridSpan w:val="3"/>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合计</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1.42</w:t>
            </w:r>
          </w:p>
        </w:tc>
        <w:tc>
          <w:tcPr>
            <w:tcW w:w="2786" w:type="dxa"/>
            <w:vMerge w:val="continue"/>
            <w:tcBorders>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b/>
          <w:bCs/>
          <w:sz w:val="24"/>
          <w:szCs w:val="32"/>
          <w:lang w:val="en-US" w:eastAsia="zh-CN"/>
        </w:rPr>
        <w:t>1、智能视力表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1.1、要求能支持学校实现无需人工的全自动筛查，能够按照班级队列叫号、人脸识别、扫码三种模式进行学生视力筛查；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highlight w:val="none"/>
          <w:lang w:val="en-US" w:eastAsia="zh-CN"/>
        </w:rPr>
      </w:pPr>
      <w:r>
        <w:rPr>
          <w:rFonts w:hint="eastAsia" w:asciiTheme="minorEastAsia" w:hAnsiTheme="minorEastAsia" w:eastAsiaTheme="minorEastAsia" w:cstheme="minorEastAsia"/>
          <w:sz w:val="24"/>
          <w:szCs w:val="32"/>
          <w:lang w:val="en-US" w:eastAsia="zh-CN"/>
        </w:rPr>
        <w:t>1.2、支持快速、极速、普通等速度的筛查设置；能够记录和识别未筛查人数、已筛查人数、已筛查项目；通过屏幕汇总显示未筛查的班级状态；</w:t>
      </w:r>
      <w:r>
        <w:rPr>
          <w:rFonts w:hint="eastAsia" w:asciiTheme="minorEastAsia" w:hAnsiTheme="minorEastAsia" w:eastAsiaTheme="minorEastAsia" w:cstheme="minorEastAsia"/>
          <w:sz w:val="24"/>
          <w:szCs w:val="32"/>
          <w:highlight w:val="none"/>
          <w:lang w:val="en-US" w:eastAsia="zh-CN"/>
        </w:rPr>
        <w:t>筛查数据能够自动导入到学校后台、学校电子视力档案公众号。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highlight w:val="none"/>
          <w:lang w:val="en-US" w:eastAsia="zh-CN"/>
        </w:rPr>
        <w:t>1.3、触摸屏: 电容触摸屏；屏幕尺寸:≥15.6英寸；屏幕分辨率: ≥1920*108</w:t>
      </w:r>
      <w:r>
        <w:rPr>
          <w:rFonts w:hint="eastAsia" w:asciiTheme="minorEastAsia" w:hAnsiTheme="minorEastAsia" w:eastAsiaTheme="minorEastAsia" w:cstheme="minorEastAsia"/>
          <w:sz w:val="24"/>
          <w:szCs w:val="32"/>
          <w:lang w:val="en-US" w:eastAsia="zh-CN"/>
        </w:rPr>
        <w:t>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1.4、操作系统; Android 7.1以上；CPU处理器六核 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1.5、蓝牙 Bluetooth4.1； WIFI ;支持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1.6、产品尺寸≥304.5mm×206.5mm×3.29mm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 xml:space="preserve">1.7、内存:≥ 2GRAM + 16GROM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1.8、支持TF卡扩展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1.9、支持人脸识别；双目红外摄像头像素: 双≥200w； 摄像分辨率:≥1080P；面部识别距离 :0.2M-1.8M；验证速度:≥ 1s/人；人脸验证准确度: 大于99.98%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1.10、支持4G联网上传数据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1.11、安装方式：支持标准壁挂、支架立柱、手提箱三种携带方式，标配包含手提箱、支架、壁挂配件。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1.12、支持基于历史记录定位视力筛查起始位，支持调用历史筛查数据，支持基于屈光度计算视力。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智能模块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2.1、电脑、生物测量仪验光仪联网调试，具备上传验光数据，与视力档案系统打通；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2.2、身高体重测量仪联网调试，具备上传身高体重数据到视力档案系统；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2.3、采用低功耗≥4.0蓝牙，C口充电，续航100小时以上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2.4、专用检查数据连接线；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2.5、LED充电及网络状态指示灯，DBA9公头对接口</w:t>
      </w:r>
      <w:r>
        <w:rPr>
          <w:rFonts w:hint="eastAsia" w:asciiTheme="minorEastAsia" w:hAnsiTheme="minorEastAsia" w:cstheme="minorEastAsia"/>
          <w:sz w:val="24"/>
          <w:szCs w:val="32"/>
          <w:lang w:val="en-US" w:eastAsia="zh-CN"/>
        </w:rPr>
        <w:t>（接口必须与医院现有验光仪匹配）</w:t>
      </w:r>
      <w:r>
        <w:rPr>
          <w:rFonts w:hint="eastAsia" w:asciiTheme="minorEastAsia" w:hAnsiTheme="minorEastAsia" w:eastAsiaTheme="minorEastAsia" w:cstheme="minorEastAsia"/>
          <w:sz w:val="24"/>
          <w:szCs w:val="32"/>
          <w:lang w:val="en-US" w:eastAsia="zh-CN"/>
        </w:rPr>
        <w:t>；</w:t>
      </w:r>
    </w:p>
    <w:p>
      <w:pPr>
        <w:rPr>
          <w:rFonts w:hint="eastAsia"/>
          <w:lang w:val="en-US" w:eastAsia="zh-CN"/>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6、在投标文件中必须提供相关佐证资料（原厂的技术参数、技术白皮书、说明书、彩页），并在响应表中备注该条参数响应或正偏离的佐证资料所在页码。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医院公开挂网采购 </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智能视力表、智能模块</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智能视力表、智能模块</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51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智能视力表</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2台</w:t>
            </w:r>
          </w:p>
        </w:tc>
        <w:tc>
          <w:tcPr>
            <w:tcW w:w="16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17"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智能模块</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块</w:t>
            </w:r>
          </w:p>
        </w:tc>
        <w:tc>
          <w:tcPr>
            <w:tcW w:w="16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1.2 本合同约定</w:t>
      </w:r>
      <w:r>
        <w:rPr>
          <w:rFonts w:hint="eastAsia" w:ascii="宋体" w:hAnsi="宋体" w:eastAsia="宋体" w:cs="宋体"/>
          <w:color w:val="000000" w:themeColor="text1"/>
          <w:sz w:val="24"/>
          <w:szCs w:val="24"/>
          <w:lang w:val="en-US" w:eastAsia="zh-CN"/>
          <w14:textFill>
            <w14:solidFill>
              <w14:schemeClr w14:val="tx1"/>
            </w14:solidFill>
          </w14:textFill>
        </w:rPr>
        <w:t>价格为固定价格，在本合同履行期间，不因市场价格波动作任何调整。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pStyle w:val="2"/>
        <w:keepNext/>
        <w:keepLines/>
        <w:pageBreakBefore w:val="0"/>
        <w:widowControl w:val="0"/>
        <w:kinsoku/>
        <w:wordWrap/>
        <w:overflowPunct/>
        <w:topLinePunct w:val="0"/>
        <w:autoSpaceDE/>
        <w:autoSpaceDN/>
        <w:bidi w:val="0"/>
        <w:adjustRightInd w:val="0"/>
        <w:snapToGrid/>
        <w:spacing w:before="0" w:after="0" w:line="360" w:lineRule="auto"/>
        <w:ind w:firstLine="480" w:firstLineChars="200"/>
        <w:textAlignment w:val="baseline"/>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1.4</w:t>
      </w:r>
      <w:r>
        <w:rPr>
          <w:rFonts w:hint="eastAsia" w:ascii="宋体" w:hAnsi="宋体" w:cs="宋体"/>
          <w:b w:val="0"/>
          <w:color w:val="auto"/>
          <w:kern w:val="2"/>
          <w:sz w:val="24"/>
          <w:szCs w:val="24"/>
          <w:lang w:val="en-US" w:eastAsia="zh-CN" w:bidi="ar-SA"/>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eastAsia="宋体" w:cs="宋体"/>
          <w:color w:val="auto"/>
          <w:sz w:val="24"/>
          <w:szCs w:val="24"/>
          <w:lang w:val="en-US" w:eastAsia="zh-CN"/>
        </w:rPr>
        <w:t>接到甲方通知15日内</w:t>
      </w:r>
      <w:r>
        <w:rPr>
          <w:rFonts w:hint="default" w:ascii="宋体" w:hAnsi="宋体" w:eastAsia="宋体" w:cs="宋体"/>
          <w:color w:val="auto"/>
          <w:sz w:val="24"/>
          <w:szCs w:val="24"/>
          <w:lang w:val="en-US" w:eastAsia="zh-CN"/>
        </w:rPr>
        <w:t>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在到货后1日内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4</w:t>
      </w:r>
      <w:r>
        <w:rPr>
          <w:rFonts w:hint="eastAsia" w:ascii="宋体" w:hAnsi="宋体" w:eastAsia="宋体" w:cs="宋体"/>
          <w:color w:val="000000" w:themeColor="text1"/>
          <w:sz w:val="24"/>
          <w:szCs w:val="24"/>
          <w:lang w:val="en-US" w:eastAsia="zh-CN"/>
          <w14:textFill>
            <w14:solidFill>
              <w14:schemeClr w14:val="tx1"/>
            </w14:solidFill>
          </w14:textFill>
        </w:rPr>
        <w:t>.5 甲乙双方同意，与本合同有关的任何文书，应以书面方式送达本合同约定的联系方式。书面形式包括手机短信、微信、书面函件、电子邮件等形式。</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4.6.1甲方的文书送达地址：</w:t>
      </w:r>
      <w:r>
        <w:rPr>
          <w:rFonts w:hint="eastAsia" w:ascii="宋体" w:hAnsi="宋体" w:eastAsia="宋体" w:cs="宋体"/>
          <w:color w:val="000000" w:themeColor="text1"/>
          <w:sz w:val="24"/>
          <w:szCs w:val="24"/>
          <w:u w:val="single"/>
          <w:lang w:val="en-US" w:eastAsia="zh-CN"/>
          <w14:textFill>
            <w14:solidFill>
              <w14:schemeClr w14:val="tx1"/>
            </w14:solidFill>
          </w14:textFill>
        </w:rPr>
        <w:t>湖南省娄底市娄星区长青中街51号娄底市中心医院</w:t>
      </w:r>
      <w:r>
        <w:rPr>
          <w:rFonts w:hint="eastAsia" w:ascii="宋体" w:hAnsi="宋体" w:eastAsia="宋体" w:cs="宋体"/>
          <w:color w:val="000000" w:themeColor="text1"/>
          <w:sz w:val="24"/>
          <w:szCs w:val="24"/>
          <w:lang w:val="en-US" w:eastAsia="zh-CN"/>
          <w14:textFill>
            <w14:solidFill>
              <w14:schemeClr w14:val="tx1"/>
            </w14:solidFill>
          </w14:textFill>
        </w:rPr>
        <w:t>；收件人：</w:t>
      </w:r>
      <w:r>
        <w:rPr>
          <w:rFonts w:hint="eastAsia" w:ascii="宋体" w:hAnsi="宋体" w:eastAsia="宋体" w:cs="宋体"/>
          <w:color w:val="000000" w:themeColor="text1"/>
          <w:sz w:val="24"/>
          <w:szCs w:val="24"/>
          <w:u w:val="single"/>
          <w:lang w:val="en-US" w:eastAsia="zh-CN"/>
          <w14:textFill>
            <w14:solidFill>
              <w14:schemeClr w14:val="tx1"/>
            </w14:solidFill>
          </w14:textFill>
        </w:rPr>
        <w:t>朱振宇</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15673845559 </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4.6.2 乙方的文书送达地址</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w:t>
      </w:r>
      <w:r>
        <w:rPr>
          <w:rFonts w:hint="eastAsia" w:ascii="宋体" w:hAnsi="宋体" w:eastAsia="宋体" w:cs="宋体"/>
          <w:color w:val="000000" w:themeColor="text1"/>
          <w:sz w:val="24"/>
          <w:szCs w:val="24"/>
          <w:lang w:val="en-US" w:eastAsia="zh-CN"/>
          <w14:textFill>
            <w14:solidFill>
              <w14:schemeClr w14:val="tx1"/>
            </w14:solidFill>
          </w14:textFill>
        </w:rPr>
        <w:t>期内出现质量问题，乙方应在接到甲方通知（包括电话通知）后24小时响应，响应后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质保期届满后，如设备出现问题，乙方应在接到甲方通知（包括电话通知）后24小时内响应，响应后4小时上门服务，相关费用由甲方承担。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年的10个工作日内，向乙方免息支付结算总价款的10%。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6.2 乙方应在甲方首次付款前，向甲方提供以自己名义开具的与结算总价款对应的增值税普通发票，如因乙方未及时提供发票，甲方有权顺延付款期限。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7.1 乙方履行本合同过程中发生事故，包括但不限于在运输、装卸、安装及调试过</w:t>
      </w:r>
      <w:r>
        <w:rPr>
          <w:rFonts w:hint="eastAsia" w:ascii="宋体" w:hAnsi="宋体" w:eastAsia="宋体" w:cs="宋体"/>
          <w:color w:val="000000" w:themeColor="text1"/>
          <w:sz w:val="24"/>
          <w:szCs w:val="24"/>
          <w:lang w:val="en-US" w:eastAsia="zh-CN"/>
          <w14:textFill>
            <w14:solidFill>
              <w14:schemeClr w14:val="tx1"/>
            </w14:solidFill>
          </w14:textFill>
        </w:rPr>
        <w:t>程中发生事故，给甲方、乙方或第三方人身、财产造成的所有损失，均由乙方负责处理和承担全部法律责任、经济赔偿责任。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 乙方出现以下违约情形之一的，甲方有权拒绝支付任何价款并解除合同</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8.2.1 乙方逾期</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如双方本合同履行中发生争议，双方应先协商解决，协商解决不成的，任何一方可向甲方所在地有管辖权的人民法院提起诉讼解决。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10.3 本合同一式伍份，甲方执肆份、乙方执壹份，自双方签字并盖章之日</w:t>
      </w:r>
      <w:r>
        <w:rPr>
          <w:rFonts w:hint="eastAsia" w:ascii="宋体" w:hAnsi="宋体" w:eastAsia="宋体" w:cs="宋体"/>
          <w:color w:val="auto"/>
          <w:sz w:val="24"/>
          <w:szCs w:val="24"/>
          <w:lang w:val="en-US" w:eastAsia="zh-CN"/>
        </w:rPr>
        <w:t>起生效。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rPr>
          <w:rFonts w:hint="eastAsia"/>
          <w:lang w:val="en-US" w:eastAsia="zh-CN"/>
        </w:rPr>
      </w:pPr>
    </w:p>
    <w:p>
      <w:pPr>
        <w:spacing w:line="360" w:lineRule="auto"/>
        <w:ind w:firstLine="880" w:firstLineChars="200"/>
        <w:rPr>
          <w:rFonts w:hint="eastAsia" w:ascii="宋体" w:hAnsi="宋体" w:cs="宋体"/>
          <w:color w:val="auto"/>
          <w:sz w:val="44"/>
          <w:szCs w:val="4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abstractNum w:abstractNumId="3">
    <w:nsid w:val="37A1E734"/>
    <w:multiLevelType w:val="singleLevel"/>
    <w:tmpl w:val="37A1E734"/>
    <w:lvl w:ilvl="0" w:tentative="0">
      <w:start w:val="2"/>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6E91EC4"/>
    <w:rsid w:val="0DC219D0"/>
    <w:rsid w:val="0E331420"/>
    <w:rsid w:val="0EDD1643"/>
    <w:rsid w:val="0F753717"/>
    <w:rsid w:val="0FD665BE"/>
    <w:rsid w:val="10914EF9"/>
    <w:rsid w:val="12080B62"/>
    <w:rsid w:val="12994AC5"/>
    <w:rsid w:val="129F447F"/>
    <w:rsid w:val="15675A4C"/>
    <w:rsid w:val="17845395"/>
    <w:rsid w:val="1AF56B46"/>
    <w:rsid w:val="1D0C2068"/>
    <w:rsid w:val="1F282C85"/>
    <w:rsid w:val="1F796B24"/>
    <w:rsid w:val="1FE73549"/>
    <w:rsid w:val="20B41DA7"/>
    <w:rsid w:val="21026F8C"/>
    <w:rsid w:val="21C6650F"/>
    <w:rsid w:val="28E81B29"/>
    <w:rsid w:val="29B45A41"/>
    <w:rsid w:val="2A262830"/>
    <w:rsid w:val="2C7642D0"/>
    <w:rsid w:val="2DD77C64"/>
    <w:rsid w:val="2DDA1E78"/>
    <w:rsid w:val="2EAC037F"/>
    <w:rsid w:val="2EB67A5C"/>
    <w:rsid w:val="302741D2"/>
    <w:rsid w:val="308B184D"/>
    <w:rsid w:val="340F06E9"/>
    <w:rsid w:val="372F7378"/>
    <w:rsid w:val="3730642B"/>
    <w:rsid w:val="397348CD"/>
    <w:rsid w:val="3B3B544D"/>
    <w:rsid w:val="3B654F2B"/>
    <w:rsid w:val="3BB72BAE"/>
    <w:rsid w:val="3C9F0607"/>
    <w:rsid w:val="3DDC47DD"/>
    <w:rsid w:val="3E584E51"/>
    <w:rsid w:val="429A4992"/>
    <w:rsid w:val="435B161D"/>
    <w:rsid w:val="43B25DAC"/>
    <w:rsid w:val="4B7F39F4"/>
    <w:rsid w:val="4BAE646F"/>
    <w:rsid w:val="4CAC1559"/>
    <w:rsid w:val="4DCD6AB3"/>
    <w:rsid w:val="50540C20"/>
    <w:rsid w:val="51AC28BD"/>
    <w:rsid w:val="539F06ED"/>
    <w:rsid w:val="5F8F066E"/>
    <w:rsid w:val="60686CC3"/>
    <w:rsid w:val="611B6B1B"/>
    <w:rsid w:val="62EC0DA3"/>
    <w:rsid w:val="64133D6A"/>
    <w:rsid w:val="678E4F5D"/>
    <w:rsid w:val="680E122C"/>
    <w:rsid w:val="6DE375E4"/>
    <w:rsid w:val="71584067"/>
    <w:rsid w:val="74566F5C"/>
    <w:rsid w:val="750117A8"/>
    <w:rsid w:val="77423DFF"/>
    <w:rsid w:val="7B0620DE"/>
    <w:rsid w:val="7BBF44BB"/>
    <w:rsid w:val="7BF15CE4"/>
    <w:rsid w:val="7C3A27E5"/>
    <w:rsid w:val="7D185E39"/>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8</TotalTime>
  <ScaleCrop>false</ScaleCrop>
  <LinksUpToDate>false</LinksUpToDate>
  <CharactersWithSpaces>8973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2023-11-08T02:14:46Z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3505A2AB25E048A4A9B0E6A6741CA1BA_11</vt:lpwstr>
  </property>
</Properties>
</file>