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snapToGrid w:val="0"/>
        <w:jc w:val="center"/>
        <w:rPr>
          <w:rFonts w:ascii="Arial" w:hAnsi="Arial" w:eastAsia="方正小标宋简体" w:cs="Arial"/>
          <w:color w:val="auto"/>
          <w:sz w:val="72"/>
          <w:szCs w:val="72"/>
        </w:rPr>
      </w:pPr>
      <w:bookmarkStart w:id="0" w:name="_Toc16523570"/>
    </w:p>
    <w:p>
      <w:pPr>
        <w:pStyle w:val="15"/>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5"/>
        <w:snapToGrid w:val="0"/>
        <w:jc w:val="center"/>
        <w:rPr>
          <w:rFonts w:ascii="Arial" w:hAnsi="Arial" w:eastAsia="方正小标宋简体" w:cs="Arial"/>
          <w:sz w:val="72"/>
          <w:szCs w:val="72"/>
        </w:rPr>
      </w:pPr>
    </w:p>
    <w:p>
      <w:pPr>
        <w:pStyle w:val="15"/>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5"/>
        <w:snapToGrid w:val="0"/>
        <w:jc w:val="center"/>
        <w:rPr>
          <w:rFonts w:ascii="Arial" w:hAnsi="Arial" w:eastAsia="方正小标宋简体" w:cs="Arial"/>
          <w:sz w:val="72"/>
          <w:szCs w:val="72"/>
        </w:rPr>
      </w:pPr>
    </w:p>
    <w:p>
      <w:pPr>
        <w:pStyle w:val="15"/>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5"/>
        <w:snapToGrid w:val="0"/>
        <w:jc w:val="center"/>
        <w:rPr>
          <w:rFonts w:ascii="Arial" w:hAnsi="Arial" w:eastAsia="方正小标宋简体" w:cs="Arial"/>
          <w:sz w:val="72"/>
          <w:szCs w:val="72"/>
        </w:rPr>
      </w:pPr>
    </w:p>
    <w:p>
      <w:pPr>
        <w:pStyle w:val="15"/>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5"/>
        <w:snapToGrid w:val="0"/>
        <w:jc w:val="center"/>
        <w:rPr>
          <w:rFonts w:ascii="Arial" w:hAnsi="Arial" w:eastAsia="方正小标宋简体" w:cs="Arial"/>
          <w:sz w:val="72"/>
          <w:szCs w:val="72"/>
        </w:rPr>
      </w:pPr>
    </w:p>
    <w:p>
      <w:pPr>
        <w:pStyle w:val="15"/>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5"/>
        <w:snapToGrid w:val="0"/>
        <w:jc w:val="center"/>
        <w:rPr>
          <w:rFonts w:ascii="Arial" w:hAnsi="Arial" w:cs="Arial"/>
          <w:sz w:val="32"/>
          <w:szCs w:val="32"/>
        </w:rPr>
      </w:pPr>
    </w:p>
    <w:p>
      <w:pPr>
        <w:pStyle w:val="15"/>
        <w:snapToGrid w:val="0"/>
        <w:jc w:val="center"/>
        <w:rPr>
          <w:rFonts w:ascii="Arial" w:hAnsi="Arial" w:cs="Arial"/>
          <w:sz w:val="32"/>
          <w:szCs w:val="32"/>
        </w:rPr>
      </w:pPr>
    </w:p>
    <w:p>
      <w:pPr>
        <w:pStyle w:val="15"/>
        <w:snapToGrid w:val="0"/>
        <w:jc w:val="center"/>
        <w:rPr>
          <w:rFonts w:ascii="Arial" w:hAnsi="Arial" w:cs="Arial"/>
          <w:sz w:val="32"/>
          <w:szCs w:val="32"/>
        </w:rPr>
      </w:pPr>
    </w:p>
    <w:p>
      <w:pPr>
        <w:spacing w:line="360" w:lineRule="auto"/>
        <w:rPr>
          <w:rFonts w:hint="eastAsia"/>
          <w:bCs/>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ascii="宋体" w:hAnsi="宋体"/>
          <w:sz w:val="32"/>
          <w:szCs w:val="32"/>
          <w:lang w:eastAsia="zh-CN"/>
        </w:rPr>
      </w:pPr>
      <w:r>
        <w:rPr>
          <w:rFonts w:hint="eastAsia"/>
          <w:bCs/>
          <w:sz w:val="32"/>
          <w:szCs w:val="32"/>
        </w:rPr>
        <w:t>项目名称：</w:t>
      </w:r>
      <w:r>
        <w:rPr>
          <w:rFonts w:hint="eastAsia" w:ascii="宋体" w:hAnsi="宋体"/>
          <w:sz w:val="32"/>
          <w:szCs w:val="32"/>
          <w:lang w:eastAsia="zh-CN"/>
        </w:rPr>
        <w:t>门急诊综合楼和医技住院综合楼重型货架项目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default" w:ascii="Times New Roman" w:hAnsi="Times New Roman" w:eastAsia="宋体" w:cs="Times New Roman"/>
          <w:b/>
          <w:bCs/>
          <w:kern w:val="44"/>
          <w:sz w:val="32"/>
          <w:szCs w:val="32"/>
          <w:lang w:val="en-US" w:eastAsia="zh-CN" w:bidi="ar-SA"/>
        </w:rPr>
      </w:pPr>
      <w:r>
        <w:rPr>
          <w:rFonts w:hint="eastAsia" w:ascii="宋体" w:hAnsi="宋体"/>
          <w:sz w:val="32"/>
          <w:szCs w:val="32"/>
          <w:lang w:val="en-US" w:eastAsia="zh-CN"/>
        </w:rPr>
        <w:t>招标文件</w:t>
      </w:r>
      <w:r>
        <w:rPr>
          <w:rFonts w:hint="eastAsia" w:cs="Times New Roman"/>
          <w:b/>
          <w:bCs/>
          <w:kern w:val="44"/>
          <w:sz w:val="32"/>
          <w:szCs w:val="32"/>
          <w:lang w:val="en-US" w:eastAsia="zh-CN" w:bidi="ar-SA"/>
        </w:rPr>
        <w:t>（</w:t>
      </w:r>
      <w:r>
        <w:rPr>
          <w:rFonts w:hint="eastAsia" w:ascii="Times New Roman" w:hAnsi="Times New Roman" w:eastAsia="宋体" w:cs="Times New Roman"/>
          <w:b/>
          <w:bCs/>
          <w:kern w:val="44"/>
          <w:sz w:val="32"/>
          <w:szCs w:val="32"/>
          <w:lang w:val="en-US" w:eastAsia="zh-CN" w:bidi="ar-SA"/>
        </w:rPr>
        <w:t>院内招标）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十二</w:t>
      </w:r>
      <w:r>
        <w:rPr>
          <w:rFonts w:hint="eastAsia" w:ascii="宋体" w:hAnsi="宋体" w:cs="宋体"/>
          <w:bCs/>
          <w:sz w:val="32"/>
          <w:szCs w:val="32"/>
        </w:rPr>
        <w:t>月</w:t>
      </w:r>
    </w:p>
    <w:p>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5"/>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eastAsia="zh-CN"/>
        </w:rPr>
        <w:t>门急诊综合楼和医技住院综合楼重型货架项目</w:t>
      </w:r>
      <w:r>
        <w:rPr>
          <w:rFonts w:hint="eastAsia" w:ascii="仿宋" w:hAnsi="仿宋" w:eastAsia="仿宋" w:cs="仿宋"/>
          <w:sz w:val="28"/>
          <w:szCs w:val="28"/>
          <w:lang w:val="en-US" w:eastAsia="zh-CN"/>
        </w:rPr>
        <w:t>进行院内挂网招标，将招标事项公告如下：</w:t>
      </w:r>
    </w:p>
    <w:p>
      <w:pPr>
        <w:pStyle w:val="15"/>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一、项目信息</w:t>
      </w:r>
    </w:p>
    <w:p>
      <w:pPr>
        <w:pStyle w:val="15"/>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项目名称：门急诊综合楼和医技住院综合楼重型货架项目采购项目</w:t>
      </w:r>
    </w:p>
    <w:p>
      <w:pPr>
        <w:pStyle w:val="15"/>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采购方式</w:t>
      </w:r>
    </w:p>
    <w:p>
      <w:pPr>
        <w:pStyle w:val="15"/>
        <w:numPr>
          <w:ilvl w:val="0"/>
          <w:numId w:val="0"/>
        </w:numPr>
        <w:tabs>
          <w:tab w:val="left" w:pos="312"/>
        </w:tabs>
        <w:snapToGrid w:val="0"/>
        <w:spacing w:line="480" w:lineRule="auto"/>
        <w:ind w:firstLine="560" w:firstLineChars="200"/>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1、院内公开挂网，最低价评分（投标人应按招标要求填写相应表格，本项目报价为一轮报价，投标文件满足招标文件全部实质性要求，且投标报价最低的投标人为中标候选人。</w:t>
      </w:r>
      <w:r>
        <w:rPr>
          <w:rFonts w:hint="default" w:ascii="仿宋" w:hAnsi="仿宋" w:eastAsia="仿宋" w:cs="仿宋"/>
          <w:color w:val="000000"/>
          <w:kern w:val="0"/>
          <w:sz w:val="28"/>
          <w:szCs w:val="28"/>
          <w:lang w:val="en-US" w:eastAsia="zh-CN" w:bidi="ar-SA"/>
        </w:rPr>
        <w:t>如有多个并列最低价，则由并列最低价投标人再次报价，直至出现最低报价为止。</w:t>
      </w:r>
    </w:p>
    <w:p>
      <w:pPr>
        <w:pStyle w:val="15"/>
        <w:numPr>
          <w:ilvl w:val="0"/>
          <w:numId w:val="0"/>
        </w:numPr>
        <w:tabs>
          <w:tab w:val="left" w:pos="312"/>
        </w:tabs>
        <w:snapToGrid w:val="0"/>
        <w:spacing w:line="480" w:lineRule="auto"/>
        <w:ind w:firstLine="280" w:firstLineChars="100"/>
        <w:rPr>
          <w:rFonts w:hint="default"/>
          <w:bCs/>
          <w:color w:val="auto"/>
          <w:sz w:val="28"/>
          <w:szCs w:val="28"/>
          <w:lang w:val="en-US" w:eastAsia="zh-CN"/>
        </w:rPr>
      </w:pPr>
      <w:r>
        <w:rPr>
          <w:rFonts w:hint="eastAsia"/>
          <w:bCs/>
          <w:color w:val="auto"/>
          <w:sz w:val="28"/>
          <w:szCs w:val="28"/>
          <w:lang w:val="en-US" w:eastAsia="zh-CN"/>
        </w:rPr>
        <w:t>2、</w:t>
      </w:r>
      <w:r>
        <w:rPr>
          <w:rFonts w:hint="eastAsia"/>
          <w:bCs/>
          <w:color w:val="auto"/>
          <w:sz w:val="28"/>
          <w:szCs w:val="28"/>
          <w:highlight w:val="none"/>
          <w:lang w:val="en-US" w:eastAsia="zh-CN"/>
        </w:rPr>
        <w:t>项目要求独立承包，</w:t>
      </w:r>
      <w:r>
        <w:rPr>
          <w:rFonts w:hint="eastAsia"/>
          <w:bCs/>
          <w:color w:val="auto"/>
          <w:sz w:val="28"/>
          <w:szCs w:val="28"/>
          <w:lang w:val="en-US" w:eastAsia="zh-CN"/>
        </w:rPr>
        <w:t>院方不再支付项目有关的其他费用，无论采购过程、结果如何(如开标延期、中途终止采购、流标、废标等情况)，投标人均须承担自己参加采购采购活动所产生的所有费用。</w:t>
      </w:r>
    </w:p>
    <w:bookmarkEnd w:id="0"/>
    <w:p>
      <w:pPr>
        <w:pStyle w:val="15"/>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三、投标人资格要求</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投标人</w:t>
      </w:r>
      <w:r>
        <w:rPr>
          <w:rFonts w:hint="eastAsia" w:ascii="仿宋" w:hAnsi="仿宋" w:eastAsia="仿宋" w:cs="仿宋"/>
          <w:color w:val="auto"/>
          <w:sz w:val="28"/>
          <w:szCs w:val="28"/>
        </w:rPr>
        <w:t>应按顺序制作并提交以下证明文件，评标过程中，将不采取任何补救措施和通过任何方式寻求投标文件以外的任何证明使其无效投标变更为有效投标。经评审委员会批准通过的除外。</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u w:val="none" w:color="auto"/>
          <w:lang w:eastAsia="zh-CN"/>
        </w:rPr>
      </w:pPr>
      <w:r>
        <w:rPr>
          <w:rFonts w:hint="eastAsia" w:ascii="仿宋" w:hAnsi="仿宋" w:eastAsia="仿宋" w:cs="仿宋"/>
          <w:color w:val="auto"/>
          <w:sz w:val="28"/>
          <w:szCs w:val="28"/>
          <w:u w:val="none" w:color="auto"/>
        </w:rPr>
        <w:t xml:space="preserve">具有独立法人资格并依法取得企业营业执照，营业执照处于有效期； </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本项目不接受联合体投标</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法定代表人的有效授权书</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原件</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被授权代表身份证原件加</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复印件</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投标单位依法缴纳税收和社保的证明材料</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复印件</w:t>
      </w:r>
      <w:r>
        <w:rPr>
          <w:rFonts w:hint="eastAsia" w:ascii="仿宋" w:hAnsi="仿宋" w:eastAsia="仿宋" w:cs="仿宋"/>
          <w:color w:val="auto"/>
          <w:sz w:val="28"/>
          <w:szCs w:val="28"/>
          <w:lang w:eastAsia="zh-CN"/>
        </w:rPr>
        <w:t>）</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从事本项目国家强制规定须具备的资质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复印件</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资格证明材料承诺函。</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 </w:t>
      </w:r>
      <w:r>
        <w:rPr>
          <w:rFonts w:hint="eastAsia" w:ascii="仿宋" w:hAnsi="仿宋" w:eastAsia="仿宋" w:cs="仿宋"/>
          <w:sz w:val="28"/>
          <w:szCs w:val="28"/>
          <w:lang w:val="en-US" w:eastAsia="zh-CN"/>
        </w:rPr>
        <w:t>参加政府采购活动近3年内，在经营活动中没有重大违法记录，无质量、安全事故发生；</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投标人未列入经营异常名录和未列入严重违法失信企业名单（黑名单），投标人企业法人代表未被列入失信被执行人名单；投标人在“信用中国”（www.creditchina.gov.cn）、中国政府采购网（www.ccgp.gov.cn）等网站，未被列入“失信被执行人”、“重大税收违法案件当事人名单”、“政府采购严重违法失信行为记录名单”；</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 xml:space="preserve">单位负责人为同一人或者存在直接控股、管理关系的不同投标人，不得参加本次采购活动。  </w:t>
      </w:r>
    </w:p>
    <w:p>
      <w:pPr>
        <w:pStyle w:val="15"/>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四、投标截止时间、开标时间及地点：</w:t>
      </w:r>
    </w:p>
    <w:p>
      <w:pPr>
        <w:pStyle w:val="15"/>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1、投标报名截止时间：2023年12月8日 17:30（北京时间）</w:t>
      </w:r>
    </w:p>
    <w:p>
      <w:pPr>
        <w:pStyle w:val="15"/>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2、开标时间：2023年12月11日16:00</w:t>
      </w:r>
    </w:p>
    <w:p>
      <w:pPr>
        <w:pStyle w:val="15"/>
        <w:numPr>
          <w:ilvl w:val="0"/>
          <w:numId w:val="0"/>
        </w:numPr>
        <w:tabs>
          <w:tab w:val="left" w:pos="312"/>
        </w:tabs>
        <w:snapToGrid w:val="0"/>
        <w:spacing w:line="480"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3、开标地点：娄底市长青中街51号E区6楼远程会诊中心</w:t>
      </w:r>
      <w:bookmarkStart w:id="9" w:name="_GoBack"/>
      <w:bookmarkEnd w:id="9"/>
    </w:p>
    <w:p>
      <w:pPr>
        <w:pStyle w:val="15"/>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五、招标人地址和联系方法：</w:t>
      </w:r>
    </w:p>
    <w:p>
      <w:pPr>
        <w:pStyle w:val="15"/>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1.招标人名称：娄底市中心医院</w:t>
      </w:r>
    </w:p>
    <w:p>
      <w:pPr>
        <w:pStyle w:val="15"/>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2.联系人及联系方式：廖海星 </w:t>
      </w:r>
      <w:r>
        <w:rPr>
          <w:rFonts w:hint="eastAsia" w:ascii="仿宋" w:hAnsi="仿宋" w:eastAsia="仿宋" w:cs="仿宋"/>
          <w:sz w:val="28"/>
          <w:szCs w:val="28"/>
        </w:rPr>
        <w:t>15873871616</w:t>
      </w:r>
    </w:p>
    <w:p>
      <w:pPr>
        <w:pStyle w:val="15"/>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3.招标人地址：娄底市长青中街51号</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六、投标须知</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1、否决投标的情形：</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1.1、投标人以他人名义投标、串通投标、以行贿手段谋取中标的；</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1.3、评标委员会认定投标人以低于成本报价竞标的；</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1.4、投标人未按照要求出席开标会的；</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1.5、投标报价有错误的，未按上述第二点采购方式下第一条进行投标报价的，评标委员会将要求投标人作出书面澄清说明和确认，投标人拒不作出澄清说明和确认的；</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2、有下列情形之一的，招标人将重新招标：</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2.1、</w:t>
      </w:r>
      <w:r>
        <w:rPr>
          <w:rFonts w:hint="default"/>
          <w:bCs/>
          <w:color w:val="auto"/>
          <w:sz w:val="28"/>
          <w:szCs w:val="28"/>
          <w:lang w:val="en-US" w:eastAsia="zh-CN"/>
        </w:rPr>
        <w:t>投标截止时间止，投标人少于3</w:t>
      </w:r>
      <w:r>
        <w:rPr>
          <w:rFonts w:hint="eastAsia"/>
          <w:bCs/>
          <w:color w:val="auto"/>
          <w:sz w:val="28"/>
          <w:szCs w:val="28"/>
          <w:lang w:val="en-US" w:eastAsia="zh-CN"/>
        </w:rPr>
        <w:t>家</w:t>
      </w:r>
      <w:r>
        <w:rPr>
          <w:rFonts w:hint="default"/>
          <w:bCs/>
          <w:color w:val="auto"/>
          <w:sz w:val="28"/>
          <w:szCs w:val="28"/>
          <w:lang w:val="en-US" w:eastAsia="zh-CN"/>
        </w:rPr>
        <w:t>的；</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2.2、经评标委员会评审后，符合资格审查的投标人少于3家的。</w:t>
      </w:r>
    </w:p>
    <w:p>
      <w:pPr>
        <w:rPr>
          <w:rFonts w:hint="default" w:asciiTheme="minorEastAsia" w:hAnsiTheme="minorEastAsia" w:eastAsiaTheme="minorEastAsia" w:cstheme="minorEastAsia"/>
          <w:bCs/>
          <w:color w:val="auto"/>
          <w:sz w:val="28"/>
          <w:szCs w:val="28"/>
          <w:lang w:val="en-US" w:eastAsia="zh-CN"/>
        </w:rPr>
      </w:pPr>
    </w:p>
    <w:p>
      <w:pPr>
        <w:pStyle w:val="15"/>
        <w:numPr>
          <w:ilvl w:val="0"/>
          <w:numId w:val="0"/>
        </w:numPr>
        <w:tabs>
          <w:tab w:val="left" w:pos="312"/>
        </w:tabs>
        <w:snapToGrid w:val="0"/>
        <w:spacing w:line="480" w:lineRule="auto"/>
        <w:jc w:val="cente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第二章采购需求</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一、采购清单、采购项目交付或者实施的时间和地点</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1.采购项目</w:t>
      </w:r>
    </w:p>
    <w:tbl>
      <w:tblPr>
        <w:tblStyle w:val="12"/>
        <w:tblW w:w="879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1203"/>
        <w:gridCol w:w="2405"/>
        <w:gridCol w:w="1854"/>
        <w:gridCol w:w="1432"/>
        <w:gridCol w:w="1904"/>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719" w:hRule="atLeast"/>
          <w:jc w:val="center"/>
        </w:trPr>
        <w:tc>
          <w:tcPr>
            <w:tcW w:w="120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序号</w:t>
            </w:r>
          </w:p>
        </w:tc>
        <w:tc>
          <w:tcPr>
            <w:tcW w:w="240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项目名称</w:t>
            </w:r>
          </w:p>
        </w:tc>
        <w:tc>
          <w:tcPr>
            <w:tcW w:w="185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暂估数量</w:t>
            </w:r>
          </w:p>
        </w:tc>
        <w:tc>
          <w:tcPr>
            <w:tcW w:w="1432"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单价</w:t>
            </w:r>
          </w:p>
          <w:p>
            <w:pPr>
              <w:pStyle w:val="10"/>
              <w:spacing w:before="0" w:beforeAutospacing="0" w:after="0" w:afterAutospacing="0" w:line="440" w:lineRule="exact"/>
              <w:jc w:val="center"/>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限价</w:t>
            </w:r>
          </w:p>
        </w:tc>
        <w:tc>
          <w:tcPr>
            <w:tcW w:w="1904" w:type="dxa"/>
            <w:tcBorders>
              <w:top w:val="single" w:color="000000" w:sz="6" w:space="0"/>
              <w:left w:val="single" w:color="auto" w:sz="4"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控制价（元）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291" w:hRule="atLeast"/>
          <w:jc w:val="center"/>
        </w:trPr>
        <w:tc>
          <w:tcPr>
            <w:tcW w:w="1203"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w:t>
            </w:r>
          </w:p>
        </w:tc>
        <w:tc>
          <w:tcPr>
            <w:tcW w:w="2405"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门急诊综合楼和医技住院综合楼重型货架项目</w:t>
            </w:r>
          </w:p>
        </w:tc>
        <w:tc>
          <w:tcPr>
            <w:tcW w:w="1854"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520米</w:t>
            </w:r>
          </w:p>
          <w:p>
            <w:pPr>
              <w:spacing w:line="480" w:lineRule="auto"/>
              <w:jc w:val="center"/>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（按实际使用量结算）</w:t>
            </w:r>
          </w:p>
        </w:tc>
        <w:tc>
          <w:tcPr>
            <w:tcW w:w="1432"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510元/米</w:t>
            </w:r>
          </w:p>
        </w:tc>
        <w:tc>
          <w:tcPr>
            <w:tcW w:w="1904" w:type="dxa"/>
            <w:tcBorders>
              <w:top w:val="single" w:color="000000" w:sz="6"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265200.00元</w:t>
            </w:r>
          </w:p>
        </w:tc>
      </w:tr>
    </w:tbl>
    <w:p>
      <w:pPr>
        <w:spacing w:line="360" w:lineRule="auto"/>
        <w:rPr>
          <w:rFonts w:hint="eastAsia" w:ascii="仿宋" w:hAnsi="仿宋" w:eastAsia="仿宋" w:cs="仿宋"/>
          <w:color w:val="000000"/>
          <w:kern w:val="0"/>
          <w:sz w:val="28"/>
          <w:szCs w:val="28"/>
          <w:lang w:val="en-US" w:eastAsia="zh-CN" w:bidi="ar-SA"/>
        </w:rPr>
      </w:pPr>
    </w:p>
    <w:p>
      <w:pPr>
        <w:spacing w:line="360" w:lineRule="auto"/>
        <w:ind w:firstLine="560" w:firstLineChars="200"/>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2.服务时间：双方签订合同时具体约定。</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3.服务地点：娄底市中心医院。</w:t>
      </w:r>
    </w:p>
    <w:p>
      <w:pPr>
        <w:rPr>
          <w:rFonts w:hint="eastAsia" w:ascii="仿宋" w:hAnsi="仿宋" w:eastAsia="仿宋" w:cs="仿宋"/>
          <w:color w:val="000000"/>
          <w:kern w:val="0"/>
          <w:sz w:val="28"/>
          <w:szCs w:val="28"/>
          <w:lang w:val="en-US" w:eastAsia="zh-CN" w:bidi="ar-SA"/>
        </w:rPr>
      </w:pPr>
    </w:p>
    <w:p>
      <w:pPr>
        <w:numPr>
          <w:ilvl w:val="0"/>
          <w:numId w:val="2"/>
        </w:num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项目内容及要求</w:t>
      </w:r>
    </w:p>
    <w:p>
      <w:pPr>
        <w:numPr>
          <w:ilvl w:val="0"/>
          <w:numId w:val="0"/>
        </w:numPr>
        <w:spacing w:line="360" w:lineRule="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（一）参数及要求</w:t>
      </w:r>
    </w:p>
    <w:tbl>
      <w:tblPr>
        <w:tblStyle w:val="12"/>
        <w:tblpPr w:leftFromText="180" w:rightFromText="180" w:vertAnchor="text" w:horzAnchor="page" w:tblpXSpec="center" w:tblpY="231"/>
        <w:tblOverlap w:val="never"/>
        <w:tblW w:w="55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2"/>
        <w:gridCol w:w="3113"/>
        <w:gridCol w:w="896"/>
        <w:gridCol w:w="3351"/>
        <w:gridCol w:w="1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12" w:type="pct"/>
            <w:noWrap w:val="0"/>
            <w:vAlign w:val="center"/>
          </w:tcPr>
          <w:p>
            <w:pPr>
              <w:keepNext w:val="0"/>
              <w:keepLines w:val="0"/>
              <w:pageBreakBefore w:val="0"/>
              <w:widowControl w:val="0"/>
              <w:kinsoku/>
              <w:wordWrap/>
              <w:overflowPunct/>
              <w:topLinePunct w:val="0"/>
              <w:bidi w:val="0"/>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货物名称</w:t>
            </w:r>
          </w:p>
        </w:tc>
        <w:tc>
          <w:tcPr>
            <w:tcW w:w="1561" w:type="pct"/>
            <w:noWrap w:val="0"/>
            <w:vAlign w:val="center"/>
          </w:tcPr>
          <w:p>
            <w:pPr>
              <w:keepNext w:val="0"/>
              <w:keepLines w:val="0"/>
              <w:pageBreakBefore w:val="0"/>
              <w:widowControl w:val="0"/>
              <w:kinsoku/>
              <w:wordWrap/>
              <w:overflowPunct/>
              <w:topLinePunct w:val="0"/>
              <w:bidi w:val="0"/>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规格型号</w:t>
            </w:r>
          </w:p>
        </w:tc>
        <w:tc>
          <w:tcPr>
            <w:tcW w:w="449" w:type="pct"/>
            <w:noWrap w:val="0"/>
            <w:vAlign w:val="center"/>
          </w:tcPr>
          <w:p>
            <w:pPr>
              <w:keepNext w:val="0"/>
              <w:keepLines w:val="0"/>
              <w:pageBreakBefore w:val="0"/>
              <w:widowControl w:val="0"/>
              <w:kinsoku/>
              <w:wordWrap/>
              <w:overflowPunct/>
              <w:topLinePunct w:val="0"/>
              <w:bidi w:val="0"/>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数量</w:t>
            </w:r>
          </w:p>
        </w:tc>
        <w:tc>
          <w:tcPr>
            <w:tcW w:w="1680" w:type="pct"/>
            <w:noWrap w:val="0"/>
            <w:vAlign w:val="center"/>
          </w:tcPr>
          <w:p>
            <w:pPr>
              <w:keepNext w:val="0"/>
              <w:keepLines w:val="0"/>
              <w:pageBreakBefore w:val="0"/>
              <w:widowControl w:val="0"/>
              <w:kinsoku/>
              <w:wordWrap/>
              <w:overflowPunct/>
              <w:topLinePunct w:val="0"/>
              <w:bidi w:val="0"/>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eastAsia="zh-CN"/>
              </w:rPr>
              <w:t>技术参数</w:t>
            </w:r>
          </w:p>
        </w:tc>
        <w:tc>
          <w:tcPr>
            <w:tcW w:w="697" w:type="pct"/>
            <w:noWrap w:val="0"/>
            <w:vAlign w:val="center"/>
          </w:tcPr>
          <w:p>
            <w:pPr>
              <w:keepNext w:val="0"/>
              <w:keepLines w:val="0"/>
              <w:pageBreakBefore w:val="0"/>
              <w:widowControl w:val="0"/>
              <w:kinsoku/>
              <w:wordWrap/>
              <w:overflowPunct/>
              <w:topLinePunct w:val="0"/>
              <w:bidi w:val="0"/>
              <w:snapToGrid/>
              <w:spacing w:line="400" w:lineRule="exact"/>
              <w:jc w:val="center"/>
              <w:textAlignment w:val="auto"/>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单价限价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612" w:type="pct"/>
            <w:noWrap w:val="0"/>
            <w:vAlign w:val="center"/>
          </w:tcPr>
          <w:p>
            <w:pPr>
              <w:pStyle w:val="15"/>
              <w:keepNext w:val="0"/>
              <w:keepLines w:val="0"/>
              <w:pageBreakBefore w:val="0"/>
              <w:widowControl w:val="0"/>
              <w:kinsoku/>
              <w:wordWrap/>
              <w:overflowPunct/>
              <w:topLinePunct w:val="0"/>
              <w:bidi w:val="0"/>
              <w:snapToGrid/>
              <w:spacing w:line="400" w:lineRule="exact"/>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重型货架</w:t>
            </w:r>
          </w:p>
        </w:tc>
        <w:tc>
          <w:tcPr>
            <w:tcW w:w="1561" w:type="pct"/>
            <w:noWrap w:val="0"/>
            <w:vAlign w:val="center"/>
          </w:tcPr>
          <w:p>
            <w:pPr>
              <w:keepNext w:val="0"/>
              <w:keepLines w:val="0"/>
              <w:pageBreakBefore w:val="0"/>
              <w:widowControl w:val="0"/>
              <w:kinsoku/>
              <w:wordWrap/>
              <w:overflowPunct/>
              <w:topLinePunct w:val="0"/>
              <w:bidi w:val="0"/>
              <w:snapToGrid/>
              <w:spacing w:line="400" w:lineRule="exact"/>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长1000*宽600*高2000（四层）</w:t>
            </w:r>
          </w:p>
        </w:tc>
        <w:tc>
          <w:tcPr>
            <w:tcW w:w="449" w:type="pct"/>
            <w:noWrap w:val="0"/>
            <w:vAlign w:val="center"/>
          </w:tcPr>
          <w:p>
            <w:pPr>
              <w:keepNext w:val="0"/>
              <w:keepLines w:val="0"/>
              <w:pageBreakBefore w:val="0"/>
              <w:widowControl w:val="0"/>
              <w:kinsoku/>
              <w:wordWrap/>
              <w:overflowPunct/>
              <w:topLinePunct w:val="0"/>
              <w:bidi w:val="0"/>
              <w:snapToGrid/>
              <w:spacing w:line="400" w:lineRule="exact"/>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520米</w:t>
            </w:r>
          </w:p>
        </w:tc>
        <w:tc>
          <w:tcPr>
            <w:tcW w:w="1680" w:type="pct"/>
            <w:noWrap w:val="0"/>
            <w:vAlign w:val="center"/>
          </w:tcPr>
          <w:p>
            <w:pPr>
              <w:keepNext w:val="0"/>
              <w:keepLines w:val="0"/>
              <w:pageBreakBefore w:val="0"/>
              <w:widowControl w:val="0"/>
              <w:numPr>
                <w:ilvl w:val="0"/>
                <w:numId w:val="0"/>
              </w:numPr>
              <w:kinsoku/>
              <w:wordWrap/>
              <w:overflowPunct/>
              <w:topLinePunct w:val="0"/>
              <w:bidi w:val="0"/>
              <w:snapToGrid/>
              <w:spacing w:line="400" w:lineRule="exact"/>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1.材质为Q235通用型钢板；</w:t>
            </w:r>
          </w:p>
          <w:p>
            <w:pPr>
              <w:keepNext w:val="0"/>
              <w:keepLines w:val="0"/>
              <w:pageBreakBefore w:val="0"/>
              <w:widowControl w:val="0"/>
              <w:numPr>
                <w:ilvl w:val="0"/>
                <w:numId w:val="0"/>
              </w:numPr>
              <w:kinsoku/>
              <w:wordWrap/>
              <w:overflowPunct/>
              <w:topLinePunct w:val="0"/>
              <w:bidi w:val="0"/>
              <w:snapToGrid/>
              <w:spacing w:line="400" w:lineRule="exact"/>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2.自重为35kg；</w:t>
            </w:r>
          </w:p>
          <w:p>
            <w:pPr>
              <w:keepNext w:val="0"/>
              <w:keepLines w:val="0"/>
              <w:pageBreakBefore w:val="0"/>
              <w:widowControl w:val="0"/>
              <w:numPr>
                <w:ilvl w:val="0"/>
                <w:numId w:val="0"/>
              </w:numPr>
              <w:kinsoku/>
              <w:wordWrap/>
              <w:overflowPunct/>
              <w:topLinePunct w:val="0"/>
              <w:bidi w:val="0"/>
              <w:snapToGrid/>
              <w:spacing w:line="400" w:lineRule="exact"/>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3.承重≥500kg。</w:t>
            </w:r>
          </w:p>
        </w:tc>
        <w:tc>
          <w:tcPr>
            <w:tcW w:w="697" w:type="pct"/>
            <w:noWrap w:val="0"/>
            <w:vAlign w:val="center"/>
          </w:tcPr>
          <w:p>
            <w:pPr>
              <w:keepNext w:val="0"/>
              <w:keepLines w:val="0"/>
              <w:pageBreakBefore w:val="0"/>
              <w:widowControl w:val="0"/>
              <w:numPr>
                <w:ilvl w:val="0"/>
                <w:numId w:val="0"/>
              </w:numPr>
              <w:kinsoku/>
              <w:wordWrap/>
              <w:overflowPunct/>
              <w:topLinePunct w:val="0"/>
              <w:bidi w:val="0"/>
              <w:snapToGrid/>
              <w:spacing w:line="400" w:lineRule="exact"/>
              <w:jc w:val="center"/>
              <w:textAlignment w:val="auto"/>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510元/米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000" w:type="pct"/>
            <w:gridSpan w:val="5"/>
            <w:noWrap w:val="0"/>
            <w:vAlign w:val="center"/>
          </w:tcPr>
          <w:p>
            <w:pPr>
              <w:keepNext w:val="0"/>
              <w:keepLines w:val="0"/>
              <w:pageBreakBefore w:val="0"/>
              <w:widowControl w:val="0"/>
              <w:kinsoku/>
              <w:wordWrap/>
              <w:overflowPunct/>
              <w:topLinePunct w:val="0"/>
              <w:bidi w:val="0"/>
              <w:snapToGrid/>
              <w:spacing w:line="400" w:lineRule="exact"/>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备注：2米为一组，分别安装摆放在1楼至15楼的使用科室</w:t>
            </w:r>
          </w:p>
        </w:tc>
      </w:tr>
    </w:tbl>
    <w:p>
      <w:pPr>
        <w:pageBreakBefore w:val="0"/>
        <w:kinsoku/>
        <w:wordWrap/>
        <w:overflowPunct/>
        <w:topLinePunct w:val="0"/>
        <w:bidi w:val="0"/>
        <w:snapToGrid/>
        <w:spacing w:line="560" w:lineRule="exact"/>
        <w:ind w:left="0" w:leftChars="0" w:firstLine="0" w:firstLine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重型</w:t>
      </w:r>
      <w:r>
        <w:rPr>
          <w:rFonts w:hint="eastAsia" w:ascii="仿宋" w:hAnsi="仿宋" w:eastAsia="仿宋" w:cs="仿宋"/>
          <w:color w:val="auto"/>
          <w:sz w:val="28"/>
          <w:szCs w:val="28"/>
        </w:rPr>
        <w:t>货架参数一览表</w:t>
      </w:r>
    </w:p>
    <w:tbl>
      <w:tblPr>
        <w:tblStyle w:val="12"/>
        <w:tblW w:w="92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740"/>
        <w:gridCol w:w="1230"/>
        <w:gridCol w:w="1440"/>
        <w:gridCol w:w="1200"/>
        <w:gridCol w:w="4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608"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序号</w:t>
            </w:r>
          </w:p>
        </w:tc>
        <w:tc>
          <w:tcPr>
            <w:tcW w:w="74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设备</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名称</w:t>
            </w:r>
          </w:p>
        </w:tc>
        <w:tc>
          <w:tcPr>
            <w:tcW w:w="123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设备配置</w:t>
            </w: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材料规格</w:t>
            </w:r>
          </w:p>
        </w:tc>
        <w:tc>
          <w:tcPr>
            <w:tcW w:w="120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采用标准</w:t>
            </w:r>
          </w:p>
        </w:tc>
        <w:tc>
          <w:tcPr>
            <w:tcW w:w="403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性  能  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5" w:hRule="atLeast"/>
          <w:jc w:val="center"/>
        </w:trPr>
        <w:tc>
          <w:tcPr>
            <w:tcW w:w="608"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1</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74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重</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型</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货</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架</w:t>
            </w:r>
          </w:p>
        </w:tc>
        <w:tc>
          <w:tcPr>
            <w:tcW w:w="123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立  柱</w:t>
            </w: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2.0</w:t>
            </w:r>
            <w:r>
              <w:rPr>
                <w:rFonts w:hint="eastAsia" w:ascii="仿宋" w:hAnsi="仿宋" w:eastAsia="仿宋" w:cs="仿宋"/>
                <w:color w:val="auto"/>
                <w:sz w:val="21"/>
                <w:szCs w:val="21"/>
              </w:rPr>
              <w:t>mm</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冷轧钢板</w:t>
            </w:r>
          </w:p>
        </w:tc>
        <w:tc>
          <w:tcPr>
            <w:tcW w:w="120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国标</w:t>
            </w:r>
          </w:p>
        </w:tc>
        <w:tc>
          <w:tcPr>
            <w:tcW w:w="403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架体结实、坚固、设计新颖，安装规范，层数和间距自由调整，表面喷塑</w:t>
            </w:r>
            <w:r>
              <w:rPr>
                <w:rFonts w:hint="eastAsia" w:ascii="仿宋" w:hAnsi="仿宋" w:eastAsia="仿宋" w:cs="仿宋"/>
                <w:color w:val="auto"/>
                <w:sz w:val="21"/>
                <w:szCs w:val="21"/>
                <w:lang w:eastAsia="zh-CN"/>
              </w:rPr>
              <w:t>平整</w:t>
            </w:r>
            <w:r>
              <w:rPr>
                <w:rFonts w:hint="eastAsia" w:ascii="仿宋" w:hAnsi="仿宋" w:eastAsia="仿宋" w:cs="仿宋"/>
                <w:color w:val="auto"/>
                <w:sz w:val="21"/>
                <w:szCs w:val="21"/>
              </w:rPr>
              <w:t>光亮，色泽均匀一致，无鼓泡、脱落、伤痕等缺陷。立柱成形65mm*40mm</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外观漂亮。</w:t>
            </w:r>
            <w:r>
              <w:rPr>
                <w:rFonts w:hint="eastAsia" w:ascii="仿宋" w:hAnsi="仿宋" w:eastAsia="仿宋" w:cs="仿宋"/>
                <w:b/>
                <w:bCs/>
                <w:color w:val="auto"/>
                <w:sz w:val="21"/>
                <w:szCs w:val="21"/>
              </w:rPr>
              <w:t>层板承重≥</w:t>
            </w:r>
            <w:r>
              <w:rPr>
                <w:rFonts w:hint="eastAsia" w:ascii="仿宋" w:hAnsi="仿宋" w:eastAsia="仿宋" w:cs="仿宋"/>
                <w:b/>
                <w:bCs/>
                <w:color w:val="auto"/>
                <w:sz w:val="21"/>
                <w:szCs w:val="21"/>
                <w:lang w:val="en-US" w:eastAsia="zh-CN"/>
              </w:rPr>
              <w:t>500</w:t>
            </w:r>
            <w:r>
              <w:rPr>
                <w:rFonts w:hint="eastAsia" w:ascii="仿宋" w:hAnsi="仿宋" w:eastAsia="仿宋" w:cs="仿宋"/>
                <w:b/>
                <w:bCs/>
                <w:color w:val="auto"/>
                <w:sz w:val="21"/>
                <w:szCs w:val="21"/>
              </w:rPr>
              <w:t>kg，</w:t>
            </w:r>
            <w:r>
              <w:rPr>
                <w:rFonts w:hint="eastAsia" w:ascii="仿宋" w:hAnsi="仿宋" w:eastAsia="仿宋" w:cs="仿宋"/>
                <w:color w:val="auto"/>
                <w:sz w:val="21"/>
                <w:szCs w:val="21"/>
              </w:rPr>
              <w:t>满负荷24小时后屈挠度≤3mm，制裁后自动恢复，不得有裂纹及永久变形。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0" w:hRule="atLeast"/>
          <w:jc w:val="center"/>
        </w:trPr>
        <w:tc>
          <w:tcPr>
            <w:tcW w:w="6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7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123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层  板</w:t>
            </w: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1.0</w:t>
            </w:r>
            <w:r>
              <w:rPr>
                <w:rFonts w:hint="eastAsia" w:ascii="仿宋" w:hAnsi="仿宋" w:eastAsia="仿宋" w:cs="仿宋"/>
                <w:color w:val="auto"/>
                <w:sz w:val="21"/>
                <w:szCs w:val="21"/>
              </w:rPr>
              <w:t>mm</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冷轧钢板</w:t>
            </w:r>
          </w:p>
        </w:tc>
        <w:tc>
          <w:tcPr>
            <w:tcW w:w="120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eastAsia="zh-CN"/>
              </w:rPr>
              <w:t>国标</w:t>
            </w:r>
          </w:p>
        </w:tc>
        <w:tc>
          <w:tcPr>
            <w:tcW w:w="403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jc w:val="center"/>
        </w:trPr>
        <w:tc>
          <w:tcPr>
            <w:tcW w:w="6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7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123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横  梁</w:t>
            </w: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2.0</w:t>
            </w:r>
            <w:r>
              <w:rPr>
                <w:rFonts w:hint="eastAsia" w:ascii="仿宋" w:hAnsi="仿宋" w:eastAsia="仿宋" w:cs="仿宋"/>
                <w:color w:val="auto"/>
                <w:sz w:val="21"/>
                <w:szCs w:val="21"/>
              </w:rPr>
              <w:t>mm</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冷轧型材</w:t>
            </w:r>
          </w:p>
        </w:tc>
        <w:tc>
          <w:tcPr>
            <w:tcW w:w="120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eastAsia="zh-CN"/>
              </w:rPr>
              <w:t>国标</w:t>
            </w:r>
          </w:p>
        </w:tc>
        <w:tc>
          <w:tcPr>
            <w:tcW w:w="403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rPr>
              <w:t>采用一次成形P型管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60</w:t>
            </w: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40）</w:t>
            </w:r>
            <w:r>
              <w:rPr>
                <w:rFonts w:hint="eastAsia" w:ascii="仿宋" w:hAnsi="仿宋" w:eastAsia="仿宋" w:cs="仿宋"/>
                <w:color w:val="auto"/>
                <w:sz w:val="21"/>
                <w:szCs w:val="21"/>
              </w:rPr>
              <w:t>截面型材</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抗拉能力强度高≥500kg</w:t>
            </w:r>
            <w:r>
              <w:rPr>
                <w:rFonts w:hint="eastAsia" w:ascii="仿宋" w:hAnsi="仿宋" w:eastAsia="仿宋" w:cs="仿宋"/>
                <w:color w:val="auto"/>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5" w:hRule="atLeast"/>
          <w:jc w:val="center"/>
        </w:trPr>
        <w:tc>
          <w:tcPr>
            <w:tcW w:w="6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7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123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横梁接头</w:t>
            </w: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2.0mm</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冷轧钢板</w:t>
            </w:r>
          </w:p>
        </w:tc>
        <w:tc>
          <w:tcPr>
            <w:tcW w:w="120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eastAsia="zh-CN"/>
              </w:rPr>
              <w:t>国标</w:t>
            </w:r>
          </w:p>
        </w:tc>
        <w:tc>
          <w:tcPr>
            <w:tcW w:w="403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采用模具一次成形冲成梅花卡口与立柱上的梅花卡口紧密结合，无松动。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5" w:hRule="atLeast"/>
          <w:jc w:val="center"/>
        </w:trPr>
        <w:tc>
          <w:tcPr>
            <w:tcW w:w="6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7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123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紧固销</w:t>
            </w: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优质冷轧件</w:t>
            </w:r>
          </w:p>
        </w:tc>
        <w:tc>
          <w:tcPr>
            <w:tcW w:w="120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val="en-US"/>
              </w:rPr>
            </w:pPr>
            <w:r>
              <w:rPr>
                <w:rFonts w:hint="eastAsia" w:ascii="仿宋" w:hAnsi="仿宋" w:eastAsia="仿宋" w:cs="仿宋"/>
                <w:color w:val="auto"/>
                <w:sz w:val="21"/>
                <w:szCs w:val="21"/>
                <w:lang w:eastAsia="zh-CN"/>
              </w:rPr>
              <w:t>国标</w:t>
            </w:r>
          </w:p>
        </w:tc>
        <w:tc>
          <w:tcPr>
            <w:tcW w:w="403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横梁与立柱紧密配合</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另加紧固销锁定使架体更加紧密配合牢固无松动。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atLeast"/>
          <w:jc w:val="center"/>
        </w:trPr>
        <w:tc>
          <w:tcPr>
            <w:tcW w:w="6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7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val="en-US"/>
              </w:rPr>
            </w:pPr>
          </w:p>
        </w:tc>
        <w:tc>
          <w:tcPr>
            <w:tcW w:w="123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前处理</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药剂</w:t>
            </w: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Zn系磷化</w:t>
            </w:r>
          </w:p>
        </w:tc>
        <w:tc>
          <w:tcPr>
            <w:tcW w:w="120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国标</w:t>
            </w:r>
          </w:p>
        </w:tc>
        <w:tc>
          <w:tcPr>
            <w:tcW w:w="403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val="en-US"/>
              </w:rPr>
            </w:pPr>
            <w:r>
              <w:rPr>
                <w:rFonts w:hint="eastAsia" w:ascii="仿宋" w:hAnsi="仿宋" w:eastAsia="仿宋" w:cs="仿宋"/>
                <w:color w:val="auto"/>
                <w:sz w:val="21"/>
                <w:szCs w:val="21"/>
                <w:lang w:eastAsia="zh-CN"/>
              </w:rPr>
              <w:t>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jc w:val="center"/>
        </w:trPr>
        <w:tc>
          <w:tcPr>
            <w:tcW w:w="6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7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123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高压</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静电喷塑</w:t>
            </w: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环氧型聚</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脂混合粉</w:t>
            </w:r>
          </w:p>
        </w:tc>
        <w:tc>
          <w:tcPr>
            <w:tcW w:w="120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国标</w:t>
            </w:r>
          </w:p>
        </w:tc>
        <w:tc>
          <w:tcPr>
            <w:tcW w:w="403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eastAsia="zh-CN"/>
              </w:rPr>
              <w:t>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5" w:hRule="atLeast"/>
          <w:jc w:val="center"/>
        </w:trPr>
        <w:tc>
          <w:tcPr>
            <w:tcW w:w="6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7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123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纯水洗</w:t>
            </w: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≤10ЦS</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电导率</w:t>
            </w:r>
          </w:p>
        </w:tc>
        <w:tc>
          <w:tcPr>
            <w:tcW w:w="120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eastAsia="zh-CN"/>
              </w:rPr>
              <w:t>国标</w:t>
            </w:r>
          </w:p>
        </w:tc>
        <w:tc>
          <w:tcPr>
            <w:tcW w:w="403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val="en-US"/>
              </w:rPr>
            </w:pPr>
            <w:r>
              <w:rPr>
                <w:rFonts w:hint="eastAsia" w:ascii="仿宋" w:hAnsi="仿宋" w:eastAsia="仿宋" w:cs="仿宋"/>
                <w:color w:val="auto"/>
                <w:sz w:val="21"/>
                <w:szCs w:val="21"/>
                <w:lang w:eastAsia="zh-CN"/>
              </w:rPr>
              <w:t>国标</w:t>
            </w:r>
          </w:p>
        </w:tc>
      </w:tr>
    </w:tbl>
    <w:tbl>
      <w:tblPr>
        <w:tblStyle w:val="13"/>
        <w:tblW w:w="92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400"/>
        <w:gridCol w:w="2231"/>
        <w:gridCol w:w="4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7"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架体材料规格参数一览表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序号</w:t>
            </w:r>
          </w:p>
        </w:tc>
        <w:tc>
          <w:tcPr>
            <w:tcW w:w="140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设备名称</w:t>
            </w: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设备配置</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材料规格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0000FF"/>
                <w:sz w:val="24"/>
                <w:szCs w:val="24"/>
                <w:vertAlign w:val="baseline"/>
                <w:lang w:val="en-US" w:eastAsia="zh-CN"/>
              </w:rPr>
            </w:pPr>
            <w:r>
              <w:rPr>
                <w:rFonts w:hint="eastAsia" w:ascii="仿宋" w:hAnsi="仿宋" w:eastAsia="仿宋" w:cs="仿宋"/>
                <w:b w:val="0"/>
                <w:bCs/>
                <w:color w:val="0000FF"/>
                <w:sz w:val="24"/>
                <w:szCs w:val="24"/>
                <w:vertAlign w:val="baseline"/>
                <w:lang w:val="en-US" w:eastAsia="zh-CN"/>
              </w:rPr>
              <w:t>1</w:t>
            </w: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0000FF"/>
                <w:sz w:val="24"/>
                <w:szCs w:val="24"/>
                <w:vertAlign w:val="baseline"/>
                <w:lang w:val="en-US" w:eastAsia="zh-CN"/>
              </w:rPr>
            </w:pPr>
            <w:r>
              <w:rPr>
                <w:rFonts w:hint="eastAsia" w:ascii="仿宋" w:hAnsi="仿宋" w:eastAsia="仿宋" w:cs="仿宋"/>
                <w:b w:val="0"/>
                <w:bCs/>
                <w:color w:val="0000FF"/>
                <w:sz w:val="24"/>
                <w:szCs w:val="24"/>
                <w:vertAlign w:val="baseline"/>
                <w:lang w:val="en-US" w:eastAsia="zh-CN"/>
              </w:rPr>
              <w:t>轨道</w:t>
            </w: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0000FF"/>
                <w:sz w:val="24"/>
                <w:szCs w:val="24"/>
                <w:vertAlign w:val="baseline"/>
                <w:lang w:val="en-US" w:eastAsia="zh-CN"/>
              </w:rPr>
            </w:pPr>
            <w:r>
              <w:rPr>
                <w:rFonts w:hint="eastAsia" w:ascii="仿宋" w:hAnsi="仿宋" w:eastAsia="仿宋" w:cs="仿宋"/>
                <w:b w:val="0"/>
                <w:bCs/>
                <w:color w:val="0000FF"/>
                <w:sz w:val="24"/>
                <w:szCs w:val="24"/>
                <w:vertAlign w:val="baseline"/>
                <w:lang w:val="en-US" w:eastAsia="zh-CN"/>
              </w:rPr>
              <w:t>轨座</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0000FF"/>
                <w:sz w:val="24"/>
                <w:szCs w:val="24"/>
                <w:vertAlign w:val="baseline"/>
                <w:lang w:val="en-US" w:eastAsia="zh-CN"/>
              </w:rPr>
            </w:pPr>
            <w:r>
              <w:rPr>
                <w:rFonts w:hint="eastAsia" w:ascii="仿宋" w:hAnsi="仿宋" w:eastAsia="仿宋" w:cs="仿宋"/>
                <w:b w:val="0"/>
                <w:bCs/>
                <w:color w:val="0000FF"/>
                <w:sz w:val="24"/>
                <w:szCs w:val="24"/>
                <w:vertAlign w:val="baseline"/>
                <w:lang w:val="en-US" w:eastAsia="zh-CN"/>
              </w:rPr>
              <w:t>4.0mm冷轧钢板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0000FF"/>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0000FF"/>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0000FF"/>
                <w:sz w:val="24"/>
                <w:szCs w:val="24"/>
                <w:vertAlign w:val="baseline"/>
                <w:lang w:val="en-US" w:eastAsia="zh-CN"/>
              </w:rPr>
            </w:pPr>
            <w:r>
              <w:rPr>
                <w:rFonts w:hint="eastAsia" w:ascii="仿宋" w:hAnsi="仿宋" w:eastAsia="仿宋" w:cs="仿宋"/>
                <w:b w:val="0"/>
                <w:bCs/>
                <w:color w:val="0000FF"/>
                <w:sz w:val="24"/>
                <w:szCs w:val="24"/>
                <w:vertAlign w:val="baseline"/>
                <w:lang w:val="en-US" w:eastAsia="zh-CN"/>
              </w:rPr>
              <w:t>路轨</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0000FF"/>
                <w:sz w:val="24"/>
                <w:szCs w:val="24"/>
                <w:vertAlign w:val="baseline"/>
                <w:lang w:val="en-US" w:eastAsia="zh-CN"/>
              </w:rPr>
            </w:pPr>
            <w:r>
              <w:rPr>
                <w:rFonts w:hint="eastAsia" w:ascii="仿宋" w:hAnsi="仿宋" w:eastAsia="仿宋" w:cs="仿宋"/>
                <w:b w:val="0"/>
                <w:bCs/>
                <w:color w:val="0000FF"/>
                <w:sz w:val="24"/>
                <w:szCs w:val="24"/>
                <w:vertAlign w:val="baseline"/>
                <w:lang w:val="en-US" w:eastAsia="zh-CN"/>
              </w:rPr>
              <w:t>20×20mm实心方钢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0000FF"/>
                <w:sz w:val="24"/>
                <w:szCs w:val="24"/>
                <w:vertAlign w:val="baseline"/>
                <w:lang w:val="en-US" w:eastAsia="zh-CN"/>
              </w:rPr>
            </w:pPr>
            <w:r>
              <w:rPr>
                <w:rFonts w:hint="eastAsia" w:ascii="仿宋" w:hAnsi="仿宋" w:eastAsia="仿宋" w:cs="仿宋"/>
                <w:b w:val="0"/>
                <w:bCs/>
                <w:color w:val="0000FF"/>
                <w:sz w:val="24"/>
                <w:szCs w:val="24"/>
                <w:vertAlign w:val="baseline"/>
                <w:lang w:val="en-US" w:eastAsia="zh-CN"/>
              </w:rPr>
              <w:t>2</w:t>
            </w:r>
          </w:p>
        </w:tc>
        <w:tc>
          <w:tcPr>
            <w:tcW w:w="140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0000FF"/>
                <w:sz w:val="24"/>
                <w:szCs w:val="24"/>
                <w:vertAlign w:val="baseline"/>
                <w:lang w:val="en-US" w:eastAsia="zh-CN"/>
              </w:rPr>
            </w:pPr>
            <w:r>
              <w:rPr>
                <w:rFonts w:hint="eastAsia" w:ascii="仿宋" w:hAnsi="仿宋" w:eastAsia="仿宋" w:cs="仿宋"/>
                <w:b w:val="0"/>
                <w:bCs/>
                <w:color w:val="0000FF"/>
                <w:sz w:val="24"/>
                <w:szCs w:val="24"/>
                <w:vertAlign w:val="baseline"/>
                <w:lang w:val="en-US" w:eastAsia="zh-CN"/>
              </w:rPr>
              <w:t>底座</w:t>
            </w: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0000FF"/>
                <w:sz w:val="24"/>
                <w:szCs w:val="24"/>
                <w:vertAlign w:val="baseline"/>
                <w:lang w:val="en-US" w:eastAsia="zh-CN"/>
              </w:rPr>
            </w:pPr>
            <w:r>
              <w:rPr>
                <w:rFonts w:hint="eastAsia" w:ascii="仿宋" w:hAnsi="仿宋" w:eastAsia="仿宋" w:cs="仿宋"/>
                <w:b w:val="0"/>
                <w:bCs/>
                <w:color w:val="0000FF"/>
                <w:sz w:val="24"/>
                <w:szCs w:val="24"/>
                <w:vertAlign w:val="baseline"/>
                <w:lang w:val="en-US" w:eastAsia="zh-CN"/>
              </w:rPr>
              <w:t>底梁、轴承梁</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0000FF"/>
                <w:sz w:val="24"/>
                <w:szCs w:val="24"/>
                <w:vertAlign w:val="baseline"/>
                <w:lang w:val="en-US" w:eastAsia="zh-CN"/>
              </w:rPr>
            </w:pPr>
            <w:r>
              <w:rPr>
                <w:rFonts w:hint="eastAsia" w:ascii="仿宋" w:hAnsi="仿宋" w:eastAsia="仿宋" w:cs="仿宋"/>
                <w:b w:val="0"/>
                <w:bCs/>
                <w:color w:val="0000FF"/>
                <w:sz w:val="24"/>
                <w:szCs w:val="24"/>
                <w:vertAlign w:val="baseline"/>
                <w:lang w:val="en-US" w:eastAsia="zh-CN"/>
              </w:rPr>
              <w:t>3.0mm热轧钢板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3</w:t>
            </w: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架体</w:t>
            </w: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立柱</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1.5mm冷轧钢板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搁板</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1.0mm冷轧钢板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挂板</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1.0mm冷轧钢板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档棒</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1.0mm冷轧钢板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4</w:t>
            </w:r>
          </w:p>
        </w:tc>
        <w:tc>
          <w:tcPr>
            <w:tcW w:w="1400" w:type="dxa"/>
            <w:vMerge w:val="restart"/>
            <w:vAlign w:val="center"/>
          </w:tcPr>
          <w:p>
            <w:pPr>
              <w:keepNext w:val="0"/>
              <w:keepLines w:val="0"/>
              <w:pageBreakBefore w:val="0"/>
              <w:widowControl w:val="0"/>
              <w:tabs>
                <w:tab w:val="left" w:pos="548"/>
              </w:tabs>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门面</w:t>
            </w: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门框</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1.0mm冷轧钢板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门板</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1.0mm冷轧钢板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定位模块</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ABS注塑件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5</w:t>
            </w:r>
          </w:p>
        </w:tc>
        <w:tc>
          <w:tcPr>
            <w:tcW w:w="140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侧板</w:t>
            </w: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vertAlign w:val="baseline"/>
                <w:lang w:val="en-US" w:eastAsia="zh-CN"/>
              </w:rPr>
              <w:t>侧面板</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1.0mm冷轧钢板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6</w:t>
            </w:r>
          </w:p>
        </w:tc>
        <w:tc>
          <w:tcPr>
            <w:tcW w:w="140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传动</w:t>
            </w: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轴承</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P204E级带座球面轴承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机构</w:t>
            </w: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传动轴</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内径Φ20实心45#钢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连接钢管</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内径Φ20无缝钢管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滚轮</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铸造滚轮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齿轮</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ZG45滚轮精制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摩托车链条</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Φ8.5节距12.7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摇手</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自动折叠摇把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摇手体总成</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滚珠轴承采用双向超越离合器结构GB1285-85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7</w:t>
            </w: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制动装置</w:t>
            </w: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总锁</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808锁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门锁</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防尘隐形豪华三级管理锁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8</w:t>
            </w: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防护装置</w:t>
            </w: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密封条</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20mm磁性密封条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顶板</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1.0mm冷轧钢板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防尘板、防鼠板</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1.0mm冷轧钢板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防倾倒装置</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4.0mm热轧钢板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9</w:t>
            </w: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表面处理</w:t>
            </w: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前处理药剂</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硅烷处理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高压静电喷塑</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环氧型聚酯混合物</w:t>
            </w:r>
          </w:p>
        </w:tc>
      </w:tr>
    </w:tbl>
    <w:p>
      <w:pPr>
        <w:keepNext w:val="0"/>
        <w:keepLines w:val="0"/>
        <w:pageBreakBefore w:val="0"/>
        <w:widowControl w:val="0"/>
        <w:kinsoku/>
        <w:wordWrap/>
        <w:overflowPunct/>
        <w:topLinePunct w:val="0"/>
        <w:autoSpaceDE/>
        <w:autoSpaceDN/>
        <w:bidi w:val="0"/>
        <w:adjustRightInd/>
        <w:snapToGrid/>
        <w:spacing w:line="500" w:lineRule="exact"/>
        <w:ind w:left="0" w:leftChars="0" w:firstLine="540" w:firstLineChars="192"/>
        <w:textAlignment w:val="auto"/>
        <w:rPr>
          <w:rFonts w:hint="eastAsia"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（二） 工艺、制造、载重、安装、运输等要求</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1）前期处理，采用乳化剂和碱性助洗脱脂剂脂、磷酸除锈、锌系薄膜磷化、钝化。前期处理原料采用环氧树脂粉体涂料。其工艺过程如下：热水脱脂——冷水清洗——除锈——冷水清洗——中和——表调——磷化——冷水清洗——热钝化——烘干。</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1）除油、去锈处理工艺：</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A</w:t>
      </w:r>
      <w:r>
        <w:rPr>
          <w:rFonts w:hint="eastAsia" w:ascii="仿宋" w:hAnsi="仿宋" w:eastAsia="仿宋" w:cs="仿宋"/>
          <w:sz w:val="28"/>
          <w:szCs w:val="28"/>
          <w:lang w:eastAsia="zh-CN"/>
        </w:rPr>
        <w:t>.</w:t>
      </w:r>
      <w:r>
        <w:rPr>
          <w:rFonts w:hint="eastAsia" w:ascii="仿宋" w:hAnsi="仿宋" w:eastAsia="仿宋" w:cs="仿宋"/>
          <w:sz w:val="28"/>
          <w:szCs w:val="28"/>
        </w:rPr>
        <w:t>工件表面的油污、锈斑及氧气化层，经化学法清除脱脂后，没有油脂、</w:t>
      </w:r>
      <w:r>
        <w:rPr>
          <w:rFonts w:hint="eastAsia" w:ascii="仿宋" w:hAnsi="仿宋" w:eastAsia="仿宋" w:cs="仿宋"/>
          <w:sz w:val="28"/>
          <w:szCs w:val="28"/>
          <w:lang w:eastAsia="zh-CN"/>
        </w:rPr>
        <w:t>乳浊液</w:t>
      </w:r>
      <w:r>
        <w:rPr>
          <w:rFonts w:hint="eastAsia" w:ascii="仿宋" w:hAnsi="仿宋" w:eastAsia="仿宋" w:cs="仿宋"/>
          <w:sz w:val="28"/>
          <w:szCs w:val="28"/>
        </w:rPr>
        <w:t>等污物，其表面被水完全浸湿。</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B</w:t>
      </w:r>
      <w:r>
        <w:rPr>
          <w:rFonts w:hint="eastAsia" w:ascii="仿宋" w:hAnsi="仿宋" w:eastAsia="仿宋" w:cs="仿宋"/>
          <w:sz w:val="28"/>
          <w:szCs w:val="28"/>
          <w:lang w:eastAsia="zh-CN"/>
        </w:rPr>
        <w:t>.</w:t>
      </w:r>
      <w:r>
        <w:rPr>
          <w:rFonts w:hint="eastAsia" w:ascii="仿宋" w:hAnsi="仿宋" w:eastAsia="仿宋" w:cs="仿宋"/>
          <w:sz w:val="28"/>
          <w:szCs w:val="28"/>
        </w:rPr>
        <w:t>酸洗后的工件，没有目视可见的氧化物、锈斑等腐蚀现象，其表面色泽基本均匀。</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2）磷化处理工艺：</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A</w:t>
      </w:r>
      <w:r>
        <w:rPr>
          <w:rFonts w:hint="eastAsia" w:ascii="仿宋" w:hAnsi="仿宋" w:eastAsia="仿宋" w:cs="仿宋"/>
          <w:sz w:val="28"/>
          <w:szCs w:val="28"/>
          <w:lang w:eastAsia="zh-CN"/>
        </w:rPr>
        <w:t>.</w:t>
      </w:r>
      <w:r>
        <w:rPr>
          <w:rFonts w:hint="eastAsia" w:ascii="仿宋" w:hAnsi="仿宋" w:eastAsia="仿宋" w:cs="仿宋"/>
          <w:sz w:val="28"/>
          <w:szCs w:val="28"/>
        </w:rPr>
        <w:t>磷化处理主要采用浸渍法进行。</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B</w:t>
      </w:r>
      <w:r>
        <w:rPr>
          <w:rFonts w:hint="eastAsia" w:ascii="仿宋" w:hAnsi="仿宋" w:eastAsia="仿宋" w:cs="仿宋"/>
          <w:sz w:val="28"/>
          <w:szCs w:val="28"/>
          <w:lang w:eastAsia="zh-CN"/>
        </w:rPr>
        <w:t>.</w:t>
      </w:r>
      <w:r>
        <w:rPr>
          <w:rFonts w:hint="eastAsia" w:ascii="仿宋" w:hAnsi="仿宋" w:eastAsia="仿宋" w:cs="仿宋"/>
          <w:sz w:val="28"/>
          <w:szCs w:val="28"/>
        </w:rPr>
        <w:t>磷化处理以锌钙的磷酸二氢盐为主要成份溶液，经磷化槽液的配制、调整，按工艺堆积要求进行。</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C</w:t>
      </w:r>
      <w:r>
        <w:rPr>
          <w:rFonts w:hint="eastAsia" w:ascii="仿宋" w:hAnsi="仿宋" w:eastAsia="仿宋" w:cs="仿宋"/>
          <w:sz w:val="28"/>
          <w:szCs w:val="28"/>
          <w:lang w:eastAsia="zh-CN"/>
        </w:rPr>
        <w:t>.</w:t>
      </w:r>
      <w:r>
        <w:rPr>
          <w:rFonts w:hint="eastAsia" w:ascii="仿宋" w:hAnsi="仿宋" w:eastAsia="仿宋" w:cs="仿宋"/>
          <w:sz w:val="28"/>
          <w:szCs w:val="28"/>
        </w:rPr>
        <w:t>磷化后的工件，采用流动水彻底清洗，提高工</w:t>
      </w:r>
      <w:r>
        <w:rPr>
          <w:rFonts w:hint="eastAsia" w:ascii="仿宋" w:hAnsi="仿宋" w:eastAsia="仿宋" w:cs="仿宋"/>
          <w:sz w:val="28"/>
          <w:szCs w:val="28"/>
          <w:highlight w:val="none"/>
        </w:rPr>
        <w:t>件</w:t>
      </w:r>
      <w:r>
        <w:rPr>
          <w:rFonts w:hint="eastAsia" w:ascii="仿宋" w:hAnsi="仿宋" w:eastAsia="仿宋" w:cs="仿宋"/>
          <w:sz w:val="28"/>
          <w:szCs w:val="28"/>
        </w:rPr>
        <w:t>表面的清洗质量，同时采用热的络酸液作封闭处理。</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D</w:t>
      </w:r>
      <w:r>
        <w:rPr>
          <w:rFonts w:hint="eastAsia" w:ascii="仿宋" w:hAnsi="仿宋" w:eastAsia="仿宋" w:cs="仿宋"/>
          <w:sz w:val="28"/>
          <w:szCs w:val="28"/>
          <w:lang w:eastAsia="zh-CN"/>
        </w:rPr>
        <w:t>.</w:t>
      </w:r>
      <w:r>
        <w:rPr>
          <w:rFonts w:hint="eastAsia" w:ascii="仿宋" w:hAnsi="仿宋" w:eastAsia="仿宋" w:cs="仿宋"/>
          <w:sz w:val="28"/>
          <w:szCs w:val="28"/>
        </w:rPr>
        <w:t>工件经磷化、水洗后，采用烘干机处理干燥后方可喷塑。</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3）磷化膜外观：</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A</w:t>
      </w:r>
      <w:r>
        <w:rPr>
          <w:rFonts w:hint="eastAsia" w:ascii="仿宋" w:hAnsi="仿宋" w:eastAsia="仿宋" w:cs="仿宋"/>
          <w:sz w:val="28"/>
          <w:szCs w:val="28"/>
          <w:lang w:eastAsia="zh-CN"/>
        </w:rPr>
        <w:t>.</w:t>
      </w:r>
      <w:r>
        <w:rPr>
          <w:rFonts w:hint="eastAsia" w:ascii="仿宋" w:hAnsi="仿宋" w:eastAsia="仿宋" w:cs="仿宋"/>
          <w:sz w:val="28"/>
          <w:szCs w:val="28"/>
        </w:rPr>
        <w:t>磷化后工作的颜色为灰色，膜层结晶致密，连续和均匀。</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B</w:t>
      </w:r>
      <w:r>
        <w:rPr>
          <w:rFonts w:hint="eastAsia" w:ascii="仿宋" w:hAnsi="仿宋" w:eastAsia="仿宋" w:cs="仿宋"/>
          <w:sz w:val="28"/>
          <w:szCs w:val="28"/>
          <w:lang w:eastAsia="zh-CN"/>
        </w:rPr>
        <w:t>.</w:t>
      </w:r>
      <w:r>
        <w:rPr>
          <w:rFonts w:hint="eastAsia" w:ascii="仿宋" w:hAnsi="仿宋" w:eastAsia="仿宋" w:cs="仿宋"/>
          <w:sz w:val="28"/>
          <w:szCs w:val="28"/>
        </w:rPr>
        <w:t>膜层厚度一般控制为0.05mm。</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C</w:t>
      </w:r>
      <w:r>
        <w:rPr>
          <w:rFonts w:hint="eastAsia" w:ascii="仿宋" w:hAnsi="仿宋" w:eastAsia="仿宋" w:cs="仿宋"/>
          <w:sz w:val="28"/>
          <w:szCs w:val="28"/>
          <w:lang w:eastAsia="zh-CN"/>
        </w:rPr>
        <w:t>.</w:t>
      </w:r>
      <w:r>
        <w:rPr>
          <w:rFonts w:hint="eastAsia" w:ascii="仿宋" w:hAnsi="仿宋" w:eastAsia="仿宋" w:cs="仿宋"/>
          <w:sz w:val="28"/>
          <w:szCs w:val="28"/>
        </w:rPr>
        <w:t>磷化表面检验，采用检验溶液，观察滴液从天</w:t>
      </w:r>
      <w:r>
        <w:rPr>
          <w:rFonts w:hint="eastAsia" w:ascii="仿宋" w:hAnsi="仿宋" w:eastAsia="仿宋" w:cs="仿宋"/>
          <w:sz w:val="28"/>
          <w:szCs w:val="28"/>
          <w:lang w:val="en-US" w:eastAsia="zh-CN"/>
        </w:rPr>
        <w:t>蓝</w:t>
      </w:r>
      <w:r>
        <w:rPr>
          <w:rFonts w:hint="eastAsia" w:ascii="仿宋" w:hAnsi="仿宋" w:eastAsia="仿宋" w:cs="仿宋"/>
          <w:sz w:val="28"/>
          <w:szCs w:val="28"/>
        </w:rPr>
        <w:t>色变为淡黄色或淡红色，并在规定时间内不变色。成品进入下一道喷塑工序。</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2、表面处理：</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所有工部件的表面处理是热固性粉末喷涂，然后200℃高温固化为成品，时间控制在10</w:t>
      </w:r>
      <w:r>
        <w:rPr>
          <w:rFonts w:hint="eastAsia" w:ascii="仿宋" w:hAnsi="仿宋" w:eastAsia="仿宋" w:cs="仿宋"/>
          <w:sz w:val="28"/>
          <w:szCs w:val="28"/>
          <w:lang w:eastAsia="zh-CN"/>
        </w:rPr>
        <w:t>—</w:t>
      </w:r>
      <w:r>
        <w:rPr>
          <w:rFonts w:hint="eastAsia" w:ascii="仿宋" w:hAnsi="仿宋" w:eastAsia="仿宋" w:cs="仿宋"/>
          <w:sz w:val="28"/>
          <w:szCs w:val="28"/>
        </w:rPr>
        <w:t>15分钟范围内。</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涂膜技术标准：</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光泽测定：60%镜面反射率，测定400±5%</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涂膜硬度：中华牌铅笔≥2H试验合格</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耐冲击力：冲击试验1/2*500g＞30cm正面冲击，涂膜无裂纹、皱纹及剥落现象</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涂膜厚度：60-70um；</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涂膜附着力：划格法试验，100%不剥落，达到2级标准</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耐腐蚀试验：盐雾试验48小时，涂膜无脱落现象</w:t>
      </w:r>
    </w:p>
    <w:p>
      <w:pPr>
        <w:spacing w:line="560" w:lineRule="exact"/>
        <w:ind w:firstLine="540" w:firstLineChars="192"/>
        <w:rPr>
          <w:rFonts w:ascii="仿宋" w:hAnsi="仿宋" w:eastAsia="仿宋" w:cs="仿宋"/>
          <w:b/>
          <w:sz w:val="28"/>
          <w:szCs w:val="28"/>
        </w:rPr>
      </w:pPr>
      <w:r>
        <w:rPr>
          <w:rFonts w:hint="eastAsia" w:ascii="仿宋" w:hAnsi="仿宋" w:eastAsia="仿宋" w:cs="仿宋"/>
          <w:b/>
          <w:sz w:val="28"/>
          <w:szCs w:val="28"/>
        </w:rPr>
        <w:t>3、制造要求</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（1）凡需焊接的部位应焊接牢固，焊点均匀，焊痕高度不大于1mm，焊点间距应控制在100mm以内，焊痕表面波纹平整，不得出现焊焦、焊穿等现象。</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（2）冲压件必须平整无毛刺，不允许有裂痕，冲压尺寸的误差应控制在±2.0mm之内。</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（3）折弯必须到位，以确保工件折弯所需角度，其邻边垂直度、平行度控制在≤1.5mm内。</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（4）涂层表面应平整光滑，色泽均匀一致，不允许有流挂、起粒、皱皮、露底、剥落、伤痕等外观缺陷。</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（5）各零件、组合件表面应光滑平整，不得有尖角凸起；各零件、组合件之间能保持互换性。所有标准件及紧固件均需氧化或镀锌处理。</w:t>
      </w:r>
    </w:p>
    <w:p>
      <w:pPr>
        <w:spacing w:line="560" w:lineRule="exact"/>
        <w:ind w:firstLine="540" w:firstLineChars="192"/>
        <w:rPr>
          <w:rFonts w:ascii="仿宋" w:hAnsi="仿宋" w:eastAsia="仿宋" w:cs="仿宋"/>
          <w:b/>
          <w:sz w:val="28"/>
          <w:szCs w:val="28"/>
        </w:rPr>
      </w:pPr>
      <w:r>
        <w:rPr>
          <w:rFonts w:hint="eastAsia" w:ascii="仿宋" w:hAnsi="仿宋" w:eastAsia="仿宋" w:cs="仿宋"/>
          <w:b/>
          <w:sz w:val="28"/>
          <w:szCs w:val="28"/>
        </w:rPr>
        <w:t>4、载重性能要求</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（1）搁板载重：搁板负载载重≥500kg，最大挠度3mm，24h卸载后，不得出现裂痕及钢性变形，残余变形量不大于0.3mm。</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（2）全负载载重：每标准节在全负载（搁板均匀载重1000kg）的情况下，架体、立柱不应有明显变形，架体不应产生倾倒现象。</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（3）载重稳定性：在受全部载荷二十分之一外力（沿X、Y轴两个方向的水平外力）的作用反复100次后，取消外力，架体所产生的倾斜不得大于总高的</w:t>
      </w:r>
      <w:r>
        <w:rPr>
          <w:rFonts w:hint="eastAsia" w:ascii="仿宋" w:hAnsi="仿宋" w:eastAsia="仿宋" w:cs="仿宋"/>
          <w:sz w:val="28"/>
          <w:szCs w:val="28"/>
          <w:lang w:eastAsia="zh-CN"/>
        </w:rPr>
        <w:t>1%</w:t>
      </w:r>
      <w:r>
        <w:rPr>
          <w:rFonts w:hint="eastAsia" w:ascii="仿宋" w:hAnsi="仿宋" w:eastAsia="仿宋" w:cs="仿宋"/>
          <w:sz w:val="28"/>
          <w:szCs w:val="28"/>
        </w:rPr>
        <w:t>。支架、立柱不得有明显变形。</w:t>
      </w:r>
    </w:p>
    <w:p>
      <w:pPr>
        <w:spacing w:line="560" w:lineRule="exact"/>
        <w:ind w:firstLine="540" w:firstLineChars="192"/>
        <w:rPr>
          <w:rFonts w:ascii="仿宋" w:hAnsi="仿宋" w:eastAsia="仿宋" w:cs="仿宋"/>
          <w:b/>
          <w:sz w:val="28"/>
          <w:szCs w:val="28"/>
        </w:rPr>
      </w:pPr>
      <w:r>
        <w:rPr>
          <w:rFonts w:hint="eastAsia" w:ascii="仿宋" w:hAnsi="仿宋" w:eastAsia="仿宋" w:cs="仿宋"/>
          <w:b/>
          <w:sz w:val="28"/>
          <w:szCs w:val="28"/>
        </w:rPr>
        <w:t>5、安装要求：</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（1）各部安装应牢固可靠，不允许有松动现象，各结构件和架体无明显变形，架体无倾斜现象。每标准节组合后外型尺寸（长、宽、高）的极限偏差为正负2mm。</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（2）标准架组装后，侧面板与中腰带的对缝处的间隙不大于2mm。</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sz w:val="28"/>
          <w:szCs w:val="28"/>
        </w:rPr>
        <w:t>（3）架体平行度：正负在1—2mm/列之间，架体垂直度：正负在1—2mm/列之间，架体纵向同步度：正负在1—2mm/列之间。</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562" w:firstLineChars="20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lang w:val="en-US" w:eastAsia="zh-CN"/>
        </w:rPr>
        <w:t>6、</w:t>
      </w:r>
      <w:r>
        <w:rPr>
          <w:rFonts w:hint="eastAsia" w:ascii="仿宋" w:hAnsi="仿宋" w:eastAsia="仿宋" w:cs="仿宋"/>
          <w:b/>
          <w:bCs/>
          <w:color w:val="auto"/>
          <w:sz w:val="28"/>
          <w:szCs w:val="28"/>
          <w:highlight w:val="none"/>
        </w:rPr>
        <w:t>材料厚度要求</w:t>
      </w:r>
      <w:r>
        <w:rPr>
          <w:rFonts w:hint="eastAsia" w:ascii="仿宋" w:hAnsi="仿宋" w:eastAsia="仿宋" w:cs="仿宋"/>
          <w:b/>
          <w:bCs/>
          <w:color w:val="auto"/>
          <w:sz w:val="28"/>
          <w:szCs w:val="28"/>
          <w:highlight w:val="none"/>
          <w:lang w:eastAsia="zh-CN"/>
        </w:rPr>
        <w:t>：</w:t>
      </w:r>
      <w:r>
        <w:rPr>
          <w:rFonts w:hint="eastAsia" w:ascii="仿宋" w:hAnsi="仿宋" w:eastAsia="仿宋" w:cs="仿宋"/>
          <w:color w:val="auto"/>
          <w:sz w:val="28"/>
          <w:szCs w:val="28"/>
          <w:highlight w:val="none"/>
          <w:lang w:val="en-US" w:eastAsia="zh-CN"/>
        </w:rPr>
        <w:t>材料厚度见第一条表格《重型货架参数一览表》</w:t>
      </w:r>
      <w:r>
        <w:rPr>
          <w:rFonts w:hint="eastAsia" w:ascii="仿宋" w:hAnsi="仿宋" w:eastAsia="仿宋" w:cs="仿宋"/>
          <w:color w:val="auto"/>
          <w:sz w:val="28"/>
          <w:szCs w:val="28"/>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562" w:firstLineChars="200"/>
        <w:textAlignment w:val="auto"/>
        <w:rPr>
          <w:rFonts w:hint="eastAsia" w:ascii="仿宋" w:hAnsi="仿宋" w:eastAsia="仿宋" w:cs="仿宋"/>
          <w:color w:val="auto"/>
          <w:sz w:val="28"/>
          <w:szCs w:val="28"/>
        </w:rPr>
      </w:pPr>
      <w:r>
        <w:rPr>
          <w:rFonts w:hint="eastAsia" w:ascii="仿宋" w:hAnsi="仿宋" w:eastAsia="仿宋" w:cs="仿宋"/>
          <w:b/>
          <w:bCs w:val="0"/>
          <w:color w:val="auto"/>
          <w:sz w:val="28"/>
          <w:szCs w:val="28"/>
          <w:lang w:val="en-US" w:eastAsia="zh-CN"/>
        </w:rPr>
        <w:t>7、</w:t>
      </w:r>
      <w:r>
        <w:rPr>
          <w:rFonts w:hint="eastAsia" w:ascii="仿宋" w:hAnsi="仿宋" w:eastAsia="仿宋" w:cs="仿宋"/>
          <w:b/>
          <w:bCs w:val="0"/>
          <w:color w:val="auto"/>
          <w:sz w:val="28"/>
          <w:szCs w:val="28"/>
        </w:rPr>
        <w:t>运输</w:t>
      </w:r>
      <w:r>
        <w:rPr>
          <w:rFonts w:hint="eastAsia" w:ascii="仿宋" w:hAnsi="仿宋" w:eastAsia="仿宋" w:cs="仿宋"/>
          <w:b/>
          <w:bCs w:val="0"/>
          <w:color w:val="auto"/>
          <w:sz w:val="28"/>
          <w:szCs w:val="28"/>
          <w:lang w:val="en-US" w:eastAsia="zh-CN"/>
        </w:rPr>
        <w:t>要求：</w:t>
      </w:r>
      <w:r>
        <w:rPr>
          <w:rFonts w:hint="eastAsia" w:ascii="仿宋" w:hAnsi="仿宋" w:eastAsia="仿宋" w:cs="仿宋"/>
          <w:color w:val="auto"/>
          <w:sz w:val="28"/>
          <w:szCs w:val="28"/>
          <w:lang w:eastAsia="zh-CN"/>
        </w:rPr>
        <w:t>货架</w:t>
      </w:r>
      <w:r>
        <w:rPr>
          <w:rFonts w:hint="eastAsia" w:ascii="仿宋" w:hAnsi="仿宋" w:eastAsia="仿宋" w:cs="仿宋"/>
          <w:color w:val="auto"/>
          <w:sz w:val="28"/>
          <w:szCs w:val="28"/>
        </w:rPr>
        <w:t>的包装应适合长途运输，要求防湿、防潮、防锈、防震、耐粗暴装卸和搬运。</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562" w:firstLineChars="200"/>
        <w:textAlignment w:val="auto"/>
        <w:rPr>
          <w:rFonts w:hint="eastAsia" w:ascii="仿宋" w:hAnsi="仿宋" w:eastAsia="仿宋" w:cs="仿宋"/>
          <w:color w:val="0000FF"/>
          <w:sz w:val="28"/>
          <w:szCs w:val="28"/>
          <w:lang w:eastAsia="zh-CN"/>
        </w:rPr>
      </w:pPr>
      <w:r>
        <w:rPr>
          <w:rFonts w:hint="eastAsia" w:ascii="仿宋" w:hAnsi="仿宋" w:eastAsia="仿宋" w:cs="仿宋"/>
          <w:b/>
          <w:bCs/>
          <w:color w:val="auto"/>
          <w:sz w:val="28"/>
          <w:szCs w:val="28"/>
          <w:lang w:val="en-US" w:eastAsia="zh-CN"/>
        </w:rPr>
        <w:t>8、</w:t>
      </w:r>
      <w:r>
        <w:rPr>
          <w:rFonts w:hint="eastAsia" w:ascii="仿宋" w:hAnsi="仿宋" w:eastAsia="仿宋" w:cs="仿宋"/>
          <w:b/>
          <w:bCs/>
          <w:color w:val="0000FF"/>
          <w:sz w:val="28"/>
          <w:szCs w:val="28"/>
        </w:rPr>
        <w:t>质量标准</w:t>
      </w:r>
      <w:r>
        <w:rPr>
          <w:rFonts w:hint="eastAsia" w:ascii="仿宋" w:hAnsi="仿宋" w:eastAsia="仿宋" w:cs="仿宋"/>
          <w:b/>
          <w:bCs/>
          <w:color w:val="0000FF"/>
          <w:sz w:val="28"/>
          <w:szCs w:val="28"/>
          <w:lang w:eastAsia="zh-CN"/>
        </w:rPr>
        <w:t>：</w:t>
      </w:r>
      <w:r>
        <w:rPr>
          <w:rFonts w:hint="eastAsia" w:ascii="仿宋" w:hAnsi="仿宋" w:eastAsia="仿宋" w:cs="仿宋"/>
          <w:color w:val="0000FF"/>
          <w:sz w:val="28"/>
          <w:szCs w:val="28"/>
          <w:lang w:val="en-US" w:eastAsia="zh-CN"/>
        </w:rPr>
        <w:t>达到</w:t>
      </w:r>
      <w:r>
        <w:rPr>
          <w:rFonts w:hint="eastAsia" w:ascii="仿宋" w:hAnsi="仿宋" w:eastAsia="仿宋" w:cs="仿宋"/>
          <w:color w:val="0000FF"/>
          <w:sz w:val="28"/>
          <w:szCs w:val="28"/>
        </w:rPr>
        <w:t>国家</w:t>
      </w:r>
      <w:r>
        <w:rPr>
          <w:rFonts w:hint="eastAsia" w:ascii="仿宋" w:hAnsi="仿宋" w:eastAsia="仿宋" w:cs="仿宋"/>
          <w:color w:val="0000FF"/>
          <w:sz w:val="28"/>
          <w:szCs w:val="28"/>
          <w:lang w:val="en-US" w:eastAsia="zh-CN"/>
        </w:rPr>
        <w:t>合格产品</w:t>
      </w:r>
      <w:r>
        <w:rPr>
          <w:rFonts w:hint="eastAsia" w:ascii="仿宋" w:hAnsi="仿宋" w:eastAsia="仿宋" w:cs="仿宋"/>
          <w:color w:val="0000FF"/>
          <w:sz w:val="28"/>
          <w:szCs w:val="28"/>
        </w:rPr>
        <w:t>标准</w:t>
      </w:r>
      <w:r>
        <w:rPr>
          <w:rFonts w:hint="eastAsia" w:ascii="仿宋" w:hAnsi="仿宋" w:eastAsia="仿宋" w:cs="仿宋"/>
          <w:color w:val="0000FF"/>
          <w:sz w:val="28"/>
          <w:szCs w:val="28"/>
          <w:lang w:eastAsia="zh-CN"/>
        </w:rPr>
        <w:t>（</w:t>
      </w:r>
      <w:r>
        <w:rPr>
          <w:rFonts w:hint="eastAsia" w:ascii="仿宋" w:hAnsi="仿宋" w:eastAsia="仿宋" w:cs="仿宋"/>
          <w:color w:val="0000FF"/>
          <w:sz w:val="28"/>
          <w:szCs w:val="28"/>
          <w:lang w:val="en-US" w:eastAsia="zh-CN"/>
        </w:rPr>
        <w:t>必须出具产品合格证明</w:t>
      </w:r>
      <w:r>
        <w:rPr>
          <w:rFonts w:hint="eastAsia" w:ascii="仿宋" w:hAnsi="仿宋" w:eastAsia="仿宋" w:cs="仿宋"/>
          <w:color w:val="0000FF"/>
          <w:sz w:val="28"/>
          <w:szCs w:val="28"/>
          <w:lang w:eastAsia="zh-CN"/>
        </w:rPr>
        <w:t>）</w:t>
      </w:r>
      <w:r>
        <w:rPr>
          <w:rFonts w:hint="eastAsia" w:ascii="仿宋" w:hAnsi="仿宋" w:eastAsia="仿宋" w:cs="仿宋"/>
          <w:color w:val="0000FF"/>
          <w:sz w:val="28"/>
          <w:szCs w:val="28"/>
        </w:rPr>
        <w:t>。</w:t>
      </w:r>
    </w:p>
    <w:p>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8"/>
          <w:szCs w:val="28"/>
          <w:lang w:eastAsia="zh-CN"/>
        </w:rPr>
      </w:pPr>
    </w:p>
    <w:p>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8"/>
          <w:szCs w:val="28"/>
          <w:lang w:eastAsia="zh-CN"/>
        </w:rPr>
      </w:pPr>
    </w:p>
    <w:p>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8"/>
          <w:szCs w:val="28"/>
          <w:lang w:eastAsia="zh-CN"/>
        </w:rPr>
      </w:pPr>
    </w:p>
    <w:p>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8"/>
          <w:szCs w:val="28"/>
          <w:lang w:eastAsia="zh-CN"/>
        </w:rPr>
      </w:pPr>
    </w:p>
    <w:p>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重型货架</w:t>
      </w:r>
      <w:r>
        <w:rPr>
          <w:rFonts w:hint="eastAsia" w:ascii="仿宋" w:hAnsi="仿宋" w:eastAsia="仿宋" w:cs="仿宋"/>
          <w:color w:val="auto"/>
          <w:sz w:val="28"/>
          <w:szCs w:val="28"/>
          <w:lang w:val="en-US" w:eastAsia="zh-CN"/>
        </w:rPr>
        <w:t>样</w:t>
      </w:r>
      <w:r>
        <w:rPr>
          <w:rFonts w:hint="eastAsia" w:ascii="仿宋" w:hAnsi="仿宋" w:eastAsia="仿宋" w:cs="仿宋"/>
          <w:color w:val="auto"/>
          <w:sz w:val="28"/>
          <w:szCs w:val="28"/>
          <w:lang w:eastAsia="zh-CN"/>
        </w:rPr>
        <w:t>图</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仿宋" w:hAnsi="仿宋" w:eastAsia="仿宋" w:cs="仿宋"/>
          <w:color w:val="auto"/>
          <w:sz w:val="28"/>
          <w:szCs w:val="28"/>
          <w:u w:val="none" w:color="auto"/>
          <w:lang w:val="en-US" w:eastAsia="zh-CN"/>
        </w:rPr>
      </w:pPr>
      <w:r>
        <w:rPr>
          <w:rFonts w:hint="eastAsia" w:ascii="仿宋" w:hAnsi="仿宋" w:eastAsia="仿宋" w:cs="仿宋"/>
          <w:color w:val="auto"/>
          <w:sz w:val="28"/>
          <w:szCs w:val="28"/>
          <w:u w:val="none" w:color="auto"/>
          <w:lang w:val="en-US" w:eastAsia="zh-CN"/>
        </w:rPr>
        <w:drawing>
          <wp:inline distT="0" distB="0" distL="114300" distR="114300">
            <wp:extent cx="5443220" cy="6628765"/>
            <wp:effectExtent l="0" t="0" r="5080" b="635"/>
            <wp:docPr id="3" name="图片 3"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1"/>
                    <pic:cNvPicPr>
                      <a:picLocks noChangeAspect="1"/>
                    </pic:cNvPicPr>
                  </pic:nvPicPr>
                  <pic:blipFill>
                    <a:blip r:embed="rId7"/>
                    <a:stretch>
                      <a:fillRect/>
                    </a:stretch>
                  </pic:blipFill>
                  <pic:spPr>
                    <a:xfrm>
                      <a:off x="0" y="0"/>
                      <a:ext cx="5443220" cy="662876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2"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b/>
          <w:bCs/>
          <w:color w:val="auto"/>
          <w:sz w:val="28"/>
          <w:szCs w:val="28"/>
          <w:lang w:val="en-US" w:eastAsia="zh-CN"/>
        </w:rPr>
        <w:t>(三)商务要求:</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1、中标人</w:t>
      </w:r>
      <w:r>
        <w:rPr>
          <w:rFonts w:hint="eastAsia" w:ascii="仿宋" w:hAnsi="仿宋" w:eastAsia="仿宋" w:cs="仿宋"/>
          <w:color w:val="auto"/>
          <w:sz w:val="28"/>
          <w:szCs w:val="28"/>
        </w:rPr>
        <w:t>应派有经验的技术人员到现场安装，经调试合格直到</w:t>
      </w:r>
      <w:r>
        <w:rPr>
          <w:rFonts w:hint="eastAsia" w:ascii="仿宋" w:hAnsi="仿宋" w:eastAsia="仿宋" w:cs="仿宋"/>
          <w:color w:val="auto"/>
          <w:sz w:val="28"/>
          <w:szCs w:val="28"/>
          <w:lang w:eastAsia="zh-CN"/>
        </w:rPr>
        <w:t>货架</w:t>
      </w:r>
      <w:r>
        <w:rPr>
          <w:rFonts w:hint="eastAsia" w:ascii="仿宋" w:hAnsi="仿宋" w:eastAsia="仿宋" w:cs="仿宋"/>
          <w:color w:val="auto"/>
          <w:sz w:val="28"/>
          <w:szCs w:val="28"/>
        </w:rPr>
        <w:t>正常运行，其费用由</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负担，费用</w:t>
      </w:r>
      <w:r>
        <w:rPr>
          <w:rFonts w:hint="eastAsia" w:ascii="仿宋" w:hAnsi="仿宋" w:eastAsia="仿宋" w:cs="仿宋"/>
          <w:color w:val="auto"/>
          <w:sz w:val="28"/>
          <w:szCs w:val="28"/>
          <w:lang w:val="en-US" w:eastAsia="zh-CN"/>
        </w:rPr>
        <w:t>已</w:t>
      </w:r>
      <w:r>
        <w:rPr>
          <w:rFonts w:hint="eastAsia" w:ascii="仿宋" w:hAnsi="仿宋" w:eastAsia="仿宋" w:cs="仿宋"/>
          <w:color w:val="auto"/>
          <w:sz w:val="28"/>
          <w:szCs w:val="28"/>
        </w:rPr>
        <w:t>计入</w:t>
      </w:r>
      <w:r>
        <w:rPr>
          <w:rFonts w:hint="eastAsia" w:ascii="仿宋" w:hAnsi="仿宋" w:eastAsia="仿宋" w:cs="仿宋"/>
          <w:color w:val="auto"/>
          <w:sz w:val="28"/>
          <w:szCs w:val="28"/>
          <w:lang w:val="en-US" w:eastAsia="zh-CN"/>
        </w:rPr>
        <w:t>本合同约定总价</w:t>
      </w:r>
      <w:r>
        <w:rPr>
          <w:rFonts w:hint="eastAsia" w:ascii="仿宋" w:hAnsi="仿宋" w:eastAsia="仿宋" w:cs="仿宋"/>
          <w:color w:val="auto"/>
          <w:sz w:val="28"/>
          <w:szCs w:val="28"/>
        </w:rPr>
        <w:t>。</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安装施工期间</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人员的食宿由</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负责，</w:t>
      </w:r>
      <w:r>
        <w:rPr>
          <w:rFonts w:hint="eastAsia" w:ascii="仿宋" w:hAnsi="仿宋" w:eastAsia="仿宋" w:cs="仿宋"/>
          <w:color w:val="auto"/>
          <w:sz w:val="28"/>
          <w:szCs w:val="28"/>
          <w:lang w:val="en-US" w:eastAsia="zh-CN"/>
        </w:rPr>
        <w:t>采购人</w:t>
      </w:r>
      <w:r>
        <w:rPr>
          <w:rFonts w:hint="eastAsia" w:ascii="仿宋" w:hAnsi="仿宋" w:eastAsia="仿宋" w:cs="仿宋"/>
          <w:color w:val="auto"/>
          <w:sz w:val="28"/>
          <w:szCs w:val="28"/>
        </w:rPr>
        <w:t>应尽可能</w:t>
      </w:r>
      <w:r>
        <w:rPr>
          <w:rFonts w:hint="eastAsia" w:ascii="仿宋" w:hAnsi="仿宋" w:eastAsia="仿宋" w:cs="仿宋"/>
          <w:color w:val="auto"/>
          <w:sz w:val="28"/>
          <w:szCs w:val="28"/>
          <w:lang w:eastAsia="zh-CN"/>
        </w:rPr>
        <w:t>地</w:t>
      </w:r>
      <w:r>
        <w:rPr>
          <w:rFonts w:hint="eastAsia" w:ascii="仿宋" w:hAnsi="仿宋" w:eastAsia="仿宋" w:cs="仿宋"/>
          <w:color w:val="auto"/>
          <w:sz w:val="28"/>
          <w:szCs w:val="28"/>
        </w:rPr>
        <w:t>为</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提供方便。</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3、中标人</w:t>
      </w:r>
      <w:r>
        <w:rPr>
          <w:rFonts w:hint="eastAsia" w:ascii="仿宋" w:hAnsi="仿宋" w:eastAsia="仿宋" w:cs="仿宋"/>
          <w:color w:val="auto"/>
          <w:sz w:val="28"/>
          <w:szCs w:val="28"/>
        </w:rPr>
        <w:t>在安装期间要注意成品保护，在</w:t>
      </w:r>
      <w:r>
        <w:rPr>
          <w:rFonts w:hint="eastAsia" w:ascii="仿宋" w:hAnsi="仿宋" w:eastAsia="仿宋" w:cs="仿宋"/>
          <w:color w:val="auto"/>
          <w:sz w:val="28"/>
          <w:szCs w:val="28"/>
          <w:lang w:eastAsia="zh-CN"/>
        </w:rPr>
        <w:t>货架</w:t>
      </w:r>
      <w:r>
        <w:rPr>
          <w:rFonts w:hint="eastAsia" w:ascii="仿宋" w:hAnsi="仿宋" w:eastAsia="仿宋" w:cs="仿宋"/>
          <w:color w:val="auto"/>
          <w:sz w:val="28"/>
          <w:szCs w:val="28"/>
        </w:rPr>
        <w:t>安装验收合格</w:t>
      </w:r>
      <w:r>
        <w:rPr>
          <w:rFonts w:hint="eastAsia" w:ascii="仿宋" w:hAnsi="仿宋" w:eastAsia="仿宋" w:cs="仿宋"/>
          <w:color w:val="auto"/>
          <w:sz w:val="28"/>
          <w:szCs w:val="28"/>
          <w:lang w:val="en-US" w:eastAsia="zh-CN"/>
        </w:rPr>
        <w:t>并交付给采购人使用</w:t>
      </w:r>
      <w:r>
        <w:rPr>
          <w:rFonts w:hint="eastAsia" w:ascii="仿宋" w:hAnsi="仿宋" w:eastAsia="仿宋" w:cs="仿宋"/>
          <w:color w:val="auto"/>
          <w:sz w:val="28"/>
          <w:szCs w:val="28"/>
        </w:rPr>
        <w:t>之前因</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原因造成对项目现场的建筑物、构筑物、环保、绿化等破坏由</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负责修复和赔偿。</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如果因</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产品设计的原因发生的人身伤害等事故，一切责任由</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负责。</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由</w:t>
      </w:r>
      <w:r>
        <w:rPr>
          <w:rFonts w:hint="eastAsia" w:ascii="仿宋" w:hAnsi="仿宋" w:eastAsia="仿宋" w:cs="仿宋"/>
          <w:color w:val="auto"/>
          <w:sz w:val="28"/>
          <w:szCs w:val="28"/>
          <w:lang w:val="en-US" w:eastAsia="zh-CN"/>
        </w:rPr>
        <w:t>中标人免费</w:t>
      </w:r>
      <w:r>
        <w:rPr>
          <w:rFonts w:hint="eastAsia" w:ascii="仿宋" w:hAnsi="仿宋" w:eastAsia="仿宋" w:cs="仿宋"/>
          <w:color w:val="auto"/>
          <w:sz w:val="28"/>
          <w:szCs w:val="28"/>
        </w:rPr>
        <w:t>提供</w:t>
      </w:r>
      <w:r>
        <w:rPr>
          <w:rFonts w:hint="eastAsia" w:ascii="仿宋" w:hAnsi="仿宋" w:eastAsia="仿宋" w:cs="仿宋"/>
          <w:color w:val="auto"/>
          <w:sz w:val="28"/>
          <w:szCs w:val="28"/>
          <w:lang w:eastAsia="zh-CN"/>
        </w:rPr>
        <w:t>货架</w:t>
      </w:r>
      <w:r>
        <w:rPr>
          <w:rFonts w:hint="eastAsia" w:ascii="仿宋" w:hAnsi="仿宋" w:eastAsia="仿宋" w:cs="仿宋"/>
          <w:color w:val="auto"/>
          <w:sz w:val="28"/>
          <w:szCs w:val="28"/>
        </w:rPr>
        <w:t>安装、调试所需要的耗材。</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在项目实施过程中，</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需与</w:t>
      </w:r>
      <w:r>
        <w:rPr>
          <w:rFonts w:hint="eastAsia" w:ascii="仿宋" w:hAnsi="仿宋" w:eastAsia="仿宋" w:cs="仿宋"/>
          <w:color w:val="auto"/>
          <w:sz w:val="28"/>
          <w:szCs w:val="28"/>
          <w:lang w:eastAsia="zh-CN"/>
        </w:rPr>
        <w:t>采购人</w:t>
      </w:r>
      <w:r>
        <w:rPr>
          <w:rFonts w:hint="eastAsia" w:ascii="仿宋" w:hAnsi="仿宋" w:eastAsia="仿宋" w:cs="仿宋"/>
          <w:color w:val="auto"/>
          <w:sz w:val="28"/>
          <w:szCs w:val="28"/>
        </w:rPr>
        <w:t>积极沟通协调，因沟通不及时，协调不到位造成的一切损失由</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自行承担。</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7、中标人应就货架的设计、制造、检验、维护和设备操作，对采购人2名及以上的工作人员进行现场技术培训，培训费用由中标人承担。</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highlight w:val="none"/>
          <w:shd w:val="clear" w:color="auto" w:fill="auto"/>
          <w:lang w:val="en-US" w:eastAsia="zh-CN"/>
        </w:rPr>
        <w:t>中标人自行承担并向门急诊综合楼和医技住院综合楼项目总承包施工方支付配套服务费，具体比例和数额由中标人与总承包施工方自行协商决定。</w:t>
      </w:r>
    </w:p>
    <w:p>
      <w:pPr>
        <w:keepNext w:val="0"/>
        <w:keepLines w:val="0"/>
        <w:pageBreakBefore w:val="0"/>
        <w:widowControl w:val="0"/>
        <w:kinsoku/>
        <w:wordWrap/>
        <w:overflowPunct/>
        <w:topLinePunct w:val="0"/>
        <w:autoSpaceDE/>
        <w:autoSpaceDN/>
        <w:bidi w:val="0"/>
        <w:snapToGrid/>
        <w:spacing w:line="560" w:lineRule="exact"/>
        <w:ind w:left="0" w:leftChars="0" w:firstLine="450" w:firstLineChars="160"/>
        <w:textAlignment w:val="auto"/>
        <w:rPr>
          <w:rFonts w:hint="eastAsia" w:ascii="仿宋" w:hAnsi="仿宋" w:eastAsia="仿宋" w:cs="仿宋"/>
          <w:color w:val="auto"/>
          <w:sz w:val="28"/>
          <w:szCs w:val="28"/>
        </w:rPr>
      </w:pPr>
      <w:bookmarkStart w:id="1" w:name="_Toc355937330"/>
      <w:bookmarkStart w:id="2" w:name="_Toc328430875"/>
      <w:bookmarkStart w:id="3" w:name="_Toc386566882"/>
      <w:bookmarkStart w:id="4" w:name="_Toc367130033"/>
      <w:bookmarkStart w:id="5" w:name="_Toc386977631"/>
      <w:r>
        <w:rPr>
          <w:rFonts w:hint="eastAsia" w:ascii="仿宋" w:hAnsi="仿宋" w:eastAsia="仿宋" w:cs="仿宋"/>
          <w:b/>
          <w:color w:val="auto"/>
          <w:sz w:val="28"/>
          <w:szCs w:val="28"/>
          <w:lang w:val="en-US" w:eastAsia="zh-CN"/>
        </w:rPr>
        <w:t xml:space="preserve"> </w:t>
      </w:r>
      <w:r>
        <w:rPr>
          <w:rFonts w:hint="eastAsia" w:ascii="仿宋" w:hAnsi="仿宋" w:eastAsia="仿宋" w:cs="仿宋"/>
          <w:b/>
          <w:color w:val="auto"/>
          <w:sz w:val="28"/>
          <w:szCs w:val="28"/>
        </w:rPr>
        <w:t>安全责任及风险承担</w:t>
      </w:r>
    </w:p>
    <w:p>
      <w:pPr>
        <w:keepNext w:val="0"/>
        <w:keepLines w:val="0"/>
        <w:pageBreakBefore w:val="0"/>
        <w:widowControl w:val="0"/>
        <w:kinsoku/>
        <w:wordWrap/>
        <w:overflowPunct/>
        <w:topLinePunct w:val="0"/>
        <w:autoSpaceDE/>
        <w:autoSpaceDN/>
        <w:bidi w:val="0"/>
        <w:snapToGrid/>
        <w:spacing w:line="56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1、货架总体验收合格并交付给采购人使用前的保管、灭失、毁损等风险责任均由中标人负责。</w:t>
      </w:r>
    </w:p>
    <w:p>
      <w:pPr>
        <w:keepNext w:val="0"/>
        <w:keepLines w:val="0"/>
        <w:pageBreakBefore w:val="0"/>
        <w:widowControl w:val="0"/>
        <w:kinsoku/>
        <w:wordWrap/>
        <w:overflowPunct/>
        <w:topLinePunct w:val="0"/>
        <w:autoSpaceDE/>
        <w:autoSpaceDN/>
        <w:bidi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在履行本合同过程中</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包括但不限于货</w:t>
      </w:r>
      <w:r>
        <w:rPr>
          <w:rFonts w:hint="eastAsia" w:ascii="仿宋" w:hAnsi="仿宋" w:eastAsia="仿宋" w:cs="仿宋"/>
          <w:color w:val="auto"/>
          <w:sz w:val="28"/>
          <w:szCs w:val="28"/>
        </w:rPr>
        <w:t>架的</w:t>
      </w:r>
      <w:r>
        <w:rPr>
          <w:rFonts w:hint="eastAsia" w:ascii="仿宋" w:hAnsi="仿宋" w:eastAsia="仿宋" w:cs="仿宋"/>
          <w:color w:val="auto"/>
          <w:sz w:val="28"/>
          <w:szCs w:val="28"/>
          <w:lang w:val="en-US" w:eastAsia="zh-CN"/>
        </w:rPr>
        <w:t>制作、</w:t>
      </w:r>
      <w:r>
        <w:rPr>
          <w:rFonts w:hint="eastAsia" w:ascii="仿宋" w:hAnsi="仿宋" w:eastAsia="仿宋" w:cs="仿宋"/>
          <w:color w:val="auto"/>
          <w:sz w:val="28"/>
          <w:szCs w:val="28"/>
        </w:rPr>
        <w:t>运输、装卸、安装及调试</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发生的一切事故，给</w:t>
      </w:r>
      <w:r>
        <w:rPr>
          <w:rFonts w:hint="eastAsia" w:ascii="仿宋" w:hAnsi="仿宋" w:eastAsia="仿宋" w:cs="仿宋"/>
          <w:color w:val="auto"/>
          <w:sz w:val="28"/>
          <w:szCs w:val="28"/>
          <w:lang w:eastAsia="zh-CN"/>
        </w:rPr>
        <w:t>采购人</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或第三方的人身和财产造成的损失，均由</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负责处理并承担所有费用。</w:t>
      </w:r>
    </w:p>
    <w:p>
      <w:pPr>
        <w:keepNext w:val="0"/>
        <w:keepLines w:val="0"/>
        <w:pageBreakBefore w:val="0"/>
        <w:widowControl w:val="0"/>
        <w:kinsoku/>
        <w:wordWrap/>
        <w:overflowPunct/>
        <w:topLinePunct w:val="0"/>
        <w:autoSpaceDE/>
        <w:autoSpaceDN/>
        <w:bidi w:val="0"/>
        <w:snapToGrid/>
        <w:spacing w:line="560" w:lineRule="exact"/>
        <w:ind w:firstLine="562" w:firstLineChars="200"/>
        <w:textAlignment w:val="auto"/>
        <w:outlineLvl w:val="1"/>
        <w:rPr>
          <w:rFonts w:hint="eastAsia" w:ascii="仿宋" w:hAnsi="仿宋" w:eastAsia="仿宋" w:cs="仿宋"/>
          <w:b/>
          <w:color w:val="auto"/>
          <w:sz w:val="28"/>
          <w:szCs w:val="28"/>
        </w:rPr>
      </w:pPr>
      <w:r>
        <w:rPr>
          <w:rFonts w:hint="eastAsia" w:ascii="仿宋" w:hAnsi="仿宋" w:eastAsia="仿宋" w:cs="仿宋"/>
          <w:b/>
          <w:color w:val="auto"/>
          <w:sz w:val="28"/>
          <w:szCs w:val="28"/>
        </w:rPr>
        <w:t>售后服务的要求</w:t>
      </w:r>
      <w:bookmarkEnd w:id="1"/>
      <w:bookmarkEnd w:id="2"/>
      <w:bookmarkEnd w:id="3"/>
      <w:bookmarkEnd w:id="4"/>
      <w:bookmarkEnd w:id="5"/>
    </w:p>
    <w:p>
      <w:pPr>
        <w:keepNext w:val="0"/>
        <w:keepLines w:val="0"/>
        <w:pageBreakBefore w:val="0"/>
        <w:widowControl w:val="0"/>
        <w:tabs>
          <w:tab w:val="left" w:pos="6075"/>
        </w:tabs>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投标人应就货物的设计、制造、检验</w:t>
      </w:r>
      <w:r>
        <w:rPr>
          <w:rFonts w:hint="eastAsia" w:ascii="仿宋" w:hAnsi="仿宋" w:eastAsia="仿宋" w:cs="仿宋"/>
          <w:color w:val="auto"/>
          <w:sz w:val="28"/>
          <w:szCs w:val="28"/>
          <w:lang w:eastAsia="zh-CN"/>
        </w:rPr>
        <w:t>和</w:t>
      </w:r>
      <w:r>
        <w:rPr>
          <w:rFonts w:hint="eastAsia" w:ascii="仿宋" w:hAnsi="仿宋" w:eastAsia="仿宋" w:cs="仿宋"/>
          <w:color w:val="auto"/>
          <w:sz w:val="28"/>
          <w:szCs w:val="28"/>
        </w:rPr>
        <w:t>维护、设备操作，免费培训招标人的技术人员，培训费用由投标人承担。</w:t>
      </w:r>
    </w:p>
    <w:p>
      <w:pPr>
        <w:keepNext w:val="0"/>
        <w:keepLines w:val="0"/>
        <w:pageBreakBefore w:val="0"/>
        <w:widowControl w:val="0"/>
        <w:tabs>
          <w:tab w:val="left" w:pos="6075"/>
        </w:tabs>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 xml:space="preserve"> 投标人须在项目现场免费对招标人的使用人员进行技术培训。人数不得少于2人，使其能够掌握日常的操作和维护。</w:t>
      </w:r>
    </w:p>
    <w:p>
      <w:pPr>
        <w:keepNext w:val="0"/>
        <w:keepLines w:val="0"/>
        <w:pageBreakBefore w:val="0"/>
        <w:widowControl w:val="0"/>
        <w:kinsoku/>
        <w:wordWrap/>
        <w:overflowPunct/>
        <w:topLinePunct w:val="0"/>
        <w:autoSpaceDE/>
        <w:autoSpaceDN/>
        <w:bidi w:val="0"/>
        <w:snapToGrid/>
        <w:spacing w:line="560" w:lineRule="exact"/>
        <w:ind w:firstLine="562" w:firstLineChars="200"/>
        <w:textAlignment w:val="auto"/>
        <w:rPr>
          <w:rFonts w:hint="eastAsia" w:ascii="仿宋" w:hAnsi="仿宋" w:eastAsia="仿宋" w:cs="仿宋"/>
          <w:b/>
          <w:color w:val="auto"/>
          <w:sz w:val="28"/>
          <w:szCs w:val="28"/>
          <w:lang w:val="en-US" w:eastAsia="zh-CN"/>
        </w:rPr>
      </w:pPr>
      <w:r>
        <w:rPr>
          <w:rFonts w:hint="eastAsia" w:ascii="仿宋" w:hAnsi="仿宋" w:eastAsia="仿宋" w:cs="仿宋"/>
          <w:b/>
          <w:color w:val="0000FF"/>
          <w:sz w:val="28"/>
          <w:szCs w:val="28"/>
          <w:lang w:val="en-US" w:eastAsia="zh-CN"/>
        </w:rPr>
        <w:t xml:space="preserve"> 质量要求：</w:t>
      </w:r>
      <w:r>
        <w:rPr>
          <w:rFonts w:hint="eastAsia" w:ascii="仿宋" w:hAnsi="仿宋" w:eastAsia="仿宋" w:cs="仿宋"/>
          <w:b w:val="0"/>
          <w:bCs/>
          <w:color w:val="0000FF"/>
          <w:sz w:val="28"/>
          <w:szCs w:val="28"/>
          <w:u w:val="none"/>
        </w:rPr>
        <w:t>符合</w:t>
      </w:r>
      <w:r>
        <w:rPr>
          <w:rFonts w:hint="eastAsia" w:ascii="仿宋" w:hAnsi="仿宋" w:eastAsia="仿宋" w:cs="仿宋"/>
          <w:b w:val="0"/>
          <w:bCs/>
          <w:color w:val="0000FF"/>
          <w:sz w:val="28"/>
          <w:szCs w:val="28"/>
          <w:u w:val="none"/>
          <w:lang w:val="en-US" w:eastAsia="zh-CN"/>
        </w:rPr>
        <w:t>国家验收</w:t>
      </w:r>
      <w:r>
        <w:rPr>
          <w:rFonts w:hint="eastAsia" w:ascii="仿宋" w:hAnsi="仿宋" w:eastAsia="仿宋" w:cs="仿宋"/>
          <w:b w:val="0"/>
          <w:bCs/>
          <w:color w:val="0000FF"/>
          <w:sz w:val="28"/>
          <w:szCs w:val="28"/>
          <w:u w:val="none"/>
        </w:rPr>
        <w:t>合格标准</w:t>
      </w:r>
      <w:r>
        <w:rPr>
          <w:rFonts w:hint="eastAsia" w:ascii="仿宋" w:hAnsi="仿宋" w:eastAsia="仿宋" w:cs="仿宋"/>
          <w:b w:val="0"/>
          <w:bCs/>
          <w:color w:val="0000FF"/>
          <w:sz w:val="28"/>
          <w:szCs w:val="28"/>
          <w:u w:val="none"/>
          <w:lang w:val="en-US" w:eastAsia="zh-CN"/>
        </w:rPr>
        <w:t>。</w:t>
      </w:r>
    </w:p>
    <w:p>
      <w:pPr>
        <w:keepNext w:val="0"/>
        <w:keepLines w:val="0"/>
        <w:pageBreakBefore w:val="0"/>
        <w:widowControl w:val="0"/>
        <w:kinsoku/>
        <w:wordWrap/>
        <w:overflowPunct/>
        <w:topLinePunct w:val="0"/>
        <w:autoSpaceDE/>
        <w:autoSpaceDN/>
        <w:bidi w:val="0"/>
        <w:snapToGrid/>
        <w:spacing w:line="5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 xml:space="preserve">售后响应 </w:t>
      </w:r>
    </w:p>
    <w:p>
      <w:pPr>
        <w:keepNext w:val="0"/>
        <w:keepLines w:val="0"/>
        <w:pageBreakBefore w:val="0"/>
        <w:widowControl w:val="0"/>
        <w:kinsoku/>
        <w:wordWrap/>
        <w:overflowPunct/>
        <w:topLinePunct w:val="0"/>
        <w:autoSpaceDE/>
        <w:autoSpaceDN/>
        <w:bidi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质保期为一年，自</w:t>
      </w:r>
      <w:r>
        <w:rPr>
          <w:rFonts w:hint="eastAsia" w:ascii="仿宋" w:hAnsi="仿宋" w:eastAsia="仿宋" w:cs="仿宋"/>
          <w:color w:val="auto"/>
          <w:sz w:val="28"/>
          <w:szCs w:val="28"/>
          <w:lang w:val="en-US" w:eastAsia="zh-CN"/>
        </w:rPr>
        <w:t>总体</w:t>
      </w:r>
      <w:r>
        <w:rPr>
          <w:rFonts w:hint="eastAsia" w:ascii="仿宋" w:hAnsi="仿宋" w:eastAsia="仿宋" w:cs="仿宋"/>
          <w:color w:val="auto"/>
          <w:sz w:val="28"/>
          <w:szCs w:val="28"/>
        </w:rPr>
        <w:t>验收合格</w:t>
      </w:r>
      <w:r>
        <w:rPr>
          <w:rFonts w:hint="eastAsia" w:ascii="仿宋" w:hAnsi="仿宋" w:eastAsia="仿宋" w:cs="仿宋"/>
          <w:color w:val="auto"/>
          <w:sz w:val="28"/>
          <w:szCs w:val="28"/>
          <w:lang w:val="en-US" w:eastAsia="zh-CN"/>
        </w:rPr>
        <w:t>并交付招标方使用</w:t>
      </w:r>
      <w:r>
        <w:rPr>
          <w:rFonts w:hint="eastAsia" w:ascii="仿宋" w:hAnsi="仿宋" w:eastAsia="仿宋" w:cs="仿宋"/>
          <w:color w:val="auto"/>
          <w:sz w:val="28"/>
          <w:szCs w:val="28"/>
        </w:rPr>
        <w:t>之日起开始计算。</w:t>
      </w:r>
    </w:p>
    <w:p>
      <w:pPr>
        <w:keepNext w:val="0"/>
        <w:keepLines w:val="0"/>
        <w:pageBreakBefore w:val="0"/>
        <w:widowControl w:val="0"/>
        <w:kinsoku/>
        <w:wordWrap/>
        <w:overflowPunct/>
        <w:topLinePunct w:val="0"/>
        <w:autoSpaceDE/>
        <w:autoSpaceDN/>
        <w:bidi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bCs/>
          <w:color w:val="auto"/>
          <w:sz w:val="28"/>
          <w:szCs w:val="28"/>
        </w:rPr>
        <w:t>在</w:t>
      </w:r>
      <w:r>
        <w:rPr>
          <w:rFonts w:hint="eastAsia" w:ascii="仿宋" w:hAnsi="仿宋" w:eastAsia="仿宋" w:cs="仿宋"/>
          <w:color w:val="auto"/>
          <w:sz w:val="28"/>
          <w:szCs w:val="28"/>
        </w:rPr>
        <w:t>质保期内</w:t>
      </w:r>
      <w:r>
        <w:rPr>
          <w:rFonts w:hint="eastAsia" w:ascii="仿宋" w:hAnsi="仿宋" w:eastAsia="仿宋" w:cs="仿宋"/>
          <w:color w:val="auto"/>
          <w:sz w:val="28"/>
          <w:szCs w:val="28"/>
          <w:lang w:eastAsia="zh-CN"/>
        </w:rPr>
        <w:t>，</w:t>
      </w:r>
      <w:r>
        <w:rPr>
          <w:rFonts w:hint="eastAsia" w:ascii="仿宋" w:hAnsi="仿宋" w:eastAsia="仿宋" w:cs="仿宋"/>
          <w:bCs/>
          <w:color w:val="auto"/>
          <w:sz w:val="28"/>
          <w:szCs w:val="28"/>
        </w:rPr>
        <w:t>如</w:t>
      </w:r>
      <w:r>
        <w:rPr>
          <w:rFonts w:hint="eastAsia" w:ascii="仿宋" w:hAnsi="仿宋" w:eastAsia="仿宋" w:cs="仿宋"/>
          <w:bCs/>
          <w:color w:val="auto"/>
          <w:sz w:val="28"/>
          <w:szCs w:val="28"/>
          <w:lang w:val="en-US" w:eastAsia="zh-CN"/>
        </w:rPr>
        <w:t>货架</w:t>
      </w:r>
      <w:r>
        <w:rPr>
          <w:rFonts w:hint="eastAsia" w:ascii="仿宋" w:hAnsi="仿宋" w:eastAsia="仿宋" w:cs="仿宋"/>
          <w:color w:val="auto"/>
          <w:sz w:val="28"/>
          <w:szCs w:val="28"/>
        </w:rPr>
        <w:t>出现质量问题，</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应在接到</w:t>
      </w:r>
      <w:r>
        <w:rPr>
          <w:rFonts w:hint="eastAsia" w:ascii="仿宋" w:hAnsi="仿宋" w:eastAsia="仿宋" w:cs="仿宋"/>
          <w:color w:val="auto"/>
          <w:sz w:val="28"/>
          <w:szCs w:val="28"/>
          <w:lang w:val="en-US" w:eastAsia="zh-CN"/>
        </w:rPr>
        <w:t>采购人</w:t>
      </w:r>
      <w:r>
        <w:rPr>
          <w:rFonts w:hint="eastAsia" w:ascii="仿宋" w:hAnsi="仿宋" w:eastAsia="仿宋" w:cs="仿宋"/>
          <w:color w:val="auto"/>
          <w:sz w:val="28"/>
          <w:szCs w:val="28"/>
        </w:rPr>
        <w:t>通知（包括电话</w:t>
      </w:r>
      <w:r>
        <w:rPr>
          <w:rFonts w:hint="eastAsia" w:ascii="仿宋" w:hAnsi="仿宋" w:eastAsia="仿宋" w:cs="仿宋"/>
          <w:color w:val="auto"/>
          <w:sz w:val="28"/>
          <w:szCs w:val="28"/>
          <w:highlight w:val="none"/>
        </w:rPr>
        <w:t>通知）</w:t>
      </w:r>
      <w:r>
        <w:rPr>
          <w:rFonts w:hint="eastAsia" w:ascii="仿宋" w:hAnsi="仿宋" w:eastAsia="仿宋" w:cs="仿宋"/>
          <w:color w:val="auto"/>
          <w:sz w:val="28"/>
          <w:szCs w:val="28"/>
          <w:highlight w:val="none"/>
          <w:lang w:val="en-US" w:eastAsia="zh-CN"/>
        </w:rPr>
        <w:t>后2小时内给予解决方案，8小时内到达现场</w:t>
      </w:r>
      <w:r>
        <w:rPr>
          <w:rFonts w:hint="eastAsia" w:ascii="仿宋" w:hAnsi="仿宋" w:eastAsia="仿宋" w:cs="仿宋"/>
          <w:color w:val="auto"/>
          <w:sz w:val="28"/>
          <w:szCs w:val="28"/>
          <w:highlight w:val="none"/>
        </w:rPr>
        <w:t>完成维修或更换，重大问题或其他无法立刻解决的问题应在</w:t>
      </w:r>
      <w:r>
        <w:rPr>
          <w:rFonts w:hint="eastAsia" w:ascii="仿宋" w:hAnsi="仿宋" w:eastAsia="仿宋" w:cs="仿宋"/>
          <w:color w:val="auto"/>
          <w:sz w:val="28"/>
          <w:szCs w:val="28"/>
          <w:highlight w:val="none"/>
          <w:lang w:val="en-US" w:eastAsia="zh-CN"/>
        </w:rPr>
        <w:t>接到</w:t>
      </w:r>
      <w:r>
        <w:rPr>
          <w:rFonts w:hint="eastAsia" w:ascii="仿宋" w:hAnsi="仿宋" w:eastAsia="仿宋" w:cs="仿宋"/>
          <w:color w:val="auto"/>
          <w:sz w:val="28"/>
          <w:szCs w:val="28"/>
          <w:lang w:val="en-US" w:eastAsia="zh-CN"/>
        </w:rPr>
        <w:t>采购人</w:t>
      </w:r>
      <w:r>
        <w:rPr>
          <w:rFonts w:hint="eastAsia" w:ascii="仿宋" w:hAnsi="仿宋" w:eastAsia="仿宋" w:cs="仿宋"/>
          <w:color w:val="auto"/>
          <w:sz w:val="28"/>
          <w:szCs w:val="28"/>
          <w:highlight w:val="none"/>
          <w:lang w:val="en-US" w:eastAsia="zh-CN"/>
        </w:rPr>
        <w:t>通知</w:t>
      </w:r>
      <w:r>
        <w:rPr>
          <w:rFonts w:hint="eastAsia" w:ascii="仿宋" w:hAnsi="仿宋" w:eastAsia="仿宋" w:cs="仿宋"/>
          <w:color w:val="auto"/>
          <w:sz w:val="28"/>
          <w:szCs w:val="28"/>
          <w:highlight w:val="none"/>
        </w:rPr>
        <w:t>12小时内解决或提出明确解决方案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相关费</w:t>
      </w:r>
      <w:r>
        <w:rPr>
          <w:rFonts w:hint="eastAsia" w:ascii="仿宋" w:hAnsi="仿宋" w:eastAsia="仿宋" w:cs="仿宋"/>
          <w:color w:val="auto"/>
          <w:sz w:val="28"/>
          <w:szCs w:val="28"/>
        </w:rPr>
        <w:t>用由</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承担。如</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不及时履行保修义务，</w:t>
      </w:r>
      <w:r>
        <w:rPr>
          <w:rFonts w:hint="eastAsia" w:ascii="仿宋" w:hAnsi="仿宋" w:eastAsia="仿宋" w:cs="仿宋"/>
          <w:color w:val="auto"/>
          <w:sz w:val="28"/>
          <w:szCs w:val="28"/>
          <w:lang w:val="en-US" w:eastAsia="zh-CN"/>
        </w:rPr>
        <w:t>质保期相应顺延，采购人</w:t>
      </w:r>
      <w:r>
        <w:rPr>
          <w:rFonts w:hint="eastAsia" w:ascii="仿宋" w:hAnsi="仿宋" w:eastAsia="仿宋" w:cs="仿宋"/>
          <w:color w:val="auto"/>
          <w:sz w:val="28"/>
          <w:szCs w:val="28"/>
        </w:rPr>
        <w:t>有权委托第三方进行维修，由此产生的相关费用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采购人有权在应付中标人的价款中直接</w:t>
      </w:r>
      <w:r>
        <w:rPr>
          <w:rFonts w:hint="eastAsia" w:ascii="仿宋" w:hAnsi="仿宋" w:eastAsia="仿宋" w:cs="仿宋"/>
          <w:color w:val="auto"/>
          <w:sz w:val="28"/>
          <w:szCs w:val="28"/>
        </w:rPr>
        <w:t>予以扣除。</w:t>
      </w:r>
    </w:p>
    <w:p>
      <w:pPr>
        <w:keepNext w:val="0"/>
        <w:keepLines w:val="0"/>
        <w:pageBreakBefore w:val="0"/>
        <w:widowControl w:val="0"/>
        <w:tabs>
          <w:tab w:val="left" w:pos="570"/>
        </w:tabs>
        <w:kinsoku/>
        <w:wordWrap/>
        <w:overflowPunct/>
        <w:topLinePunct w:val="0"/>
        <w:autoSpaceDE/>
        <w:autoSpaceDN/>
        <w:bidi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质保</w:t>
      </w:r>
      <w:r>
        <w:rPr>
          <w:rFonts w:hint="eastAsia" w:ascii="仿宋" w:hAnsi="仿宋" w:eastAsia="仿宋" w:cs="仿宋"/>
          <w:color w:val="auto"/>
          <w:sz w:val="28"/>
          <w:szCs w:val="28"/>
          <w:lang w:eastAsia="zh-CN"/>
        </w:rPr>
        <w:t>期</w:t>
      </w:r>
      <w:r>
        <w:rPr>
          <w:rFonts w:hint="eastAsia" w:ascii="仿宋" w:hAnsi="仿宋" w:eastAsia="仿宋" w:cs="仿宋"/>
          <w:color w:val="auto"/>
          <w:sz w:val="28"/>
          <w:szCs w:val="28"/>
        </w:rPr>
        <w:t>届满后，如</w:t>
      </w:r>
      <w:r>
        <w:rPr>
          <w:rFonts w:hint="eastAsia" w:ascii="仿宋" w:hAnsi="仿宋" w:eastAsia="仿宋" w:cs="仿宋"/>
          <w:color w:val="auto"/>
          <w:sz w:val="28"/>
          <w:szCs w:val="28"/>
          <w:lang w:eastAsia="zh-CN"/>
        </w:rPr>
        <w:t>货架</w:t>
      </w:r>
      <w:r>
        <w:rPr>
          <w:rFonts w:hint="eastAsia" w:ascii="仿宋" w:hAnsi="仿宋" w:eastAsia="仿宋" w:cs="仿宋"/>
          <w:color w:val="auto"/>
          <w:sz w:val="28"/>
          <w:szCs w:val="28"/>
        </w:rPr>
        <w:t>出现问题，</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应在接到</w:t>
      </w:r>
      <w:r>
        <w:rPr>
          <w:rFonts w:hint="eastAsia" w:ascii="仿宋" w:hAnsi="仿宋" w:eastAsia="仿宋" w:cs="仿宋"/>
          <w:color w:val="auto"/>
          <w:sz w:val="28"/>
          <w:szCs w:val="28"/>
          <w:lang w:val="en-US" w:eastAsia="zh-CN"/>
        </w:rPr>
        <w:t>采购人</w:t>
      </w:r>
      <w:r>
        <w:rPr>
          <w:rFonts w:hint="eastAsia" w:ascii="仿宋" w:hAnsi="仿宋" w:eastAsia="仿宋" w:cs="仿宋"/>
          <w:color w:val="auto"/>
          <w:sz w:val="28"/>
          <w:szCs w:val="28"/>
        </w:rPr>
        <w:t>通知（包括电话通知）之日起</w:t>
      </w:r>
      <w:r>
        <w:rPr>
          <w:rFonts w:hint="eastAsia" w:ascii="仿宋" w:hAnsi="仿宋" w:eastAsia="仿宋" w:cs="仿宋"/>
          <w:color w:val="auto"/>
          <w:sz w:val="28"/>
          <w:szCs w:val="28"/>
          <w:u w:val="single"/>
          <w:lang w:val="en-US" w:eastAsia="zh-CN"/>
        </w:rPr>
        <w:t>3日</w:t>
      </w:r>
      <w:r>
        <w:rPr>
          <w:rFonts w:hint="eastAsia" w:ascii="仿宋" w:hAnsi="仿宋" w:eastAsia="仿宋" w:cs="仿宋"/>
          <w:color w:val="auto"/>
          <w:sz w:val="28"/>
          <w:szCs w:val="28"/>
        </w:rPr>
        <w:t>内完成维修或更换，相关费用由</w:t>
      </w:r>
      <w:r>
        <w:rPr>
          <w:rFonts w:hint="eastAsia" w:ascii="仿宋" w:hAnsi="仿宋" w:eastAsia="仿宋" w:cs="仿宋"/>
          <w:color w:val="auto"/>
          <w:sz w:val="28"/>
          <w:szCs w:val="28"/>
          <w:lang w:val="en-US" w:eastAsia="zh-CN"/>
        </w:rPr>
        <w:t>采购人</w:t>
      </w:r>
      <w:r>
        <w:rPr>
          <w:rFonts w:hint="eastAsia" w:ascii="仿宋" w:hAnsi="仿宋" w:eastAsia="仿宋" w:cs="仿宋"/>
          <w:color w:val="auto"/>
          <w:sz w:val="28"/>
          <w:szCs w:val="28"/>
        </w:rPr>
        <w:t>承担。</w:t>
      </w:r>
    </w:p>
    <w:p>
      <w:pPr>
        <w:keepNext w:val="0"/>
        <w:keepLines w:val="0"/>
        <w:pageBreakBefore w:val="0"/>
        <w:widowControl w:val="0"/>
        <w:kinsoku/>
        <w:wordWrap/>
        <w:overflowPunct/>
        <w:topLinePunct w:val="0"/>
        <w:autoSpaceDE/>
        <w:autoSpaceDN/>
        <w:bidi w:val="0"/>
        <w:snapToGrid/>
        <w:spacing w:line="560" w:lineRule="exact"/>
        <w:ind w:left="0" w:leftChars="0"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lang w:val="en-US" w:eastAsia="zh-CN"/>
        </w:rPr>
        <w:t xml:space="preserve"> 结算与</w:t>
      </w:r>
      <w:r>
        <w:rPr>
          <w:rFonts w:hint="eastAsia" w:ascii="仿宋" w:hAnsi="仿宋" w:eastAsia="仿宋" w:cs="仿宋"/>
          <w:b/>
          <w:color w:val="auto"/>
          <w:sz w:val="28"/>
          <w:szCs w:val="28"/>
        </w:rPr>
        <w:t>付款</w:t>
      </w:r>
    </w:p>
    <w:p>
      <w:pPr>
        <w:keepNext w:val="0"/>
        <w:keepLines w:val="0"/>
        <w:pageBreakBefore w:val="0"/>
        <w:widowControl w:val="0"/>
        <w:kinsoku/>
        <w:wordWrap/>
        <w:overflowPunct/>
        <w:topLinePunct w:val="0"/>
        <w:autoSpaceDE/>
        <w:autoSpaceDN/>
        <w:bidi w:val="0"/>
        <w:snapToGrid/>
        <w:spacing w:line="480" w:lineRule="exact"/>
        <w:ind w:left="0" w:leftChars="0" w:firstLine="560" w:firstLineChars="20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auto"/>
          <w:sz w:val="28"/>
          <w:szCs w:val="28"/>
          <w:lang w:val="en-US" w:eastAsia="zh-CN"/>
        </w:rPr>
        <w:t>1、</w:t>
      </w:r>
      <w:r>
        <w:rPr>
          <w:rFonts w:hint="eastAsia" w:ascii="仿宋" w:hAnsi="仿宋" w:eastAsia="仿宋" w:cs="仿宋"/>
          <w:color w:val="000000" w:themeColor="text1"/>
          <w:sz w:val="28"/>
          <w:szCs w:val="28"/>
          <w:lang w:val="en-US" w:eastAsia="zh-CN"/>
          <w14:textFill>
            <w14:solidFill>
              <w14:schemeClr w14:val="tx1"/>
            </w14:solidFill>
          </w14:textFill>
        </w:rPr>
        <w:t>采购人、中标人双方在</w:t>
      </w:r>
      <w:r>
        <w:rPr>
          <w:rFonts w:hint="eastAsia" w:ascii="仿宋" w:hAnsi="仿宋" w:eastAsia="仿宋" w:cs="仿宋"/>
          <w:color w:val="000000" w:themeColor="text1"/>
          <w:sz w:val="28"/>
          <w:szCs w:val="28"/>
          <w14:textFill>
            <w14:solidFill>
              <w14:schemeClr w14:val="tx1"/>
            </w14:solidFill>
          </w14:textFill>
        </w:rPr>
        <w:t>本</w:t>
      </w:r>
      <w:r>
        <w:rPr>
          <w:rFonts w:hint="eastAsia" w:ascii="仿宋" w:hAnsi="仿宋" w:eastAsia="仿宋" w:cs="仿宋"/>
          <w:color w:val="000000" w:themeColor="text1"/>
          <w:sz w:val="28"/>
          <w:szCs w:val="28"/>
          <w:lang w:val="en-US" w:eastAsia="zh-CN"/>
          <w14:textFill>
            <w14:solidFill>
              <w14:schemeClr w14:val="tx1"/>
            </w14:solidFill>
          </w14:textFill>
        </w:rPr>
        <w:t>合同约定货架总体</w:t>
      </w:r>
      <w:r>
        <w:rPr>
          <w:rFonts w:hint="eastAsia" w:ascii="仿宋" w:hAnsi="仿宋" w:eastAsia="仿宋" w:cs="仿宋"/>
          <w:color w:val="000000" w:themeColor="text1"/>
          <w:sz w:val="28"/>
          <w:szCs w:val="28"/>
          <w14:textFill>
            <w14:solidFill>
              <w14:schemeClr w14:val="tx1"/>
            </w14:solidFill>
          </w14:textFill>
        </w:rPr>
        <w:t>验收合格并交付给</w:t>
      </w:r>
      <w:r>
        <w:rPr>
          <w:rFonts w:hint="eastAsia" w:ascii="仿宋" w:hAnsi="仿宋" w:eastAsia="仿宋" w:cs="仿宋"/>
          <w:color w:val="000000" w:themeColor="text1"/>
          <w:sz w:val="28"/>
          <w:szCs w:val="28"/>
          <w:lang w:val="en-US" w:eastAsia="zh-CN"/>
          <w14:textFill>
            <w14:solidFill>
              <w14:schemeClr w14:val="tx1"/>
            </w14:solidFill>
          </w14:textFill>
        </w:rPr>
        <w:t>采购人</w:t>
      </w:r>
      <w:r>
        <w:rPr>
          <w:rFonts w:hint="eastAsia" w:ascii="仿宋" w:hAnsi="仿宋" w:eastAsia="仿宋" w:cs="仿宋"/>
          <w:color w:val="000000" w:themeColor="text1"/>
          <w:sz w:val="28"/>
          <w:szCs w:val="28"/>
          <w14:textFill>
            <w14:solidFill>
              <w14:schemeClr w14:val="tx1"/>
            </w14:solidFill>
          </w14:textFill>
        </w:rPr>
        <w:t>使用之日起7日内，根据</w:t>
      </w:r>
      <w:r>
        <w:rPr>
          <w:rFonts w:hint="eastAsia" w:ascii="仿宋" w:hAnsi="仿宋" w:eastAsia="仿宋" w:cs="仿宋"/>
          <w:color w:val="000000" w:themeColor="text1"/>
          <w:sz w:val="28"/>
          <w:szCs w:val="28"/>
          <w:lang w:val="en-US" w:eastAsia="zh-CN"/>
          <w14:textFill>
            <w14:solidFill>
              <w14:schemeClr w14:val="tx1"/>
            </w14:solidFill>
          </w14:textFill>
        </w:rPr>
        <w:t>采购人</w:t>
      </w:r>
      <w:r>
        <w:rPr>
          <w:rFonts w:hint="eastAsia" w:ascii="仿宋" w:hAnsi="仿宋" w:eastAsia="仿宋" w:cs="仿宋"/>
          <w:color w:val="000000" w:themeColor="text1"/>
          <w:kern w:val="0"/>
          <w:sz w:val="28"/>
          <w:szCs w:val="28"/>
          <w:lang w:bidi="ar"/>
          <w14:textFill>
            <w14:solidFill>
              <w14:schemeClr w14:val="tx1"/>
            </w14:solidFill>
          </w14:textFill>
        </w:rPr>
        <w:t>书面同意的项目实施计划</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送货单、收货单、验收</w:t>
      </w:r>
      <w:r>
        <w:rPr>
          <w:rFonts w:hint="eastAsia" w:ascii="仿宋" w:hAnsi="仿宋" w:eastAsia="仿宋" w:cs="仿宋"/>
          <w:color w:val="000000" w:themeColor="text1"/>
          <w:sz w:val="28"/>
          <w:szCs w:val="28"/>
          <w:lang w:val="en-US" w:eastAsia="zh-CN"/>
          <w14:textFill>
            <w14:solidFill>
              <w14:schemeClr w14:val="tx1"/>
            </w14:solidFill>
          </w14:textFill>
        </w:rPr>
        <w:t>合格</w:t>
      </w:r>
      <w:r>
        <w:rPr>
          <w:rFonts w:hint="eastAsia" w:ascii="仿宋" w:hAnsi="仿宋" w:eastAsia="仿宋" w:cs="仿宋"/>
          <w:color w:val="000000" w:themeColor="text1"/>
          <w:sz w:val="28"/>
          <w:szCs w:val="28"/>
          <w14:textFill>
            <w14:solidFill>
              <w14:schemeClr w14:val="tx1"/>
            </w14:solidFill>
          </w14:textFill>
        </w:rPr>
        <w:t>凭证等相关材料</w:t>
      </w:r>
      <w:r>
        <w:rPr>
          <w:rFonts w:hint="eastAsia" w:ascii="仿宋" w:hAnsi="仿宋" w:eastAsia="仿宋" w:cs="仿宋"/>
          <w:color w:val="FF0000"/>
          <w:sz w:val="28"/>
          <w:szCs w:val="28"/>
          <w:u w:val="none"/>
          <w:lang w:val="en-US" w:eastAsia="zh-CN"/>
        </w:rPr>
        <w:t>确认米数，</w:t>
      </w:r>
      <w:r>
        <w:rPr>
          <w:rFonts w:hint="eastAsia" w:ascii="仿宋" w:hAnsi="仿宋" w:eastAsia="仿宋" w:cs="仿宋"/>
          <w:color w:val="000000" w:themeColor="text1"/>
          <w:sz w:val="28"/>
          <w:szCs w:val="28"/>
          <w14:textFill>
            <w14:solidFill>
              <w14:schemeClr w14:val="tx1"/>
            </w14:solidFill>
          </w14:textFill>
        </w:rPr>
        <w:t>进行</w:t>
      </w:r>
      <w:r>
        <w:rPr>
          <w:rFonts w:hint="eastAsia" w:ascii="仿宋" w:hAnsi="仿宋" w:eastAsia="仿宋" w:cs="仿宋"/>
          <w:color w:val="0000FF"/>
          <w:sz w:val="28"/>
          <w:szCs w:val="28"/>
          <w:lang w:val="en-US" w:eastAsia="zh-CN"/>
        </w:rPr>
        <w:t>据实</w:t>
      </w:r>
      <w:r>
        <w:rPr>
          <w:rFonts w:hint="eastAsia" w:ascii="仿宋" w:hAnsi="仿宋" w:eastAsia="仿宋" w:cs="仿宋"/>
          <w:color w:val="000000" w:themeColor="text1"/>
          <w:sz w:val="28"/>
          <w:szCs w:val="28"/>
          <w14:textFill>
            <w14:solidFill>
              <w14:schemeClr w14:val="tx1"/>
            </w14:solidFill>
          </w14:textFill>
        </w:rPr>
        <w:t>结算</w:t>
      </w:r>
      <w:r>
        <w:rPr>
          <w:rFonts w:hint="eastAsia" w:ascii="仿宋" w:hAnsi="仿宋" w:eastAsia="仿宋" w:cs="仿宋"/>
          <w:b/>
          <w:bCs/>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2、在本项目约定的所有产品完成安装调试并经采购人确认总体验收合格确认之日起60日内，</w:t>
      </w:r>
      <w:r>
        <w:rPr>
          <w:rFonts w:hint="eastAsia" w:ascii="仿宋" w:hAnsi="仿宋" w:eastAsia="仿宋" w:cs="仿宋"/>
          <w:color w:val="FF0000"/>
          <w:sz w:val="28"/>
          <w:szCs w:val="28"/>
          <w:lang w:val="en-US" w:eastAsia="zh-CN"/>
        </w:rPr>
        <w:t>采购人</w:t>
      </w:r>
      <w:r>
        <w:rPr>
          <w:rFonts w:hint="eastAsia" w:ascii="仿宋" w:hAnsi="仿宋" w:eastAsia="仿宋" w:cs="仿宋"/>
          <w:color w:val="000000" w:themeColor="text1"/>
          <w:sz w:val="28"/>
          <w:szCs w:val="28"/>
          <w:lang w:val="en-US" w:eastAsia="zh-CN"/>
          <w14:textFill>
            <w14:solidFill>
              <w14:schemeClr w14:val="tx1"/>
            </w14:solidFill>
          </w14:textFill>
        </w:rPr>
        <w:t>向中标人支付结算总价款的</w:t>
      </w:r>
      <w:r>
        <w:rPr>
          <w:rFonts w:hint="eastAsia" w:ascii="仿宋" w:hAnsi="仿宋" w:eastAsia="仿宋" w:cs="仿宋"/>
          <w:color w:val="000000" w:themeColor="text1"/>
          <w:sz w:val="28"/>
          <w:szCs w:val="28"/>
          <w14:textFill>
            <w14:solidFill>
              <w14:schemeClr w14:val="tx1"/>
            </w14:solidFill>
          </w14:textFill>
        </w:rPr>
        <w:t>90%；余</w:t>
      </w:r>
      <w:r>
        <w:rPr>
          <w:rFonts w:hint="eastAsia" w:ascii="仿宋" w:hAnsi="仿宋" w:eastAsia="仿宋" w:cs="仿宋"/>
          <w:color w:val="000000" w:themeColor="text1"/>
          <w:sz w:val="28"/>
          <w:szCs w:val="28"/>
          <w:lang w:val="en-US" w:eastAsia="zh-CN"/>
          <w14:textFill>
            <w14:solidFill>
              <w14:schemeClr w14:val="tx1"/>
            </w14:solidFill>
          </w14:textFill>
        </w:rPr>
        <w:t>款</w:t>
      </w:r>
      <w:r>
        <w:rPr>
          <w:rFonts w:hint="eastAsia" w:ascii="仿宋" w:hAnsi="仿宋" w:eastAsia="仿宋" w:cs="仿宋"/>
          <w:color w:val="000000" w:themeColor="text1"/>
          <w:sz w:val="28"/>
          <w:szCs w:val="28"/>
          <w14:textFill>
            <w14:solidFill>
              <w14:schemeClr w14:val="tx1"/>
            </w14:solidFill>
          </w14:textFill>
        </w:rPr>
        <w:t>10%</w:t>
      </w:r>
      <w:r>
        <w:rPr>
          <w:rFonts w:hint="eastAsia" w:ascii="仿宋" w:hAnsi="仿宋" w:eastAsia="仿宋" w:cs="仿宋"/>
          <w:color w:val="000000" w:themeColor="text1"/>
          <w:sz w:val="28"/>
          <w:szCs w:val="28"/>
          <w:lang w:val="en-US" w:eastAsia="zh-CN"/>
          <w14:textFill>
            <w14:solidFill>
              <w14:schemeClr w14:val="tx1"/>
            </w14:solidFill>
          </w14:textFill>
        </w:rPr>
        <w:t>，采购人</w:t>
      </w:r>
      <w:r>
        <w:rPr>
          <w:rFonts w:hint="eastAsia" w:ascii="仿宋" w:hAnsi="仿宋" w:eastAsia="仿宋" w:cs="仿宋"/>
          <w:color w:val="000000" w:themeColor="text1"/>
          <w:sz w:val="28"/>
          <w:szCs w:val="28"/>
          <w14:textFill>
            <w14:solidFill>
              <w14:schemeClr w14:val="tx1"/>
            </w14:solidFill>
          </w14:textFill>
        </w:rPr>
        <w:t>在</w:t>
      </w:r>
      <w:r>
        <w:rPr>
          <w:rFonts w:hint="eastAsia" w:ascii="仿宋" w:hAnsi="仿宋" w:eastAsia="仿宋" w:cs="仿宋"/>
          <w:color w:val="FF0000"/>
          <w:sz w:val="28"/>
          <w:szCs w:val="28"/>
          <w:lang w:eastAsia="zh-CN"/>
        </w:rPr>
        <w:t>总体验收合格满一年</w:t>
      </w:r>
      <w:r>
        <w:rPr>
          <w:rFonts w:hint="eastAsia" w:ascii="仿宋" w:hAnsi="仿宋" w:eastAsia="仿宋" w:cs="仿宋"/>
          <w:color w:val="FF0000"/>
          <w:sz w:val="28"/>
          <w:szCs w:val="28"/>
          <w:lang w:val="en-US" w:eastAsia="zh-CN"/>
        </w:rPr>
        <w:t>且确认</w:t>
      </w:r>
      <w:r>
        <w:rPr>
          <w:rFonts w:hint="eastAsia" w:ascii="仿宋" w:hAnsi="仿宋" w:eastAsia="仿宋" w:cs="仿宋"/>
          <w:color w:val="000000" w:themeColor="text1"/>
          <w:sz w:val="28"/>
          <w:szCs w:val="28"/>
          <w:lang w:val="en-US" w:eastAsia="zh-CN"/>
          <w14:textFill>
            <w14:solidFill>
              <w14:schemeClr w14:val="tx1"/>
            </w14:solidFill>
          </w14:textFill>
        </w:rPr>
        <w:t>货架无质量问题后</w:t>
      </w:r>
      <w:r>
        <w:rPr>
          <w:rFonts w:hint="eastAsia" w:ascii="仿宋" w:hAnsi="仿宋" w:eastAsia="仿宋" w:cs="仿宋"/>
          <w:color w:val="FF0000"/>
          <w:sz w:val="28"/>
          <w:szCs w:val="28"/>
          <w:lang w:val="en-US" w:eastAsia="zh-CN"/>
        </w:rPr>
        <w:t>30日内</w:t>
      </w:r>
      <w:r>
        <w:rPr>
          <w:rFonts w:hint="eastAsia" w:ascii="仿宋" w:hAnsi="仿宋" w:eastAsia="仿宋" w:cs="仿宋"/>
          <w:color w:val="000000" w:themeColor="text1"/>
          <w:sz w:val="28"/>
          <w:szCs w:val="28"/>
          <w:lang w:val="en-US" w:eastAsia="zh-CN"/>
          <w14:textFill>
            <w14:solidFill>
              <w14:schemeClr w14:val="tx1"/>
            </w14:solidFill>
          </w14:textFill>
        </w:rPr>
        <w:t>，无息支付给中标人。</w:t>
      </w:r>
    </w:p>
    <w:p>
      <w:pPr>
        <w:keepNext w:val="0"/>
        <w:keepLines w:val="0"/>
        <w:pageBreakBefore w:val="0"/>
        <w:widowControl w:val="0"/>
        <w:kinsoku/>
        <w:wordWrap/>
        <w:overflowPunct/>
        <w:topLinePunct w:val="0"/>
        <w:autoSpaceDE/>
        <w:autoSpaceDN/>
        <w:bidi w:val="0"/>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000000" w:themeColor="text1"/>
          <w:sz w:val="28"/>
          <w:szCs w:val="28"/>
          <w:lang w:val="en-US" w:eastAsia="zh-CN"/>
          <w14:textFill>
            <w14:solidFill>
              <w14:schemeClr w14:val="tx1"/>
            </w14:solidFill>
          </w14:textFill>
        </w:rPr>
        <w:t>3、中标人应在采购人每次付款前，向采购人</w:t>
      </w:r>
      <w:r>
        <w:rPr>
          <w:rFonts w:hint="eastAsia" w:ascii="仿宋" w:hAnsi="仿宋" w:eastAsia="仿宋" w:cs="仿宋"/>
          <w:color w:val="000000" w:themeColor="text1"/>
          <w:sz w:val="28"/>
          <w:szCs w:val="28"/>
          <w14:textFill>
            <w14:solidFill>
              <w14:schemeClr w14:val="tx1"/>
            </w14:solidFill>
          </w14:textFill>
        </w:rPr>
        <w:t>提供以</w:t>
      </w:r>
      <w:r>
        <w:rPr>
          <w:rFonts w:hint="eastAsia" w:ascii="仿宋" w:hAnsi="仿宋" w:eastAsia="仿宋" w:cs="仿宋"/>
          <w:color w:val="000000" w:themeColor="text1"/>
          <w:sz w:val="28"/>
          <w:szCs w:val="28"/>
          <w:lang w:val="en-US"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名义开具</w:t>
      </w:r>
      <w:r>
        <w:rPr>
          <w:rFonts w:hint="eastAsia" w:ascii="仿宋" w:hAnsi="仿宋" w:eastAsia="仿宋" w:cs="仿宋"/>
          <w:color w:val="000000" w:themeColor="text1"/>
          <w:sz w:val="28"/>
          <w:szCs w:val="28"/>
          <w:lang w:val="en-US" w:eastAsia="zh-CN"/>
          <w14:textFill>
            <w14:solidFill>
              <w14:schemeClr w14:val="tx1"/>
            </w14:solidFill>
          </w14:textFill>
        </w:rPr>
        <w:t>的对应金额</w:t>
      </w:r>
      <w:r>
        <w:rPr>
          <w:rFonts w:hint="eastAsia" w:ascii="仿宋" w:hAnsi="仿宋" w:eastAsia="仿宋" w:cs="仿宋"/>
          <w:color w:val="000000" w:themeColor="text1"/>
          <w:sz w:val="28"/>
          <w:szCs w:val="28"/>
          <w14:textFill>
            <w14:solidFill>
              <w14:schemeClr w14:val="tx1"/>
            </w14:solidFill>
          </w14:textFill>
        </w:rPr>
        <w:t>增值税普通发票</w:t>
      </w:r>
      <w:r>
        <w:rPr>
          <w:rFonts w:hint="eastAsia" w:ascii="仿宋" w:hAnsi="仿宋" w:eastAsia="仿宋" w:cs="仿宋"/>
          <w:color w:val="000000" w:themeColor="text1"/>
          <w:sz w:val="28"/>
          <w:szCs w:val="28"/>
          <w:lang w:val="en-US" w:eastAsia="zh-CN"/>
          <w14:textFill>
            <w14:solidFill>
              <w14:schemeClr w14:val="tx1"/>
            </w14:solidFill>
          </w14:textFill>
        </w:rPr>
        <w:t>；如中标人未提供发票，采购人有权顺延付款期限。</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仿宋" w:hAnsi="仿宋" w:eastAsia="仿宋" w:cs="仿宋"/>
          <w:color w:val="auto"/>
          <w:sz w:val="28"/>
          <w:szCs w:val="28"/>
          <w:u w:val="none" w:color="auto"/>
          <w:lang w:val="en-US" w:eastAsia="zh-CN"/>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1.封面：需注明标的名称、投标文件、单位、时间；</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2.“三证合一”或“五证合一”营业执照</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3.投标人身份证复印件；</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5.履行本项目所必需的资质证明；</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6.针对此项目的技术、服务方案；</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7.投标人认为需提供的其他和评审有关的资料；</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8.投标文件的每一页都必须加盖投标单位的公章；</w:t>
      </w:r>
    </w:p>
    <w:p>
      <w:pPr>
        <w:spacing w:line="360" w:lineRule="auto"/>
        <w:ind w:firstLine="560" w:firstLineChars="200"/>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color w:val="auto"/>
        </w:rPr>
      </w:pPr>
      <w:r>
        <w:rPr>
          <w:rFonts w:hint="eastAsia" w:ascii="仿宋" w:hAnsi="仿宋" w:eastAsia="仿宋" w:cs="仿宋"/>
          <w:color w:val="000000"/>
          <w:kern w:val="0"/>
          <w:sz w:val="28"/>
          <w:szCs w:val="28"/>
          <w:lang w:val="en-US" w:eastAsia="zh-CN" w:bidi="ar-SA"/>
        </w:rPr>
        <w:t>10.投标文件必须胶装并用纸质文件袋封好（一正壹副），标书必须“A4规格纸张胶制（非打孔或夹装）装订成册，并编制总目录”,要求密封，否则视为符合性审查不合格，作无效投标处理，在开标现场验证时打开，采用现场开标的方式。</w:t>
      </w:r>
    </w:p>
    <w:p>
      <w:pPr>
        <w:pStyle w:val="17"/>
        <w:widowControl w:val="0"/>
        <w:numPr>
          <w:ilvl w:val="0"/>
          <w:numId w:val="0"/>
        </w:numPr>
        <w:jc w:val="both"/>
        <w:rPr>
          <w:color w:val="auto"/>
          <w:sz w:val="28"/>
          <w:szCs w:val="28"/>
        </w:rPr>
      </w:pPr>
    </w:p>
    <w:p>
      <w:pPr>
        <w:pStyle w:val="3"/>
        <w:numPr>
          <w:ilvl w:val="0"/>
          <w:numId w:val="0"/>
        </w:numPr>
        <w:spacing w:line="240" w:lineRule="auto"/>
        <w:jc w:val="center"/>
        <w:rPr>
          <w:rFonts w:hint="eastAsia" w:ascii="宋体" w:hAnsi="宋体" w:cs="宋体"/>
          <w:color w:val="auto"/>
          <w:sz w:val="30"/>
          <w:szCs w:val="30"/>
        </w:rPr>
      </w:pPr>
      <w:bookmarkStart w:id="6"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6"/>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20"/>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7"/>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5"/>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7" w:name="_Toc486424819"/>
      <w:bookmarkStart w:id="8" w:name="_Toc476514128"/>
    </w:p>
    <w:p>
      <w:pPr>
        <w:pStyle w:val="17"/>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7"/>
    <w:bookmarkEnd w:id="8"/>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5"/>
      </w:pPr>
    </w:p>
    <w:p>
      <w:pPr>
        <w:spacing w:before="120" w:beforeLines="50" w:after="120" w:afterLines="50" w:line="276" w:lineRule="auto"/>
        <w:rPr>
          <w:rFonts w:hint="eastAsia" w:eastAsia="宋体"/>
          <w:b/>
          <w:bCs/>
          <w:color w:val="auto"/>
          <w:sz w:val="28"/>
          <w:szCs w:val="28"/>
          <w:lang w:eastAsia="zh-CN"/>
        </w:rPr>
      </w:pPr>
    </w:p>
    <w:p>
      <w:pPr>
        <w:pStyle w:val="17"/>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20"/>
        <w:rPr>
          <w:color w:val="auto"/>
        </w:rPr>
      </w:pPr>
    </w:p>
    <w:p>
      <w:pPr>
        <w:pStyle w:val="20"/>
        <w:rPr>
          <w:color w:val="auto"/>
        </w:rPr>
      </w:pPr>
    </w:p>
    <w:p>
      <w:pPr>
        <w:pStyle w:val="20"/>
        <w:rPr>
          <w:color w:val="auto"/>
        </w:rPr>
      </w:pPr>
    </w:p>
    <w:p>
      <w:pPr>
        <w:pStyle w:val="20"/>
        <w:rPr>
          <w:color w:val="auto"/>
        </w:rPr>
      </w:pPr>
    </w:p>
    <w:p>
      <w:pPr>
        <w:pStyle w:val="21"/>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pStyle w:val="20"/>
        <w:rPr>
          <w:color w:val="auto"/>
        </w:rPr>
      </w:pPr>
    </w:p>
    <w:p>
      <w:pPr>
        <w:pStyle w:val="20"/>
        <w:rPr>
          <w:rFonts w:hint="eastAsia"/>
          <w:color w:val="auto"/>
        </w:rPr>
      </w:pPr>
    </w:p>
    <w:p>
      <w:pPr>
        <w:pStyle w:val="20"/>
        <w:rPr>
          <w:color w:val="auto"/>
        </w:rPr>
      </w:pPr>
    </w:p>
    <w:p>
      <w:pPr>
        <w:pStyle w:val="20"/>
        <w:rPr>
          <w:color w:val="auto"/>
        </w:rPr>
      </w:pPr>
    </w:p>
    <w:p>
      <w:pPr>
        <w:pStyle w:val="20"/>
        <w:rPr>
          <w:color w:val="auto"/>
        </w:rPr>
      </w:pPr>
    </w:p>
    <w:p>
      <w:pPr>
        <w:pStyle w:val="20"/>
        <w:rPr>
          <w:color w:val="auto"/>
        </w:rPr>
      </w:pPr>
    </w:p>
    <w:p>
      <w:pPr>
        <w:pStyle w:val="20"/>
        <w:rPr>
          <w:color w:val="auto"/>
        </w:rPr>
      </w:pPr>
    </w:p>
    <w:p>
      <w:pPr>
        <w:pStyle w:val="20"/>
        <w:rPr>
          <w:rFonts w:hint="eastAsia"/>
          <w:color w:val="auto"/>
        </w:rPr>
      </w:pPr>
    </w:p>
    <w:p>
      <w:pPr>
        <w:pStyle w:val="21"/>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1"/>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1"/>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pStyle w:val="17"/>
        <w:rPr>
          <w:rFonts w:hint="eastAsia"/>
          <w:lang w:eastAsia="zh-CN"/>
        </w:rPr>
      </w:pPr>
    </w:p>
    <w:p>
      <w:pPr>
        <w:pStyle w:val="21"/>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1"/>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1"/>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1"/>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3"/>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r>
        <w:br w:type="page"/>
      </w:r>
    </w:p>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E4A734"/>
    <w:multiLevelType w:val="singleLevel"/>
    <w:tmpl w:val="A4E4A734"/>
    <w:lvl w:ilvl="0" w:tentative="0">
      <w:start w:val="2"/>
      <w:numFmt w:val="chineseCounting"/>
      <w:suff w:val="nothing"/>
      <w:lvlText w:val="%1、"/>
      <w:lvlJc w:val="left"/>
      <w:rPr>
        <w:rFonts w:hint="eastAsia"/>
      </w:rPr>
    </w:lvl>
  </w:abstractNum>
  <w:abstractNum w:abstractNumId="1">
    <w:nsid w:val="C6742BF2"/>
    <w:multiLevelType w:val="singleLevel"/>
    <w:tmpl w:val="C6742BF2"/>
    <w:lvl w:ilvl="0" w:tentative="0">
      <w:start w:val="1"/>
      <w:numFmt w:val="decimal"/>
      <w:suff w:val="nothing"/>
      <w:lvlText w:val="（%1）"/>
      <w:lvlJc w:val="left"/>
      <w:pPr>
        <w:ind w:left="70"/>
      </w:pPr>
    </w:lvl>
  </w:abstractNum>
  <w:abstractNum w:abstractNumId="2">
    <w:nsid w:val="DFCC3393"/>
    <w:multiLevelType w:val="singleLevel"/>
    <w:tmpl w:val="DFCC3393"/>
    <w:lvl w:ilvl="0" w:tentative="0">
      <w:start w:val="6"/>
      <w:numFmt w:val="chineseCounting"/>
      <w:suff w:val="nothing"/>
      <w:lvlText w:val="第%1部分、"/>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45EF4F68"/>
    <w:rsid w:val="07B23486"/>
    <w:rsid w:val="0D4728C2"/>
    <w:rsid w:val="13550A12"/>
    <w:rsid w:val="18D23988"/>
    <w:rsid w:val="2C3B14F8"/>
    <w:rsid w:val="45EF4F68"/>
    <w:rsid w:val="6DE16EFD"/>
    <w:rsid w:val="7D393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2"/>
    <w:basedOn w:val="1"/>
    <w:next w:val="1"/>
    <w:link w:val="18"/>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正文格式"/>
    <w:basedOn w:val="1"/>
    <w:qFormat/>
    <w:uiPriority w:val="0"/>
    <w:pPr>
      <w:widowControl/>
      <w:adjustRightInd w:val="0"/>
      <w:snapToGrid w:val="0"/>
      <w:spacing w:line="400" w:lineRule="atLeast"/>
      <w:ind w:firstLine="482"/>
      <w:textAlignment w:val="baseline"/>
    </w:pPr>
    <w:rPr>
      <w:kern w:val="0"/>
      <w:sz w:val="24"/>
    </w:rPr>
  </w:style>
  <w:style w:type="paragraph" w:styleId="6">
    <w:name w:val="Body Text Indent"/>
    <w:basedOn w:val="1"/>
    <w:next w:val="7"/>
    <w:qFormat/>
    <w:uiPriority w:val="99"/>
    <w:pPr>
      <w:spacing w:line="400" w:lineRule="exact"/>
      <w:ind w:left="630"/>
    </w:pPr>
    <w:rPr>
      <w:rFonts w:ascii="楷体_GB2312"/>
      <w:sz w:val="30"/>
      <w:szCs w:val="30"/>
    </w:rPr>
  </w:style>
  <w:style w:type="paragraph" w:styleId="7">
    <w:name w:val="Body Text First Indent 2"/>
    <w:basedOn w:val="6"/>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styleId="11">
    <w:name w:val="Title"/>
    <w:basedOn w:val="1"/>
    <w:next w:val="1"/>
    <w:qFormat/>
    <w:uiPriority w:val="10"/>
    <w:pPr>
      <w:spacing w:before="240" w:after="60"/>
      <w:jc w:val="center"/>
      <w:outlineLvl w:val="0"/>
    </w:pPr>
    <w:rPr>
      <w:rFonts w:ascii="Cambria" w:hAnsi="Cambria" w:cs="Times New Roman"/>
      <w:b/>
      <w:bCs/>
      <w:sz w:val="32"/>
      <w:szCs w:val="32"/>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Default"/>
    <w:next w:val="16"/>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6">
    <w:name w:val="大标题"/>
    <w:basedOn w:val="1"/>
    <w:next w:val="7"/>
    <w:qFormat/>
    <w:uiPriority w:val="0"/>
    <w:pPr>
      <w:jc w:val="center"/>
    </w:pPr>
    <w:rPr>
      <w:rFonts w:ascii="Arial" w:hAnsi="Arial" w:eastAsia="宋体"/>
      <w:b/>
      <w:sz w:val="28"/>
      <w:szCs w:val="24"/>
    </w:rPr>
  </w:style>
  <w:style w:type="paragraph" w:customStyle="1" w:styleId="17">
    <w:name w:val="列出段落1"/>
    <w:basedOn w:val="1"/>
    <w:qFormat/>
    <w:uiPriority w:val="99"/>
    <w:pPr>
      <w:ind w:firstLine="420" w:firstLineChars="200"/>
    </w:pPr>
  </w:style>
  <w:style w:type="character" w:customStyle="1" w:styleId="18">
    <w:name w:val="标题 2 Char"/>
    <w:link w:val="4"/>
    <w:qFormat/>
    <w:uiPriority w:val="0"/>
    <w:rPr>
      <w:rFonts w:ascii="Arial" w:hAnsi="Arial" w:eastAsia="黑体"/>
      <w:b/>
      <w:sz w:val="32"/>
    </w:rPr>
  </w:style>
  <w:style w:type="paragraph" w:customStyle="1" w:styleId="19">
    <w:name w:val="三级"/>
    <w:basedOn w:val="5"/>
    <w:qFormat/>
    <w:uiPriority w:val="0"/>
    <w:rPr>
      <w:rFonts w:ascii="宋体" w:hAnsi="宋体"/>
      <w:sz w:val="24"/>
    </w:rPr>
  </w:style>
  <w:style w:type="paragraph" w:customStyle="1" w:styleId="20">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1">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2023-11-06T07:49:00Z</dcterms:created>
  <dc:creator>是小豹子</dc:creator>
  <cp:lastModifiedBy>是小豹子</cp:lastModifiedBy>
  <cp:lastPrinted>2023-11-08T02:19:00Z</cp:lastPrinted>
  <dcterms:modified xsi:type="dcterms:W3CDTF">2023-12-04T06:46:43Z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78C8143146544DECA5DB862CE2DC6AF5_11</vt:lpwstr>
  </property>
</Properties>
</file>