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（钢塑治疗车</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钢塑治疗车</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钢塑治疗车</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钢塑治疗车</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0.42</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1、外形尺寸：1025mm×550mm×960mm</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2、工作台面尺寸:825mm×525mm×800mm（离地高度）</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3、钢件以优质304全不锈钢材料制作，立柱管材为φ25×1.0mm；台面板的材料是：ABS-121，三层凹型台面，面板的生产工艺为注塑成型。凹槽深度为≥8mm，角度小于1.5°，并安装有护栏，以防止器械滚动落地；围栏为钢丝制作，用专用模具焊接成型；台面承重≥15Kg；</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5、抽屉面为塑料面，注塑成型，铝合金抽屉框，内配塑料药盒（可自由分隔）；抽屉采用优质三节式滚珠滑道。抽拉时应静音、平稳、无倾斜、下垂等现象。</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6、立柱、扶手及底部加强管采用不锈钢圆管，其材料为SUS304，立柱、加强管采用数控弯管机配以弯管专用模具来保证管材弯曲处平整光滑；</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7、金属加工件均采用数控机床加工，确保各零件的精度；</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8、可悬挂翻盖式方形污物桶；</w:t>
      </w:r>
    </w:p>
    <w:p>
      <w:pPr>
        <w:rPr>
          <w:rFonts w:hint="eastAsia" w:ascii="宋体" w:hAnsi="宋体" w:cs="宋体"/>
          <w:b w:val="0"/>
          <w:bCs w:val="0"/>
          <w:color w:val="000000"/>
          <w:kern w:val="0"/>
          <w:sz w:val="24"/>
          <w:szCs w:val="18"/>
          <w:lang w:val="en-US" w:eastAsia="zh-CN"/>
        </w:rPr>
      </w:pPr>
      <w:r>
        <w:rPr>
          <w:rFonts w:hint="eastAsia" w:ascii="宋体" w:hAnsi="宋体" w:cs="宋体"/>
          <w:b w:val="0"/>
          <w:bCs w:val="0"/>
          <w:color w:val="000000"/>
          <w:kern w:val="0"/>
          <w:sz w:val="24"/>
          <w:szCs w:val="18"/>
          <w:lang w:val="en-US" w:eastAsia="zh-CN"/>
        </w:rPr>
        <w:t>9、整体焊接采用钨极手工氩弧焊，配有工艺工装保证了整体结构尺寸的稳定性；</w:t>
      </w:r>
    </w:p>
    <w:p>
      <w:pPr>
        <w:rPr>
          <w:rFonts w:hint="eastAsia"/>
          <w:lang w:val="en-US" w:eastAsia="zh-CN"/>
        </w:rPr>
      </w:pPr>
      <w:r>
        <w:rPr>
          <w:rFonts w:hint="eastAsia" w:ascii="宋体" w:hAnsi="宋体" w:cs="宋体"/>
          <w:b w:val="0"/>
          <w:bCs w:val="0"/>
          <w:color w:val="000000"/>
          <w:kern w:val="0"/>
          <w:sz w:val="24"/>
          <w:szCs w:val="18"/>
          <w:lang w:val="en-US" w:eastAsia="zh-CN"/>
        </w:rPr>
        <w:t>10、脚轮是双面轮，轮子直径≥4寸。</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1年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u w:val="single"/>
          <w:lang w:val="en-US" w:eastAsia="zh-CN"/>
          <w14:textFill>
            <w14:solidFill>
              <w14:schemeClr w14:val="tx1"/>
            </w14:solidFill>
          </w14:textFill>
        </w:rPr>
        <w:t>钢塑治疗车</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钢塑治疗车</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钢塑治疗车</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cs="宋体"/>
          <w:color w:val="000000" w:themeColor="text1"/>
          <w:sz w:val="24"/>
          <w:szCs w:val="24"/>
          <w:lang w:val="en-US" w:eastAsia="zh-CN"/>
          <w14:textFill>
            <w14:solidFill>
              <w14:schemeClr w14:val="tx1"/>
            </w14:solidFill>
          </w14:textFill>
        </w:rPr>
        <w:t>接到甲方通知15日内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到货后1日内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w:t>
      </w:r>
      <w:bookmarkStart w:id="4" w:name="_GoBack"/>
      <w:bookmarkEnd w:id="4"/>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3F4F3C"/>
    <w:rsid w:val="0E331420"/>
    <w:rsid w:val="0EDD1643"/>
    <w:rsid w:val="10914EF9"/>
    <w:rsid w:val="12080B62"/>
    <w:rsid w:val="12994AC5"/>
    <w:rsid w:val="129F447F"/>
    <w:rsid w:val="15060AC8"/>
    <w:rsid w:val="15675A4C"/>
    <w:rsid w:val="1AF56B46"/>
    <w:rsid w:val="1F334F58"/>
    <w:rsid w:val="1F796B24"/>
    <w:rsid w:val="1FE73549"/>
    <w:rsid w:val="2038045E"/>
    <w:rsid w:val="20B41DA7"/>
    <w:rsid w:val="28E81B29"/>
    <w:rsid w:val="29B45A41"/>
    <w:rsid w:val="2C7642D0"/>
    <w:rsid w:val="2DD77C64"/>
    <w:rsid w:val="2DDA1E78"/>
    <w:rsid w:val="2EAC037F"/>
    <w:rsid w:val="2EB67A5C"/>
    <w:rsid w:val="302741D2"/>
    <w:rsid w:val="308B184D"/>
    <w:rsid w:val="340F06E9"/>
    <w:rsid w:val="372F7378"/>
    <w:rsid w:val="397348CD"/>
    <w:rsid w:val="3B3B544D"/>
    <w:rsid w:val="3B654F2B"/>
    <w:rsid w:val="3BB72BAE"/>
    <w:rsid w:val="3D5E17FF"/>
    <w:rsid w:val="3E1F0DA4"/>
    <w:rsid w:val="3E584E51"/>
    <w:rsid w:val="3EBE1ADE"/>
    <w:rsid w:val="429A4992"/>
    <w:rsid w:val="42C0185A"/>
    <w:rsid w:val="435B161D"/>
    <w:rsid w:val="43B25DAC"/>
    <w:rsid w:val="45D569C3"/>
    <w:rsid w:val="4B7F39F4"/>
    <w:rsid w:val="4BAE646F"/>
    <w:rsid w:val="4CAC1559"/>
    <w:rsid w:val="4DCD6AB3"/>
    <w:rsid w:val="50540C20"/>
    <w:rsid w:val="51AC28BD"/>
    <w:rsid w:val="611B6B1B"/>
    <w:rsid w:val="64133D6A"/>
    <w:rsid w:val="678E4F5D"/>
    <w:rsid w:val="680E122C"/>
    <w:rsid w:val="6DE375E4"/>
    <w:rsid w:val="6E8E5287"/>
    <w:rsid w:val="6FBE332C"/>
    <w:rsid w:val="71584067"/>
    <w:rsid w:val="74566F5C"/>
    <w:rsid w:val="750117A8"/>
    <w:rsid w:val="77423DFF"/>
    <w:rsid w:val="783B5EA9"/>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2023-11-23T03:48:15Z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