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（血液透析机</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血液透析机</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ind w:firstLine="480" w:firstLineChars="200"/>
        <w:jc w:val="both"/>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3、投标文件的投标报价出现前后不一致的，按照下列规定修正：</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3.1投标文件中开标一览表内容与投标文件中相应内容不一致的，以开标一览表为准；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3.2大写金额和小写金额不一致的，以大写金额为准；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3.3总价金额与按单价汇总金额不一致的，以单价金额计算结果为准。</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血液透析机</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1.全新机型，具有较高安全系数、稳定性好，可作碳酸氢盐、醋酸盐常规透析。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2.治疗保障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2.1.采用采用复式泵加脱水泵的平衡系统。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2.2.具备超滤曲线及钠离子曲线可调等个性化透析功能。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2.3.10寸以上彩色液晶显示器，触摸屏操作，可旋转，全中文操作系统。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2.4.具备动态尿素氮清除率监测功能用于预测和干预治疗效果，客观评价病人治疗效果。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 体外循环参数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3.1.动脉压监测显示范围及精度: -300~+500mmHg,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3.2.静脉压监测显示范围及精度: -300-+500 mmHg,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3.3.血流量:血流量调节范围40-600mL/min 任意可调。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3.4.肝素注射流量控制范围: 0-9.9 ml/h,(注射器尺寸10mL.20mL.30mL)。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3.5.漏血检测器:光电检测，精度大于0.3mL血液/1L 透析液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3.6.空气泡监测器:四合一组件包括气泡检测器、血液判别器、管路检测器和静脉夹，超声波方式，灵敏度&gt;0.02ml.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3.7.跨膜压监测: -100-+500 mmHg,有跨膜压自动跟踪监测显示。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3.8.血容量监测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4.透析液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4.1.透析液流速: 300-800m/min: 任意可调。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4.2.透析液温度控制:可调33~ 40℃可完成高/低温透析。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4.3.透析液电导度: (10~ 20) ms/cm.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4.4.碳酸氢盐浓度：测量范围：2.00~8.00mS/cm.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4.5.透析液配方:可兼容任意品牌透析机配方。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4.6.机器标配B干粉桶装置，避免B浓缩液的污染；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4.7.配有双级内毒素过滤器接口。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5.红外人体感应装置，自动感应操作人员的靠近点亮屏幕。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6.超滤控制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6.1.超滤方式:采用复式泵加脱水泵的平衡与脱水控制系统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7.消毒方式与自动关机: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7.1.可预设自动消毒程序，设置多种脱钙清洗、 热消毒、化学消毒程序，使用通用的消毒液。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7.2.进水、排水管采用不透光管子，透析液吸管可联机清洗消毒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8.机器内置维修与校正程序，机器水电严格分离，模块化设计，可灵活增加血压自动监测装置等。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9.工作环境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9.1.停电时后备电池保证血泵，维持时间大于30分钟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10.售后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9.1 可监测所有的零部件的使用时间，在零部件磨损到期后发出更换提醒。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9.2保修期内零部件磨损到期后及时更换全新的原装配件，保障良好的治疗效果。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宋体" w:hAnsi="宋体" w:cs="宋体"/>
          <w:b w:val="0"/>
          <w:bCs w:val="0"/>
          <w:color w:val="000000"/>
          <w:kern w:val="0"/>
          <w:sz w:val="24"/>
          <w:szCs w:val="24"/>
          <w:lang w:val="en-US" w:eastAsia="zh-CN"/>
        </w:rPr>
        <w:t>9.3 提供纸质厂家工程师维修手册。</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血液透析机</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血液透析机</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血液透析机</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lang w:val="en-US" w:eastAsia="zh-CN"/>
          <w14:textFill>
            <w14:solidFill>
              <w14:schemeClr w14:val="tx1"/>
            </w14:solidFill>
          </w14:textFill>
        </w:rPr>
        <w:t>接到甲方通知15个自然日内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在到货后1日内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纸质厂家工程师维修手册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的法定代表人（单位负责人），现授权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bookmarkStart w:id="4" w:name="_GoBack"/>
      <w:bookmarkEnd w:id="4"/>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kern w:val="0"/>
          <w:sz w:val="24"/>
        </w:rPr>
        <w:t>（单位负责人）</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7B5B13"/>
    <w:rsid w:val="06E91EC4"/>
    <w:rsid w:val="0A3F4F3C"/>
    <w:rsid w:val="0E331420"/>
    <w:rsid w:val="0EDD1643"/>
    <w:rsid w:val="10914EF9"/>
    <w:rsid w:val="12080B62"/>
    <w:rsid w:val="12994AC5"/>
    <w:rsid w:val="129F447F"/>
    <w:rsid w:val="142B383E"/>
    <w:rsid w:val="15060AC8"/>
    <w:rsid w:val="15675A4C"/>
    <w:rsid w:val="1AF56B46"/>
    <w:rsid w:val="1BC75749"/>
    <w:rsid w:val="1F334F58"/>
    <w:rsid w:val="1F796B24"/>
    <w:rsid w:val="1FE73549"/>
    <w:rsid w:val="2038045E"/>
    <w:rsid w:val="20B41DA7"/>
    <w:rsid w:val="28E81B29"/>
    <w:rsid w:val="29B45A41"/>
    <w:rsid w:val="2C7642D0"/>
    <w:rsid w:val="2DD77C64"/>
    <w:rsid w:val="2DDA1E78"/>
    <w:rsid w:val="2EAC037F"/>
    <w:rsid w:val="2EB67A5C"/>
    <w:rsid w:val="302741D2"/>
    <w:rsid w:val="308B184D"/>
    <w:rsid w:val="31C35264"/>
    <w:rsid w:val="340F06E9"/>
    <w:rsid w:val="372F7378"/>
    <w:rsid w:val="375140B6"/>
    <w:rsid w:val="397348CD"/>
    <w:rsid w:val="3B3B544D"/>
    <w:rsid w:val="3B654F2B"/>
    <w:rsid w:val="3BB72BAE"/>
    <w:rsid w:val="3D5E17FF"/>
    <w:rsid w:val="3E1F0DA4"/>
    <w:rsid w:val="3E584E51"/>
    <w:rsid w:val="429A4992"/>
    <w:rsid w:val="435B161D"/>
    <w:rsid w:val="43B25DAC"/>
    <w:rsid w:val="45D569C3"/>
    <w:rsid w:val="479B7598"/>
    <w:rsid w:val="4B7F39F4"/>
    <w:rsid w:val="4BAE646F"/>
    <w:rsid w:val="4CAC1559"/>
    <w:rsid w:val="4DCD6AB3"/>
    <w:rsid w:val="50540C20"/>
    <w:rsid w:val="51AC28BD"/>
    <w:rsid w:val="611B6B1B"/>
    <w:rsid w:val="64133D6A"/>
    <w:rsid w:val="678E4F5D"/>
    <w:rsid w:val="680E122C"/>
    <w:rsid w:val="6DE375E4"/>
    <w:rsid w:val="6E8E5287"/>
    <w:rsid w:val="6FBE332C"/>
    <w:rsid w:val="71584067"/>
    <w:rsid w:val="74566F5C"/>
    <w:rsid w:val="750117A8"/>
    <w:rsid w:val="77423DFF"/>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2023-12-08T00:42:22Z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