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（妇检床</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妇检床</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妇检床</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bookmarkStart w:id="4" w:name="_GoBack"/>
      <w:bookmarkEnd w:id="4"/>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妇检床</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 xml:space="preserve">1、手术台上升、下降采用脚踏油泵式，运行平稳，安全可靠，其余各动作均为机械齿轮传动头部操作。手术台要求移动和固定采用脚踏板来控制，要求脚踏在侧面，便于操作。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 xml:space="preserve">2、手术台外罩以及床面均为 304 不锈钢制成，易清洗，抗腐蚀。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 xml:space="preserve">3、技术性能：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 xml:space="preserve">3.1、长≥1760mm，宽≥600mm，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 xml:space="preserve">3.2 台面最低≥660mm，最高≥910mm；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3.3、前倾≥12°，后倾≥22°；</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3.4、背板上折≥45°,下折≥10；</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主床      1 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搁手板    2 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托腿架    2 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足 板     1 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床垫      1 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妇检床</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妇检床</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妇检床</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到货后1日内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highlight w:val="none"/>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highlight w:val="none"/>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445D69"/>
    <w:rsid w:val="04653F41"/>
    <w:rsid w:val="06E91EC4"/>
    <w:rsid w:val="0A3F4F3C"/>
    <w:rsid w:val="0DDD0B1A"/>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611B6B1B"/>
    <w:rsid w:val="64133D6A"/>
    <w:rsid w:val="678E4F5D"/>
    <w:rsid w:val="680E122C"/>
    <w:rsid w:val="6DE375E4"/>
    <w:rsid w:val="6E8E5287"/>
    <w:rsid w:val="6FBE332C"/>
    <w:rsid w:val="71584067"/>
    <w:rsid w:val="72CF55C0"/>
    <w:rsid w:val="735201FF"/>
    <w:rsid w:val="737B50A4"/>
    <w:rsid w:val="74566F5C"/>
    <w:rsid w:val="750117A8"/>
    <w:rsid w:val="77423DFF"/>
    <w:rsid w:val="783B5EA9"/>
    <w:rsid w:val="79EB699D"/>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4</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2023-12-26T00:32:46Z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