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jc w:val="center"/>
        <w:rPr>
          <w:rFonts w:ascii="Arial" w:hAnsi="Arial" w:eastAsia="方正小标宋简体" w:cs="Arial"/>
          <w:color w:val="auto"/>
          <w:sz w:val="72"/>
          <w:szCs w:val="72"/>
        </w:rPr>
      </w:pPr>
    </w:p>
    <w:p>
      <w:pPr>
        <w:pStyle w:val="7"/>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三级等保设计服务</w:t>
      </w:r>
      <w:r>
        <w:rPr>
          <w:rFonts w:hint="eastAsia"/>
          <w:bCs/>
          <w:sz w:val="32"/>
          <w:szCs w:val="32"/>
          <w:lang w:val="en-US" w:eastAsia="zh-CN"/>
        </w:rPr>
        <w:t>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七</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7"/>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三级等保设计服务项目进行挂网招标</w:t>
      </w:r>
      <w:r>
        <w:rPr>
          <w:rFonts w:hint="eastAsia"/>
          <w:bCs/>
          <w:color w:val="auto"/>
          <w:sz w:val="28"/>
          <w:szCs w:val="28"/>
        </w:rPr>
        <w:t>，将招标事项公告如下：</w:t>
      </w:r>
    </w:p>
    <w:p>
      <w:pPr>
        <w:pStyle w:val="7"/>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三级等保设计服务项目</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1、院内议价，按招标文件评分规则进行评审，以评审结果排序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7"/>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6、投标人具备湖南省政府采购电子卖场资格，中标人在议价公示后需配合医院完成电子卖场直购程序。</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六、投标须知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1、否决投标的情形：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1.1、投标人以他人名义投标、串通投标、以行贿手段谋取中标的；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1.3、评标委员会认定投标人以低于成本报价竞标的；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1.4、投标人未按照要求出席开标会的；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1.5、投标报价有错误的，评标委员会将要求投标人作出书面澄清说明和确认，投标人拒不作出澄清说明和确认的；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2、有下列情形之一的，招标人将重新招标：</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2.1、</w:t>
      </w:r>
      <w:r>
        <w:rPr>
          <w:rFonts w:hint="default"/>
          <w:bCs/>
          <w:color w:val="auto"/>
          <w:sz w:val="28"/>
          <w:szCs w:val="28"/>
          <w:lang w:val="en-US" w:eastAsia="zh-CN"/>
        </w:rPr>
        <w:t>投标截止时间止，投标人少于3</w:t>
      </w:r>
      <w:r>
        <w:rPr>
          <w:rFonts w:hint="eastAsia"/>
          <w:bCs/>
          <w:color w:val="auto"/>
          <w:sz w:val="28"/>
          <w:szCs w:val="28"/>
          <w:lang w:val="en-US" w:eastAsia="zh-CN"/>
        </w:rPr>
        <w:t>家</w:t>
      </w:r>
      <w:r>
        <w:rPr>
          <w:rFonts w:hint="default"/>
          <w:bCs/>
          <w:color w:val="auto"/>
          <w:sz w:val="28"/>
          <w:szCs w:val="28"/>
          <w:lang w:val="en-US" w:eastAsia="zh-CN"/>
        </w:rPr>
        <w:t>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2.2、经评标委员会评审后，符合资格审查的投标人少于3家的。</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8"/>
        <w:tblW w:w="7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890"/>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3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三级等保设计服务</w:t>
            </w:r>
          </w:p>
        </w:tc>
        <w:tc>
          <w:tcPr>
            <w:tcW w:w="2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按三级等保项目财评评审报告预算的2.5%作为限价，报价请报费率</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w:t>
      </w:r>
      <w:r>
        <w:rPr>
          <w:rFonts w:hint="eastAsia" w:ascii="仿宋_GB2312" w:eastAsia="仿宋_GB2312" w:cs="仿宋_GB2312"/>
          <w:bCs/>
          <w:color w:val="auto"/>
          <w:kern w:val="0"/>
          <w:sz w:val="28"/>
          <w:szCs w:val="28"/>
          <w:lang w:val="en-US" w:eastAsia="zh-CN" w:bidi="ar-SA"/>
        </w:rPr>
        <w:t>服务要求，以下内容必须全部响应并作出响应函，否则视为无效投标：</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1、根据</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要求、中共娄底市委网络安全和信息化委员会办公室下发的《娄底市政务信息化项目网络安全前置审查实施办法》《娄底市政务信息化项目网络安全设计方案编制规范（试行）》以及附件的要求编制娄底市中心医院三级等保项目设计方案。</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项目设计方案，包括在信息化项目建设过程中编制的可行性研究报告、初步设计方案、深化设计方案、投资概算和安全设计方案等。安全设计方案应包含网络安全体系总体设计、密码应用和数据安全保护设计等。项目设计方案编制格式详见附件。</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3、本项目设计包括软硬件配置以及机房的改造，其中机房改造必须派专人到现场考察测量。 </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4、本项目必须通过娄底市委网信办（娄底市互联网信息办公室）发起的网络安全验收，因未通过验收而导致的额外改动和花费由</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承担。</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自合同签订之日起10日内，完成娄底市中心医院三级等保项目设计编制服务设计任务。</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在</w:t>
      </w:r>
      <w:r>
        <w:rPr>
          <w:rFonts w:hint="eastAsia" w:ascii="仿宋_GB2312" w:eastAsia="仿宋_GB2312" w:cs="仿宋_GB2312"/>
          <w:bCs/>
          <w:color w:val="auto"/>
          <w:kern w:val="0"/>
          <w:sz w:val="28"/>
          <w:szCs w:val="28"/>
          <w:lang w:val="en-US" w:eastAsia="zh-CN" w:bidi="ar-SA"/>
        </w:rPr>
        <w:t>医院</w:t>
      </w:r>
      <w:r>
        <w:rPr>
          <w:rFonts w:hint="eastAsia" w:ascii="仿宋_GB2312" w:hAnsi="Times New Roman" w:eastAsia="仿宋_GB2312" w:cs="仿宋_GB2312"/>
          <w:bCs/>
          <w:color w:val="auto"/>
          <w:kern w:val="0"/>
          <w:sz w:val="28"/>
          <w:szCs w:val="28"/>
          <w:lang w:val="en-US" w:eastAsia="zh-CN" w:bidi="ar-SA"/>
        </w:rPr>
        <w:t>提供的资料基础上，组织人员对本项目进行现场调研、考察，实地了解项目实际需求情况，结合项目现有资料和现场实地调研考察情况，根据独立、客观、公正、科学、合理的原则和国家及省现行法律、法规和规范、标准、条例等政策规定及上级管理部门要求等，编制规划相关文档。</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7、设计成果以书面（形式）汉语文字编制，</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须提交书面印刷成果一式六份及相关内容的电子文件。</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8、设计及其相关资料，内容必须符合《娄底市政务信息化项目网络安全前置审查实施办法》《娄底市政务信息化项目网络安全设计方案编制规范（试行）》以及附件的格式要求。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应保证设计的表现形式和内容符合各项法律、法规的规定。</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10、本项目费用已经包含人工费、服务费、材料费、税费等</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为完成本合同项下方案设计工作的全部报酬和所需的全部费用；自本合同签订之日起5个工作日内支付人民币（大写）：</w:t>
      </w:r>
      <w:r>
        <w:rPr>
          <w:rFonts w:hint="eastAsia" w:ascii="仿宋_GB2312" w:eastAsia="仿宋_GB2312" w:cs="仿宋_GB2312"/>
          <w:bCs/>
          <w:color w:val="FF0000"/>
          <w:kern w:val="0"/>
          <w:sz w:val="28"/>
          <w:szCs w:val="28"/>
          <w:lang w:val="en-US" w:eastAsia="zh-CN" w:bidi="ar-SA"/>
        </w:rPr>
        <w:t>壹</w:t>
      </w:r>
      <w:r>
        <w:rPr>
          <w:rFonts w:hint="eastAsia" w:ascii="仿宋_GB2312" w:hAnsi="Times New Roman" w:eastAsia="仿宋_GB2312" w:cs="仿宋_GB2312"/>
          <w:bCs/>
          <w:color w:val="FF0000"/>
          <w:kern w:val="0"/>
          <w:sz w:val="28"/>
          <w:szCs w:val="28"/>
          <w:lang w:val="en-US" w:eastAsia="zh-CN" w:bidi="ar-SA"/>
        </w:rPr>
        <w:t xml:space="preserve">万元整（小写： </w:t>
      </w:r>
      <w:r>
        <w:rPr>
          <w:rFonts w:hint="eastAsia" w:ascii="仿宋_GB2312" w:eastAsia="仿宋_GB2312" w:cs="仿宋_GB2312"/>
          <w:bCs/>
          <w:color w:val="FF0000"/>
          <w:kern w:val="0"/>
          <w:sz w:val="28"/>
          <w:szCs w:val="28"/>
          <w:lang w:val="en-US" w:eastAsia="zh-CN" w:bidi="ar-SA"/>
        </w:rPr>
        <w:t>1</w:t>
      </w:r>
      <w:r>
        <w:rPr>
          <w:rFonts w:hint="eastAsia" w:ascii="仿宋_GB2312" w:hAnsi="Times New Roman" w:eastAsia="仿宋_GB2312" w:cs="仿宋_GB2312"/>
          <w:bCs/>
          <w:color w:val="FF0000"/>
          <w:kern w:val="0"/>
          <w:sz w:val="28"/>
          <w:szCs w:val="28"/>
          <w:lang w:val="en-US" w:eastAsia="zh-CN" w:bidi="ar-SA"/>
        </w:rPr>
        <w:t>0000.00元）</w:t>
      </w:r>
      <w:r>
        <w:rPr>
          <w:rFonts w:hint="eastAsia" w:ascii="仿宋_GB2312" w:eastAsia="仿宋_GB2312" w:cs="仿宋_GB2312"/>
          <w:bCs/>
          <w:color w:val="FF0000"/>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自</w:t>
      </w:r>
      <w:r>
        <w:rPr>
          <w:rFonts w:hint="eastAsia" w:ascii="仿宋_GB2312" w:eastAsia="仿宋_GB2312" w:cs="仿宋_GB2312"/>
          <w:bCs/>
          <w:color w:val="auto"/>
          <w:kern w:val="0"/>
          <w:sz w:val="28"/>
          <w:szCs w:val="28"/>
          <w:lang w:val="en-US" w:eastAsia="zh-CN" w:bidi="ar-SA"/>
        </w:rPr>
        <w:t>中标人</w:t>
      </w:r>
      <w:r>
        <w:rPr>
          <w:rFonts w:hint="eastAsia" w:ascii="仿宋_GB2312" w:hAnsi="Times New Roman" w:eastAsia="仿宋_GB2312" w:cs="仿宋_GB2312"/>
          <w:bCs/>
          <w:color w:val="auto"/>
          <w:kern w:val="0"/>
          <w:sz w:val="28"/>
          <w:szCs w:val="28"/>
          <w:lang w:val="en-US" w:eastAsia="zh-CN" w:bidi="ar-SA"/>
        </w:rPr>
        <w:t>项目设计方案通过娄底市委网信办（娄底市互联网信息办公室）网络安全验收且财政局出局项目财评评审报告后的5个工作日内支付剩余的合同金额。</w:t>
      </w:r>
    </w:p>
    <w:p>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必须具有工程咨询资质证书（通信信息专业）/工程设计资质证书（电子通信广电行业）/工程勘察资质证书（工程勘察专业类（工程测量））资质/信息系统集成及服务资质证书/资信证书（信息技术咨询服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3"/>
        <w:rPr>
          <w:rFonts w:hint="eastAsia"/>
          <w:lang w:val="en-US" w:eastAsia="zh-CN"/>
        </w:rPr>
      </w:pPr>
    </w:p>
    <w:p>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kinsoku/>
        <w:wordWrap/>
        <w:overflowPunct/>
        <w:topLinePunct w:val="0"/>
        <w:bidi w:val="0"/>
        <w:spacing w:line="520" w:lineRule="exact"/>
        <w:jc w:val="center"/>
        <w:rPr>
          <w:rFonts w:hint="eastAsia" w:ascii="仿宋" w:hAnsi="仿宋" w:eastAsia="仿宋"/>
          <w:b/>
          <w:color w:val="000000" w:themeColor="text1"/>
          <w:sz w:val="52"/>
          <w:szCs w:val="52"/>
          <w:lang w:val="en-US" w:eastAsia="zh-CN"/>
          <w14:textFill>
            <w14:solidFill>
              <w14:schemeClr w14:val="tx1"/>
            </w14:solidFill>
          </w14:textFill>
        </w:rPr>
      </w:pPr>
      <w:r>
        <w:rPr>
          <w:rFonts w:hint="eastAsia" w:ascii="仿宋" w:hAnsi="仿宋" w:eastAsia="仿宋"/>
          <w:b/>
          <w:color w:val="000000" w:themeColor="text1"/>
          <w:sz w:val="52"/>
          <w:szCs w:val="52"/>
          <w:lang w:val="en-US" w:eastAsia="zh-CN"/>
          <w14:textFill>
            <w14:solidFill>
              <w14:schemeClr w14:val="tx1"/>
            </w14:solidFill>
          </w14:textFill>
        </w:rPr>
        <w:t>娄底市中心医院三级等保</w:t>
      </w:r>
      <w:r>
        <w:rPr>
          <w:rFonts w:hint="eastAsia" w:ascii="仿宋" w:hAnsi="仿宋" w:eastAsia="仿宋"/>
          <w:b/>
          <w:color w:val="000000" w:themeColor="text1"/>
          <w:sz w:val="52"/>
          <w:szCs w:val="52"/>
          <w14:textFill>
            <w14:solidFill>
              <w14:schemeClr w14:val="tx1"/>
            </w14:solidFill>
          </w14:textFill>
        </w:rPr>
        <w:t>项目</w:t>
      </w:r>
      <w:r>
        <w:rPr>
          <w:rFonts w:hint="eastAsia" w:ascii="仿宋" w:hAnsi="仿宋" w:eastAsia="仿宋"/>
          <w:b/>
          <w:color w:val="000000" w:themeColor="text1"/>
          <w:sz w:val="52"/>
          <w:szCs w:val="52"/>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pacing w:line="520" w:lineRule="exact"/>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52"/>
          <w:szCs w:val="52"/>
          <w14:textFill>
            <w14:solidFill>
              <w14:schemeClr w14:val="tx1"/>
            </w14:solidFill>
          </w14:textFill>
        </w:rPr>
        <w:t>设计编制服务</w:t>
      </w:r>
      <w:r>
        <w:rPr>
          <w:rFonts w:ascii="仿宋" w:hAnsi="仿宋" w:eastAsia="仿宋"/>
          <w:b/>
          <w:color w:val="000000" w:themeColor="text1"/>
          <w:sz w:val="52"/>
          <w:szCs w:val="52"/>
          <w14:textFill>
            <w14:solidFill>
              <w14:schemeClr w14:val="tx1"/>
            </w14:solidFill>
          </w14:textFill>
        </w:rPr>
        <w:t>合同</w:t>
      </w:r>
    </w:p>
    <w:p>
      <w:pPr>
        <w:keepNext w:val="0"/>
        <w:keepLines w:val="0"/>
        <w:pageBreakBefore w:val="0"/>
        <w:widowControl w:val="0"/>
        <w:tabs>
          <w:tab w:val="left" w:pos="3206"/>
        </w:tabs>
        <w:kinsoku/>
        <w:wordWrap/>
        <w:overflowPunct/>
        <w:topLinePunct w:val="0"/>
        <w:bidi w:val="0"/>
        <w:spacing w:line="520" w:lineRule="exact"/>
        <w:rPr>
          <w:rFonts w:ascii="仿宋" w:hAnsi="仿宋" w:eastAsia="仿宋"/>
          <w:color w:val="000000" w:themeColor="text1"/>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jc w:val="center"/>
        <w:rPr>
          <w:rFonts w:ascii="仿宋" w:hAnsi="仿宋" w:eastAsia="仿宋"/>
          <w:b/>
          <w:color w:val="000000" w:themeColor="text1"/>
          <w:sz w:val="52"/>
          <w:szCs w:val="52"/>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jc w:val="center"/>
        <w:rPr>
          <w:rFonts w:ascii="仿宋" w:hAnsi="仿宋" w:eastAsia="仿宋"/>
          <w:b/>
          <w:color w:val="000000" w:themeColor="text1"/>
          <w:sz w:val="52"/>
          <w:szCs w:val="52"/>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ind w:left="1835" w:leftChars="574" w:hanging="630" w:hangingChars="300"/>
        <w:rPr>
          <w:rFonts w:ascii="仿宋" w:hAnsi="仿宋" w:eastAsia="仿宋"/>
          <w:color w:val="000000" w:themeColor="text1"/>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rPr>
          <w:rFonts w:ascii="仿宋" w:hAnsi="仿宋" w:eastAsia="仿宋"/>
          <w:color w:val="000000" w:themeColor="text1"/>
          <w14:textFill>
            <w14:solidFill>
              <w14:schemeClr w14:val="tx1"/>
            </w14:solidFill>
          </w14:textFill>
        </w:rPr>
      </w:pPr>
    </w:p>
    <w:p>
      <w:pPr>
        <w:keepNext w:val="0"/>
        <w:keepLines w:val="0"/>
        <w:pageBreakBefore w:val="0"/>
        <w:widowControl w:val="0"/>
        <w:kinsoku/>
        <w:wordWrap/>
        <w:overflowPunct/>
        <w:topLinePunct w:val="0"/>
        <w:bidi w:val="0"/>
        <w:spacing w:line="520" w:lineRule="exact"/>
        <w:jc w:val="center"/>
        <w:rPr>
          <w:rFonts w:ascii="仿宋" w:hAnsi="仿宋" w:eastAsia="仿宋"/>
          <w:b/>
          <w:color w:val="000000" w:themeColor="text1"/>
          <w:sz w:val="52"/>
          <w:szCs w:val="52"/>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项目合同名称：</w:t>
      </w:r>
      <w:r>
        <w:rPr>
          <w:rFonts w:hint="eastAsia" w:ascii="仿宋" w:hAnsi="仿宋" w:eastAsia="仿宋"/>
          <w:b/>
          <w:color w:val="000000" w:themeColor="text1"/>
          <w:sz w:val="28"/>
          <w:szCs w:val="28"/>
          <w:u w:val="single"/>
          <w:lang w:val="en-US" w:eastAsia="zh-CN"/>
          <w14:textFill>
            <w14:solidFill>
              <w14:schemeClr w14:val="tx1"/>
            </w14:solidFill>
          </w14:textFill>
        </w:rPr>
        <w:t>娄底市中心医院三级等保</w:t>
      </w:r>
      <w:r>
        <w:rPr>
          <w:rFonts w:hint="eastAsia" w:ascii="仿宋" w:hAnsi="仿宋" w:eastAsia="仿宋"/>
          <w:b/>
          <w:color w:val="000000" w:themeColor="text1"/>
          <w:sz w:val="28"/>
          <w:szCs w:val="28"/>
          <w:u w:val="single"/>
          <w14:textFill>
            <w14:solidFill>
              <w14:schemeClr w14:val="tx1"/>
            </w14:solidFill>
          </w14:textFill>
        </w:rPr>
        <w:t>项目设计编制服务合同</w:t>
      </w:r>
    </w:p>
    <w:p>
      <w:pPr>
        <w:keepNext w:val="0"/>
        <w:keepLines w:val="0"/>
        <w:pageBreakBefore w:val="0"/>
        <w:widowControl w:val="0"/>
        <w:tabs>
          <w:tab w:val="left" w:pos="3206"/>
        </w:tabs>
        <w:kinsoku/>
        <w:wordWrap/>
        <w:overflowPunct/>
        <w:topLinePunct w:val="0"/>
        <w:bidi w:val="0"/>
        <w:spacing w:line="520" w:lineRule="exact"/>
        <w:ind w:left="1849" w:leftChars="-67" w:hanging="1990" w:hangingChars="708"/>
        <w:rPr>
          <w:rFonts w:ascii="仿宋" w:hAnsi="仿宋" w:eastAsia="仿宋"/>
          <w:b/>
          <w:color w:val="000000" w:themeColor="text1"/>
          <w:sz w:val="28"/>
          <w:szCs w:val="28"/>
          <w:u w:val="single"/>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委托方（甲方）：</w:t>
      </w:r>
      <w:r>
        <w:rPr>
          <w:rFonts w:hint="eastAsia" w:ascii="仿宋" w:hAnsi="仿宋" w:eastAsia="仿宋"/>
          <w:b/>
          <w:color w:val="000000" w:themeColor="text1"/>
          <w:sz w:val="28"/>
          <w:szCs w:val="28"/>
          <w:u w:val="single"/>
          <w:lang w:val="en-US" w:eastAsia="zh-CN"/>
          <w14:textFill>
            <w14:solidFill>
              <w14:schemeClr w14:val="tx1"/>
            </w14:solidFill>
          </w14:textFill>
        </w:rPr>
        <w:t>娄底市中心医院</w:t>
      </w:r>
    </w:p>
    <w:p>
      <w:pPr>
        <w:keepNext w:val="0"/>
        <w:keepLines w:val="0"/>
        <w:pageBreakBefore w:val="0"/>
        <w:widowControl w:val="0"/>
        <w:tabs>
          <w:tab w:val="left" w:pos="3206"/>
        </w:tabs>
        <w:kinsoku/>
        <w:wordWrap/>
        <w:overflowPunct/>
        <w:topLinePunct w:val="0"/>
        <w:bidi w:val="0"/>
        <w:spacing w:line="520" w:lineRule="exact"/>
        <w:ind w:firstLine="562" w:firstLineChars="200"/>
        <w:rPr>
          <w:rFonts w:hint="eastAsia" w:ascii="仿宋" w:hAnsi="仿宋" w:eastAsia="仿宋"/>
          <w:b/>
          <w:color w:val="000000" w:themeColor="text1"/>
          <w:sz w:val="28"/>
          <w:szCs w:val="28"/>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ind w:firstLine="562" w:firstLineChars="20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受托方（乙方）：</w:t>
      </w:r>
    </w:p>
    <w:p>
      <w:pPr>
        <w:keepNext w:val="0"/>
        <w:keepLines w:val="0"/>
        <w:pageBreakBefore w:val="0"/>
        <w:widowControl w:val="0"/>
        <w:tabs>
          <w:tab w:val="left" w:pos="3206"/>
        </w:tabs>
        <w:kinsoku/>
        <w:wordWrap/>
        <w:overflowPunct/>
        <w:topLinePunct w:val="0"/>
        <w:bidi w:val="0"/>
        <w:spacing w:line="520" w:lineRule="exact"/>
        <w:ind w:left="22" w:leftChars="-67" w:hanging="163" w:hangingChars="58"/>
        <w:rPr>
          <w:rFonts w:ascii="仿宋" w:hAnsi="仿宋" w:eastAsia="仿宋"/>
          <w:b/>
          <w:color w:val="000000" w:themeColor="text1"/>
          <w:sz w:val="28"/>
          <w:szCs w:val="28"/>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ind w:left="22" w:leftChars="-67" w:hanging="163" w:hangingChars="58"/>
        <w:rPr>
          <w:rFonts w:ascii="仿宋" w:hAnsi="仿宋" w:eastAsia="仿宋"/>
          <w:b/>
          <w:color w:val="000000" w:themeColor="text1"/>
          <w:sz w:val="28"/>
          <w:szCs w:val="28"/>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ind w:left="22" w:leftChars="-67" w:hanging="163" w:hangingChars="58"/>
        <w:rPr>
          <w:rFonts w:ascii="仿宋" w:hAnsi="仿宋" w:eastAsia="仿宋"/>
          <w:b/>
          <w:color w:val="000000" w:themeColor="text1"/>
          <w:sz w:val="28"/>
          <w:szCs w:val="28"/>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ind w:left="21" w:leftChars="-67" w:hanging="162" w:hangingChars="58"/>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日期：      年    月</w:t>
      </w:r>
    </w:p>
    <w:p>
      <w:pPr>
        <w:keepNext w:val="0"/>
        <w:keepLines w:val="0"/>
        <w:pageBreakBefore w:val="0"/>
        <w:widowControl w:val="0"/>
        <w:tabs>
          <w:tab w:val="left" w:pos="3206"/>
        </w:tabs>
        <w:kinsoku/>
        <w:wordWrap/>
        <w:overflowPunct/>
        <w:topLinePunct w:val="0"/>
        <w:bidi w:val="0"/>
        <w:spacing w:line="520" w:lineRule="exact"/>
        <w:rPr>
          <w:rFonts w:ascii="仿宋" w:hAnsi="仿宋" w:eastAsia="仿宋"/>
          <w:color w:val="000000" w:themeColor="text1"/>
          <w14:textFill>
            <w14:solidFill>
              <w14:schemeClr w14:val="tx1"/>
            </w14:solidFill>
          </w14:textFill>
        </w:rPr>
      </w:pPr>
    </w:p>
    <w:p>
      <w:pPr>
        <w:keepNext w:val="0"/>
        <w:keepLines w:val="0"/>
        <w:pageBreakBefore w:val="0"/>
        <w:widowControl w:val="0"/>
        <w:tabs>
          <w:tab w:val="left" w:pos="3206"/>
        </w:tabs>
        <w:kinsoku/>
        <w:wordWrap/>
        <w:overflowPunct/>
        <w:topLinePunct w:val="0"/>
        <w:bidi w:val="0"/>
        <w:spacing w:line="520" w:lineRule="exact"/>
        <w:rPr>
          <w:rFonts w:ascii="仿宋" w:hAnsi="仿宋" w:eastAsia="仿宋"/>
          <w:color w:val="000000" w:themeColor="text1"/>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20" w:lineRule="exact"/>
        <w:rPr>
          <w:rFonts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20" w:lineRule="exact"/>
        <w:rPr>
          <w:rFonts w:hint="eastAsia"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20" w:lineRule="exact"/>
        <w:rPr>
          <w:rFonts w:hint="eastAsia"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20" w:lineRule="exact"/>
        <w:rPr>
          <w:rFonts w:hint="eastAsia"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20" w:lineRule="exact"/>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sectPr>
          <w:pgSz w:w="11906" w:h="16838"/>
          <w:pgMar w:top="1701" w:right="1474" w:bottom="1701" w:left="1587" w:header="851" w:footer="992" w:gutter="0"/>
          <w:pgNumType w:start="1"/>
          <w:cols w:space="720" w:num="1"/>
          <w:docGrid w:type="lines" w:linePitch="312" w:charSpace="0"/>
        </w:sect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甲方：娄底市中心医院</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法定代表人：李红辉</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统一社会信用代码：12431300447162073W</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地址：湖南省娄底市娄星区长青中街51号</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联系人：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联系电话：</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乙方：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统一社会信用代码：</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地址：</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联系人：</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联系电话：</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为了保护甲、乙双方合法权益，根据《中华人民共和国民法典》《中华人民共和国政府采购法》及其他相关法律、法规和规章的规定及国家地方有关工程勘察设计管理法规和建设工程批准文件的有关规定，结合该项目的具体情况，为明确责任，协作配合，在平等、自愿、公平、诚信的基础上，甲、乙双方经协商一致，就乙方承担  娄底市中心医院三级等保项目设计编制服务  工作，签订本合同，共同遵守。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第一条 项目信息</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1.1采购项目名称：娄底市中心医院三级等保项目设计编制服务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1.2项目内容：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 根据甲方要求、中共娄底市委网络安全和信息化委员会办公室下发的《娄底市政务信息化项目网络安全前置审查实施办法》《娄底市政务信息化项目网络安全设计方案编制规范（试行）》以及附件的要求编制娄底市中心医院三级等保项目设计方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 项目设计方案，包括在信息化项目建设过程中编制的可行性研究报告、初步设计方案、深化设计方案、投资概算和安全设计方案等。安全设计方案应包含网络安全体系总体设计、密码应用和数据安全保护设计等。项目设计方案编制格式详见附件。</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1.3 本项目设计包括软硬件配置以及机房的改造，其中机房改造必须派专人到现场考察测量。 </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 本项目必须通过娄底市委网信办（娄底市互联网信息办公室）发起的网络安全验收，因未通过验收而导致的额外改动和花费由乙方承担。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第二条 履行合同的时间、地点及方式</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2.1起始日期：自合同签订之日起10日内，完成娄底市中心医院三级等保项目设计编制服务设计任务。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2.2地点：甲方指定地点。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2.3方式：在甲方提供的资料基础上，组织人员对本项目进行现场调研、考察，实地了解项目实际需求情况，结合项目现有资料和现场实地调研考察情况，根据独立、客观、公正、科学、合理的原则和国家及省现行法律、法规和规范、标准、条例等政策规定及上级管理部门要求等，编制规划相关文档。</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第三条 交付成果要求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3.1 设计成果以书面（形式）汉语文字编制，乙方须提交书面印刷成果一式六份及相关内容的电子文件。</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3.2 设计及其相关资料，内容必须符合《娄底市政务信息化项目网络安全前置审查实施办法》《娄底市政务信息化项目网络安全设计方案编制规范（试行）》以及附件的格式要求。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3.3 乙方应保证设计的表现形式和内容符合各项法律、法规的规定。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第四条 验收</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4.1 甲方自收到乙方提交的成果后及时发起娄底市委网信办的政务信息化项目网络安全前置审查申请，通过审查的视为乙方成果通过验收，甲方签署书面验收单。</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4.2 如未通过验收，乙方应在收到甲方通知之日起  日内无条件修改、调整到位，由此产生的费用由乙方承担。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第五条 成果归属</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本次服务产生的建设实施方案及预算方案文件等成果的知识产权归属  甲方 所有。</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第六条 保密条款</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6.1甲、乙双方对相互提供的信息、资料和文件承担保密责任。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6.2 乙方提供的设计仅为本合同约定的项目服务，未经乙方同意甲方不得将该设计用于其它项目，或转作第三方或其它商业用途。</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6.3 乙方对此项目及设计负有保密责任，不得用作其他项目或转作第三方使用。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第七条 甲方的其他权利与义务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7.1 甲方应尽可能为乙方派驻现场的工作人员提供工作、生活等方便条件。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7.2 配合乙方提供相关资料。如甲方变更委托项目、规模、条件，或提交资料错误，或所提供资料作较大修改，乙方提交成果时间顺延。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7.3 如甲方要求乙方提前交付成果资料，双方需另行协商签订补充协议。</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第八条 乙方的其他权利与义务</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8.1 乙方按本合同规定的内容、时间及份数向甲方交付设计编制服务成果。</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8.2 乙方指派人员进行现场勘探、考察时应遵守安全生产规定，采取必要安全措施，因乙方原因造成甲方、乙方或第三方人身、财产损失的，均由乙方承担法律责任和经济赔偿。</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8.3 乙方应保证提交的设计成果不侵犯第三人的著作权或其它合法权利，否则由此造成的知识产权纠纷由乙方负责处理并承担赔偿责任。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第九条 合同金额</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9.1本合同按项目财评评审报告总造价的</w:t>
      </w:r>
      <w:r>
        <w:rPr>
          <w:rFonts w:hint="eastAsia" w:ascii="仿宋_GB2312" w:hAnsi="Times New Roman" w:eastAsia="仿宋_GB2312" w:cs="仿宋_GB2312"/>
          <w:bCs/>
          <w:color w:val="auto"/>
          <w:kern w:val="0"/>
          <w:sz w:val="28"/>
          <w:szCs w:val="28"/>
          <w:u w:val="single"/>
          <w:lang w:val="en-US" w:eastAsia="zh-CN" w:bidi="ar-SA"/>
        </w:rPr>
        <w:t xml:space="preserve">   </w:t>
      </w:r>
      <w:r>
        <w:rPr>
          <w:rFonts w:hint="eastAsia" w:ascii="仿宋_GB2312" w:hAnsi="Times New Roman" w:eastAsia="仿宋_GB2312" w:cs="仿宋_GB2312"/>
          <w:bCs/>
          <w:color w:val="auto"/>
          <w:kern w:val="0"/>
          <w:sz w:val="28"/>
          <w:szCs w:val="28"/>
          <w:lang w:val="en-US" w:eastAsia="zh-CN" w:bidi="ar-SA"/>
        </w:rPr>
        <w:t>%计算设计服务费用，该费用已经包含人工费、服务费、材料费、税费等乙方为完成本合同项下方案设计工作的全部报酬和所需的全部费用。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9.2合同价格形式：</w:t>
      </w:r>
      <w:r>
        <w:rPr>
          <w:rFonts w:hint="eastAsia" w:ascii="仿宋_GB2312" w:hAnsi="Times New Roman" w:eastAsia="仿宋_GB2312" w:cs="仿宋_GB2312"/>
          <w:bCs/>
          <w:color w:val="auto"/>
          <w:kern w:val="0"/>
          <w:sz w:val="28"/>
          <w:szCs w:val="28"/>
          <w:u w:val="single"/>
          <w:lang w:val="en-US" w:eastAsia="zh-CN" w:bidi="ar-SA"/>
        </w:rPr>
        <w:t>固定总价合同</w:t>
      </w:r>
      <w:r>
        <w:rPr>
          <w:rFonts w:hint="eastAsia" w:ascii="仿宋_GB2312" w:hAnsi="Times New Roman" w:eastAsia="仿宋_GB2312" w:cs="仿宋_GB2312"/>
          <w:bCs/>
          <w:color w:val="auto"/>
          <w:kern w:val="0"/>
          <w:sz w:val="28"/>
          <w:szCs w:val="28"/>
          <w:lang w:val="en-US" w:eastAsia="zh-CN" w:bidi="ar-SA"/>
        </w:rPr>
        <w:t>。甲方不就本合同项目内容向乙方支付9.1约定以外的任何费用。</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第十条 付款</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10.1 本合同设计编制服务费用由甲方分2次转账支付至乙方指定银行账户：</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10.1.1 自本合同签订之日起5个工作日内支付人民币（大写）：</w:t>
      </w:r>
      <w:r>
        <w:rPr>
          <w:rFonts w:hint="eastAsia" w:ascii="仿宋_GB2312" w:eastAsia="仿宋_GB2312" w:cs="仿宋_GB2312"/>
          <w:bCs/>
          <w:color w:val="auto"/>
          <w:kern w:val="0"/>
          <w:sz w:val="28"/>
          <w:szCs w:val="28"/>
          <w:lang w:val="en-US" w:eastAsia="zh-CN" w:bidi="ar-SA"/>
        </w:rPr>
        <w:t>壹</w:t>
      </w:r>
      <w:r>
        <w:rPr>
          <w:rFonts w:hint="eastAsia" w:ascii="仿宋_GB2312" w:hAnsi="Times New Roman" w:eastAsia="仿宋_GB2312" w:cs="仿宋_GB2312"/>
          <w:bCs/>
          <w:color w:val="auto"/>
          <w:kern w:val="0"/>
          <w:sz w:val="28"/>
          <w:szCs w:val="28"/>
          <w:lang w:val="en-US" w:eastAsia="zh-CN" w:bidi="ar-SA"/>
        </w:rPr>
        <w:t>万元整 （小写：</w:t>
      </w: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0000.00元）；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10.1.2 自乙方项目设计方案通过娄底市委网信办（娄底市互联网信息办公室）网络安全验收且财政局出局项目财评评审报告后的5个工作日内支付剩余的合同金额。</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10.2 乙方应在甲方首次支付前提供全额增值税发票，否则，甲方有权顺延付款，由此产生的责任均由乙方自行承担。</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10.3 乙方应确保在本合同中指定的收款账户信息正确无误，否则导致甲方无法办理付款转账手续的一切责任均由乙方自行承担。乙方收款账号若有变更，须提前3日以书面方式通知甲方，并乙方授权代表签字并加盖乙方公章。</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乙方开户银行名称、地址和账号为：</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开户名：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开户银行：</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帐 号：</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第十一条 通知与送达</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11.1 </w:t>
      </w:r>
      <w:r>
        <w:rPr>
          <w:rFonts w:hint="default" w:ascii="仿宋_GB2312" w:hAnsi="Times New Roman" w:eastAsia="仿宋_GB2312" w:cs="仿宋_GB2312"/>
          <w:bCs/>
          <w:color w:val="auto"/>
          <w:kern w:val="0"/>
          <w:sz w:val="28"/>
          <w:szCs w:val="28"/>
          <w:lang w:val="en-US" w:eastAsia="zh-CN" w:bidi="ar-SA"/>
        </w:rPr>
        <w:t>甲乙双方同意，与本合同有关的任何文书，应以书面方式送达本合同约定的联系方式。书面形式包括手机短信、微信、书面函件、电子邮件等形式。</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11.2 </w:t>
      </w:r>
      <w:r>
        <w:rPr>
          <w:rFonts w:hint="default" w:ascii="仿宋_GB2312" w:hAnsi="Times New Roman" w:eastAsia="仿宋_GB2312" w:cs="仿宋_GB2312"/>
          <w:bCs/>
          <w:color w:val="auto"/>
          <w:kern w:val="0"/>
          <w:sz w:val="28"/>
          <w:szCs w:val="28"/>
          <w:lang w:val="en-US" w:eastAsia="zh-CN" w:bidi="ar-SA"/>
        </w:rPr>
        <w:t>双方确认的文书（包括未来可能发生的诉讼或仲裁活动中法院或仲裁机构的送达法律文书）送达地址：</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11.2.1</w:t>
      </w:r>
      <w:r>
        <w:rPr>
          <w:rFonts w:hint="default" w:ascii="仿宋_GB2312" w:hAnsi="Times New Roman" w:eastAsia="仿宋_GB2312" w:cs="仿宋_GB2312"/>
          <w:bCs/>
          <w:color w:val="auto"/>
          <w:kern w:val="0"/>
          <w:sz w:val="28"/>
          <w:szCs w:val="28"/>
          <w:lang w:val="en-US" w:eastAsia="zh-CN" w:bidi="ar-SA"/>
        </w:rPr>
        <w:t>甲方的文书送达地址：</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，收件人：</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 xml:space="preserve">。                 </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11.2.2 </w:t>
      </w:r>
      <w:r>
        <w:rPr>
          <w:rFonts w:hint="default" w:ascii="仿宋_GB2312" w:hAnsi="Times New Roman" w:eastAsia="仿宋_GB2312" w:cs="仿宋_GB2312"/>
          <w:bCs/>
          <w:color w:val="auto"/>
          <w:kern w:val="0"/>
          <w:sz w:val="28"/>
          <w:szCs w:val="28"/>
          <w:lang w:val="en-US" w:eastAsia="zh-CN" w:bidi="ar-SA"/>
        </w:rPr>
        <w:t>乙方的文书送达地址：</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，收件人：</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，联系电话：</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，电子邮箱：</w:t>
      </w:r>
      <w:r>
        <w:rPr>
          <w:rFonts w:hint="eastAsia" w:ascii="仿宋_GB2312" w:hAnsi="Times New Roman" w:eastAsia="仿宋_GB2312" w:cs="仿宋_GB2312"/>
          <w:bCs/>
          <w:color w:val="auto"/>
          <w:kern w:val="0"/>
          <w:sz w:val="28"/>
          <w:szCs w:val="28"/>
          <w:lang w:val="en-US" w:eastAsia="zh-CN" w:bidi="ar-SA"/>
        </w:rPr>
        <w:t xml:space="preserve">         </w:t>
      </w:r>
      <w:r>
        <w:rPr>
          <w:rFonts w:hint="default"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11.3 </w:t>
      </w:r>
      <w:r>
        <w:rPr>
          <w:rFonts w:hint="default" w:ascii="仿宋_GB2312" w:hAnsi="Times New Roman" w:eastAsia="仿宋_GB2312" w:cs="仿宋_GB2312"/>
          <w:bCs/>
          <w:color w:val="auto"/>
          <w:kern w:val="0"/>
          <w:sz w:val="28"/>
          <w:szCs w:val="28"/>
          <w:lang w:val="en-US" w:eastAsia="zh-CN" w:bidi="ar-SA"/>
        </w:rPr>
        <w:t>上述通知应被视为在下列时间送达：以快递或专人发送的，在收件人签收之日或拒收之日；以挂号邮件发出的，在发出之日起7个工作日；以电子邮件发出的，在电子邮件进入收件方电子邮箱服务器之日。</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11.4 </w:t>
      </w:r>
      <w:r>
        <w:rPr>
          <w:rFonts w:hint="default" w:ascii="仿宋_GB2312" w:hAnsi="Times New Roman" w:eastAsia="仿宋_GB2312" w:cs="仿宋_GB2312"/>
          <w:bCs/>
          <w:color w:val="auto"/>
          <w:kern w:val="0"/>
          <w:sz w:val="28"/>
          <w:szCs w:val="28"/>
          <w:lang w:val="en-US" w:eastAsia="zh-CN" w:bidi="ar-SA"/>
        </w:rPr>
        <w:t>以上地址和联系方式，任何一方发生变更应在变更之日起</w:t>
      </w:r>
      <w:r>
        <w:rPr>
          <w:rFonts w:hint="eastAsia" w:ascii="仿宋_GB2312" w:hAnsi="Times New Roman" w:eastAsia="仿宋_GB2312" w:cs="仿宋_GB2312"/>
          <w:bCs/>
          <w:color w:val="auto"/>
          <w:kern w:val="0"/>
          <w:sz w:val="28"/>
          <w:szCs w:val="28"/>
          <w:lang w:val="en-US" w:eastAsia="zh-CN" w:bidi="ar-SA"/>
        </w:rPr>
        <w:t>3</w:t>
      </w:r>
      <w:r>
        <w:rPr>
          <w:rFonts w:hint="default" w:ascii="仿宋_GB2312" w:hAnsi="Times New Roman" w:eastAsia="仿宋_GB2312" w:cs="仿宋_GB2312"/>
          <w:bCs/>
          <w:color w:val="auto"/>
          <w:kern w:val="0"/>
          <w:sz w:val="28"/>
          <w:szCs w:val="28"/>
          <w:lang w:val="en-US" w:eastAsia="zh-CN" w:bidi="ar-SA"/>
        </w:rPr>
        <w:t>日内通知对方。如未通知，一方按原地址送达的书面资料被退回的，退回之日视为送达之日。任何一方按照确认地址送到另一方的书面资料被拒绝签收导致邮件被退回的，退回之日视为送达之日。</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第十二条 变更和解除</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 如本合同约定事宜发生重大变更，经双方协商一致后另行签订补充协议。变更情形包括：</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12.1.1 甲方委托项目、规模、条件发生重大变更，或提交资料严重错误，或所提供资料作重大修改。</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12.1.2 甲方要求乙方提前交付成果。</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 出现以下情形之一的，甲方有权单方面解除合同：</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12.2.1 逾期交付成果达  日的；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12.2.2 乙方交付的成果无法通过娄底市委网信办（娄底市互联网信息办公室）网络安全验收且经整改、调整后仍无法通过的。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12.2.3 乙方将项下服务工作全部转让给第三方的。</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12.2.4 乙方未经甲方书面许可，私自转让项下部分服务工作给第三方的。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12.2.5 乙方违反保密条款，给甲方造成损失或不良影响。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第十三条 违约责任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13.1违反本合同约定，按《中华人民共和国民法典》的有关规定，由违约方承担违约责任，并赔偿对方由此而造成的直接经济损失。</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13.2 如甲方非因12.2规定情形，无故单方面变更计划而中止或暂停本次委托，应根据乙方已经完成的工作量支付一定比例费用，具体比例由双方协商确定。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13.3 如乙方未在约定期限内交付合格成果，每逾期一日，乙方应向甲方支付违约金    元。</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13.4 如乙方单方面解除合同，或甲方依据本合同12.2解除合同，乙方除退还甲方所有已支付的款项、赔偿甲方由此造成直接经济损失外，还须按合同总额的10%向甲方支付违约金。</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13.5 依照本合同约定乙方应当承担的违约金，甲方有权从应付款项中直接扣除，不足部分，乙方应当在接到甲方通知之日起3日内补足。</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13.6 发生下列情况之一，致使本合同在履行期限内不能履行或部分不能履行的，当事方应在知悉事件发生后24小时内及时向对方通报，经双方同意后约定延期履行、部分履行或者不履行的，无需承担违约责任：</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13.6.1 国家政策调整变化；</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13.6.2 发生不可抗力。</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第十四条 解决合同纠纷方式</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在合同履行过程中发生争议，双方应先友好协商解决，协商解决不成的，向娄星区人民法院提起诉讼解决。</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第十五条 组成合同的文件</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合同书与下列文件一起构成合同文件，如下述文件之间有任何抵触、矛盾或歧义，应按以下顺序解释：在采购或合同履行过程中乙方作出的承诺以及双方协商达成的变更或补充协议；本合同及附件；议价结果公示；响应文件；采购文件；其他与本合同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第十七条 合同生效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本合同自双方签字并盖章之日起生效。</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第十八条 合同份数</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本合同一式陆份，甲方执肆份、乙方执贰份，均具有同等法律效力。</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甲  方（盖章） :                  乙  方（盖章）: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法定代表人（签字）：              法定代表人（签字）：</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或委托代理人（签字）：            或委托代理人（签字）：              </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合同订立地点：娄底市娄星区        合同订立时间：  年  月  日  </w:t>
      </w:r>
    </w:p>
    <w:p>
      <w:pPr>
        <w:keepNext w:val="0"/>
        <w:keepLines w:val="0"/>
        <w:pageBreakBefore w:val="0"/>
        <w:widowControl w:val="0"/>
        <w:kinsoku/>
        <w:wordWrap/>
        <w:overflowPunct/>
        <w:topLinePunct w:val="0"/>
        <w:bidi w:val="0"/>
        <w:spacing w:line="520" w:lineRule="exact"/>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b/>
          <w:bCs/>
          <w:color w:val="000000" w:themeColor="text1"/>
          <w:sz w:val="44"/>
          <w:szCs w:val="44"/>
          <w:lang w:val="en-US" w:eastAsia="zh-CN"/>
          <w14:textFill>
            <w14:solidFill>
              <w14:schemeClr w14:val="tx1"/>
            </w14:solidFill>
          </w14:textFill>
        </w:rPr>
        <w:t>附件</w:t>
      </w:r>
      <w:r>
        <w:rPr>
          <w:rFonts w:hint="eastAsia" w:ascii="仿宋" w:hAnsi="仿宋" w:eastAsia="仿宋"/>
          <w:color w:val="000000" w:themeColor="text1"/>
          <w:sz w:val="24"/>
          <w:lang w:val="en-US" w:eastAsia="zh-CN"/>
          <w14:textFill>
            <w14:solidFill>
              <w14:schemeClr w14:val="tx1"/>
            </w14:solidFill>
          </w14:textFill>
        </w:rPr>
        <w:t xml:space="preserve"> </w:t>
      </w:r>
    </w:p>
    <w:p>
      <w:pPr>
        <w:spacing w:line="360" w:lineRule="auto"/>
        <w:ind w:firstLine="562"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第一章项目概述</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1.项目名称</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2.项目建设单位及负责人、项目责任人</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3.编制单位</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4.编制依据</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5.建设目标、规模、内容、建设期</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6.总投资及资金来源</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7.效益及风险</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8.主要结论与建议</w:t>
      </w:r>
    </w:p>
    <w:p>
      <w:pPr>
        <w:spacing w:line="360" w:lineRule="auto"/>
        <w:ind w:firstLine="562"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第二章项目建设单位概况</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1.项目建设单位与职能</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2.项目实施机构与职责</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第三章需求分析</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1.业务目标需求分析与结论</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2.安全需求分析</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包括网络安全总体需求分析、密码应用、数据安全需求分析等</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3.系统功能指标</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4.信息量指标</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5.系统性能指标</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第四章总体设计方案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1.总体设计原则</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2.总体目标与分期目标</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3.总体建设任务与分期建设内容</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4.系统总体结构和逻辑结构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5.网络安全总体设计</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第五章本期项目设计方案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1.建设目标、规模与内容</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2.标准规范建设内容</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3.信息资源规划和数据库设计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4.应用支撑系统设计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5.应用系统设计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6.数据处理和存储系统设计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7.终端系统及接口设计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8.安全体系设计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9.密码应用设计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10.数据安全保护设计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11.信息资源共享目录与系统设计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12.信息化创新设计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13.备份系统设计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14.运行维护系统设计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15.其他系统设计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16.系统配置及软硬件选型原则</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17.系统软硬件配置清单</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18.系统软硬件物理部署方案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19.机房及配套工程设计</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20.环保、消防、职业安全卫生和节能设计</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第六章项目建设与运行管理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1.领导和管理机构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2.项目实施机构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3.运行维护机构</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4.核准的项目招标方案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5.项目进度、质量、资金管理方案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6.相关管理制度</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第七章人员配置与培训</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1.人员配置计划</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2.人员培训方案</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第八章 项目实施进度</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第九章 初步设计概算</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1.初步设计方案和投资概算编制说明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2.初步设计投资概算书</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3.资金筹措及投资计划</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4.运行维护费筹措及资金来源</w:t>
      </w:r>
    </w:p>
    <w:p>
      <w:pPr>
        <w:spacing w:line="360" w:lineRule="auto"/>
        <w:ind w:firstLine="562" w:firstLineChars="200"/>
        <w:rPr>
          <w:rFonts w:hint="default" w:ascii="仿宋_GB2312" w:hAnsi="Times New Roman" w:eastAsia="仿宋_GB2312" w:cs="仿宋_GB2312"/>
          <w:b/>
          <w:bCs w:val="0"/>
          <w:color w:val="auto"/>
          <w:kern w:val="0"/>
          <w:sz w:val="28"/>
          <w:szCs w:val="28"/>
          <w:lang w:val="en-US" w:eastAsia="zh-CN" w:bidi="ar-SA"/>
        </w:rPr>
      </w:pPr>
      <w:r>
        <w:rPr>
          <w:rFonts w:hint="default" w:ascii="仿宋_GB2312" w:hAnsi="Times New Roman" w:eastAsia="仿宋_GB2312" w:cs="仿宋_GB2312"/>
          <w:b/>
          <w:bCs w:val="0"/>
          <w:color w:val="auto"/>
          <w:kern w:val="0"/>
          <w:sz w:val="28"/>
          <w:szCs w:val="28"/>
          <w:lang w:val="en-US" w:eastAsia="zh-CN" w:bidi="ar-SA"/>
        </w:rPr>
        <w:t>第</w:t>
      </w:r>
      <w:r>
        <w:rPr>
          <w:rFonts w:hint="eastAsia" w:ascii="仿宋_GB2312" w:hAnsi="Times New Roman" w:eastAsia="仿宋_GB2312" w:cs="仿宋_GB2312"/>
          <w:b/>
          <w:bCs w:val="0"/>
          <w:color w:val="auto"/>
          <w:kern w:val="0"/>
          <w:sz w:val="28"/>
          <w:szCs w:val="28"/>
          <w:lang w:val="en-US" w:eastAsia="zh-CN" w:bidi="ar-SA"/>
        </w:rPr>
        <w:t>十</w:t>
      </w:r>
      <w:r>
        <w:rPr>
          <w:rFonts w:hint="default" w:ascii="仿宋_GB2312" w:hAnsi="Times New Roman" w:eastAsia="仿宋_GB2312" w:cs="仿宋_GB2312"/>
          <w:b/>
          <w:bCs w:val="0"/>
          <w:color w:val="auto"/>
          <w:kern w:val="0"/>
          <w:sz w:val="28"/>
          <w:szCs w:val="28"/>
          <w:lang w:val="en-US" w:eastAsia="zh-CN" w:bidi="ar-SA"/>
        </w:rPr>
        <w:t>章风险及效益分析</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1.风险分析及对策</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2.效益分析</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附件</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1.项目软硬件配置清单</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2.应用系统定制开发工作量核算表</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3.初步设计和投资概算编制依据和有关的政策、技术、</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经济资料</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4.网络拓扑图</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5.系统软硬件物理布置图</w:t>
      </w: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综合评分表</w:t>
      </w:r>
    </w:p>
    <w:tbl>
      <w:tblPr>
        <w:tblStyle w:val="18"/>
        <w:tblW w:w="97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1044"/>
        <w:gridCol w:w="1791"/>
        <w:gridCol w:w="68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234"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评分因素</w:t>
            </w:r>
          </w:p>
        </w:tc>
        <w:tc>
          <w:tcPr>
            <w:tcW w:w="6887" w:type="dxa"/>
            <w:tcBorders>
              <w:top w:val="single" w:color="000000" w:sz="4" w:space="0"/>
              <w:left w:val="single" w:color="000000" w:sz="4" w:space="0"/>
              <w:bottom w:val="single" w:color="000000" w:sz="2"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评分标准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90"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价格评议（3</w:t>
            </w:r>
            <w:r>
              <w:rPr>
                <w:rFonts w:hint="default" w:ascii="仿宋_GB2312" w:hAnsi="Times New Roman" w:eastAsia="仿宋_GB2312" w:cs="仿宋_GB2312"/>
                <w:bCs/>
                <w:color w:val="auto"/>
                <w:kern w:val="0"/>
                <w:sz w:val="28"/>
                <w:szCs w:val="28"/>
                <w:lang w:val="en-US" w:eastAsia="zh-CN" w:bidi="ar-SA"/>
              </w:rPr>
              <w:t>0</w:t>
            </w:r>
            <w:r>
              <w:rPr>
                <w:rFonts w:hint="eastAsia" w:ascii="仿宋_GB2312" w:hAnsi="Times New Roman" w:eastAsia="仿宋_GB2312" w:cs="仿宋_GB2312"/>
                <w:bCs/>
                <w:color w:val="auto"/>
                <w:kern w:val="0"/>
                <w:sz w:val="28"/>
                <w:szCs w:val="28"/>
                <w:lang w:val="en-US" w:eastAsia="zh-CN" w:bidi="ar-SA"/>
              </w:rPr>
              <w:t>分）</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价格评议（3</w:t>
            </w:r>
            <w:r>
              <w:rPr>
                <w:rFonts w:hint="default" w:ascii="仿宋_GB2312" w:hAnsi="Times New Roman" w:eastAsia="仿宋_GB2312" w:cs="仿宋_GB2312"/>
                <w:bCs/>
                <w:color w:val="auto"/>
                <w:kern w:val="0"/>
                <w:sz w:val="28"/>
                <w:szCs w:val="28"/>
                <w:lang w:val="en-US" w:eastAsia="zh-CN" w:bidi="ar-SA"/>
              </w:rPr>
              <w:t>0</w:t>
            </w:r>
            <w:r>
              <w:rPr>
                <w:rFonts w:hint="eastAsia" w:ascii="仿宋_GB2312" w:hAnsi="Times New Roman" w:eastAsia="仿宋_GB2312" w:cs="仿宋_GB2312"/>
                <w:bCs/>
                <w:color w:val="auto"/>
                <w:kern w:val="0"/>
                <w:sz w:val="28"/>
                <w:szCs w:val="28"/>
                <w:lang w:val="en-US" w:eastAsia="zh-CN" w:bidi="ar-SA"/>
              </w:rPr>
              <w:t>分）</w:t>
            </w:r>
          </w:p>
        </w:tc>
        <w:tc>
          <w:tcPr>
            <w:tcW w:w="6887" w:type="dxa"/>
            <w:tcBorders>
              <w:top w:val="single" w:color="000000" w:sz="4" w:space="0"/>
              <w:left w:val="single" w:color="000000" w:sz="4" w:space="0"/>
              <w:bottom w:val="single" w:color="000000" w:sz="2"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有效的投标报价中的最低取费百分比为评标基准报价，按照下列公式计算每个投标人的投标价格得分。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投标报价得分＝（评标基准报价/投标报价）×30。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2166" w:hRule="atLeast"/>
          <w:jc w:val="center"/>
        </w:trPr>
        <w:tc>
          <w:tcPr>
            <w:tcW w:w="1044" w:type="dxa"/>
            <w:vMerge w:val="restart"/>
            <w:tcBorders>
              <w:top w:val="single" w:color="000000" w:sz="4" w:space="0"/>
              <w:left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商务评议</w:t>
            </w:r>
            <w:r>
              <w:rPr>
                <w:rFonts w:hint="default" w:ascii="仿宋_GB2312" w:hAnsi="Times New Roman"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4</w:t>
            </w:r>
            <w:r>
              <w:rPr>
                <w:rFonts w:hint="default" w:ascii="仿宋_GB2312" w:hAnsi="Times New Roman" w:eastAsia="仿宋_GB2312" w:cs="仿宋_GB2312"/>
                <w:bCs/>
                <w:color w:val="auto"/>
                <w:kern w:val="0"/>
                <w:sz w:val="28"/>
                <w:szCs w:val="28"/>
                <w:lang w:val="en-US" w:eastAsia="zh-CN" w:bidi="ar-SA"/>
              </w:rPr>
              <w:t>0分）</w:t>
            </w:r>
          </w:p>
        </w:tc>
        <w:tc>
          <w:tcPr>
            <w:tcW w:w="1791" w:type="dxa"/>
            <w:tcBorders>
              <w:top w:val="single" w:color="000000" w:sz="4" w:space="0"/>
              <w:left w:val="single" w:color="000000" w:sz="4" w:space="0"/>
              <w:bottom w:val="single" w:color="000000" w:sz="4" w:space="0"/>
              <w:right w:val="single" w:color="000000" w:sz="2"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综合实力（</w:t>
            </w:r>
            <w:r>
              <w:rPr>
                <w:rFonts w:hint="eastAsia" w:ascii="仿宋_GB2312" w:hAnsi="Times New Roman" w:eastAsia="仿宋_GB2312" w:cs="仿宋_GB2312"/>
                <w:bCs/>
                <w:color w:val="auto"/>
                <w:kern w:val="0"/>
                <w:sz w:val="28"/>
                <w:szCs w:val="28"/>
                <w:lang w:val="en-US" w:eastAsia="zh-CN" w:bidi="ar-SA"/>
              </w:rPr>
              <w:t>15</w:t>
            </w:r>
            <w:r>
              <w:rPr>
                <w:rFonts w:hint="default" w:ascii="仿宋_GB2312" w:hAnsi="Times New Roman" w:eastAsia="仿宋_GB2312" w:cs="仿宋_GB2312"/>
                <w:bCs/>
                <w:color w:val="auto"/>
                <w:kern w:val="0"/>
                <w:sz w:val="28"/>
                <w:szCs w:val="28"/>
                <w:lang w:val="en-US" w:eastAsia="zh-CN" w:bidi="ar-SA"/>
              </w:rPr>
              <w:t>分）</w:t>
            </w:r>
          </w:p>
        </w:tc>
        <w:tc>
          <w:tcPr>
            <w:tcW w:w="6887" w:type="dxa"/>
            <w:tcBorders>
              <w:top w:val="single" w:color="000000" w:sz="4" w:space="0"/>
              <w:left w:val="single" w:color="000000" w:sz="2"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bookmarkStart w:id="2" w:name="_Hlk24029878"/>
            <w:r>
              <w:rPr>
                <w:rFonts w:hint="eastAsia" w:ascii="仿宋_GB2312" w:hAnsi="Times New Roman" w:eastAsia="仿宋_GB2312" w:cs="仿宋_GB2312"/>
                <w:bCs/>
                <w:color w:val="auto"/>
                <w:kern w:val="0"/>
                <w:sz w:val="28"/>
                <w:szCs w:val="28"/>
                <w:lang w:val="en-US" w:eastAsia="zh-CN" w:bidi="ar-SA"/>
              </w:rPr>
              <w:t>1、投标人具备工程咨询资质证书（通信信息专业）甲级的得</w:t>
            </w:r>
            <w:r>
              <w:rPr>
                <w:rFonts w:hint="default" w:ascii="仿宋_GB2312" w:hAnsi="Times New Roman"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分，乙级得1分，其他不得分；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2、投标人具备</w:t>
            </w:r>
            <w:r>
              <w:rPr>
                <w:rFonts w:hint="default" w:ascii="仿宋_GB2312" w:hAnsi="Times New Roman" w:eastAsia="仿宋_GB2312" w:cs="仿宋_GB2312"/>
                <w:bCs/>
                <w:color w:val="auto"/>
                <w:kern w:val="0"/>
                <w:sz w:val="28"/>
                <w:szCs w:val="28"/>
                <w:lang w:val="en-US" w:eastAsia="zh-CN" w:bidi="ar-SA"/>
              </w:rPr>
              <w:t>工程设计资质证书（</w:t>
            </w:r>
            <w:r>
              <w:rPr>
                <w:rFonts w:hint="eastAsia" w:ascii="仿宋_GB2312" w:hAnsi="Times New Roman" w:eastAsia="仿宋_GB2312" w:cs="仿宋_GB2312"/>
                <w:bCs/>
                <w:color w:val="auto"/>
                <w:kern w:val="0"/>
                <w:sz w:val="28"/>
                <w:szCs w:val="28"/>
                <w:lang w:val="en-US" w:eastAsia="zh-CN" w:bidi="ar-SA"/>
              </w:rPr>
              <w:t>电子通信广电行业</w:t>
            </w:r>
            <w:r>
              <w:rPr>
                <w:rFonts w:hint="default" w:ascii="仿宋_GB2312" w:hAnsi="Times New Roman"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甲级的得</w:t>
            </w:r>
            <w:r>
              <w:rPr>
                <w:rFonts w:hint="default" w:ascii="仿宋_GB2312" w:hAnsi="Times New Roman"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分，乙级得1分，其他不得分；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w:t>
            </w:r>
            <w:r>
              <w:rPr>
                <w:rFonts w:hint="default" w:ascii="仿宋_GB2312" w:hAnsi="Times New Roman" w:eastAsia="仿宋_GB2312" w:cs="仿宋_GB2312"/>
                <w:bCs/>
                <w:color w:val="auto"/>
                <w:kern w:val="0"/>
                <w:sz w:val="28"/>
                <w:szCs w:val="28"/>
                <w:lang w:val="en-US" w:eastAsia="zh-CN" w:bidi="ar-SA"/>
              </w:rPr>
              <w:t>投标人具有工程勘察资质证书（工程勘察专业类（工程测量）甲级）资质，得3分，</w:t>
            </w:r>
            <w:r>
              <w:rPr>
                <w:rFonts w:hint="eastAsia" w:ascii="仿宋_GB2312" w:hAnsi="Times New Roman" w:eastAsia="仿宋_GB2312" w:cs="仿宋_GB2312"/>
                <w:bCs/>
                <w:color w:val="auto"/>
                <w:kern w:val="0"/>
                <w:sz w:val="28"/>
                <w:szCs w:val="28"/>
                <w:lang w:val="en-US" w:eastAsia="zh-CN" w:bidi="ar-SA"/>
              </w:rPr>
              <w:t>乙级得1分，</w:t>
            </w:r>
            <w:r>
              <w:rPr>
                <w:rFonts w:hint="default" w:ascii="仿宋_GB2312" w:hAnsi="Times New Roman" w:eastAsia="仿宋_GB2312" w:cs="仿宋_GB2312"/>
                <w:bCs/>
                <w:color w:val="auto"/>
                <w:kern w:val="0"/>
                <w:sz w:val="28"/>
                <w:szCs w:val="28"/>
                <w:lang w:val="en-US" w:eastAsia="zh-CN" w:bidi="ar-SA"/>
              </w:rPr>
              <w:t>没有的不得分；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4、投标人具有信息系统集成及服务资质证书（贰级或以上），满足得3分，不满足不得分；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5、投标人具有能力成熟度集成模型（CMMI）5级，满足得3分，不满足不得分。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（提供复印件并加盖公章）</w:t>
            </w:r>
            <w:bookmarkEnd w:id="2"/>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1825" w:hRule="atLeast"/>
          <w:jc w:val="center"/>
        </w:trPr>
        <w:tc>
          <w:tcPr>
            <w:tcW w:w="1044" w:type="dxa"/>
            <w:vMerge w:val="continue"/>
            <w:tcBorders>
              <w:left w:val="single" w:color="000000" w:sz="4" w:space="0"/>
              <w:right w:val="single" w:color="000000" w:sz="4" w:space="0"/>
            </w:tcBorders>
            <w:shd w:val="clear" w:color="auto" w:fill="FFFFFF" w:themeFill="background1"/>
            <w:noWrap w:val="0"/>
            <w:vAlign w:val="top"/>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2"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企业业绩（</w:t>
            </w:r>
            <w:r>
              <w:rPr>
                <w:rFonts w:hint="eastAsia" w:ascii="仿宋_GB2312" w:hAnsi="Times New Roman" w:eastAsia="仿宋_GB2312" w:cs="仿宋_GB2312"/>
                <w:bCs/>
                <w:color w:val="auto"/>
                <w:kern w:val="0"/>
                <w:sz w:val="28"/>
                <w:szCs w:val="28"/>
                <w:lang w:val="en-US" w:eastAsia="zh-CN" w:bidi="ar-SA"/>
              </w:rPr>
              <w:t>5</w:t>
            </w:r>
            <w:r>
              <w:rPr>
                <w:rFonts w:hint="default" w:ascii="仿宋_GB2312" w:hAnsi="Times New Roman" w:eastAsia="仿宋_GB2312" w:cs="仿宋_GB2312"/>
                <w:bCs/>
                <w:color w:val="auto"/>
                <w:kern w:val="0"/>
                <w:sz w:val="28"/>
                <w:szCs w:val="28"/>
                <w:lang w:val="en-US" w:eastAsia="zh-CN" w:bidi="ar-SA"/>
              </w:rPr>
              <w:t>分）</w:t>
            </w:r>
          </w:p>
        </w:tc>
        <w:tc>
          <w:tcPr>
            <w:tcW w:w="6887" w:type="dxa"/>
            <w:tcBorders>
              <w:top w:val="single" w:color="000000" w:sz="4" w:space="0"/>
              <w:left w:val="single" w:color="000000" w:sz="2"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bookmarkStart w:id="3" w:name="_Hlk24030190"/>
            <w:r>
              <w:rPr>
                <w:rFonts w:hint="default" w:ascii="仿宋_GB2312" w:hAnsi="Times New Roman" w:eastAsia="仿宋_GB2312" w:cs="仿宋_GB2312"/>
                <w:bCs/>
                <w:color w:val="auto"/>
                <w:kern w:val="0"/>
                <w:sz w:val="28"/>
                <w:szCs w:val="28"/>
                <w:lang w:val="en-US" w:eastAsia="zh-CN" w:bidi="ar-SA"/>
              </w:rPr>
              <w:t>投标人提供近三年内(</w:t>
            </w:r>
            <w:r>
              <w:rPr>
                <w:rFonts w:hint="eastAsia" w:ascii="仿宋_GB2312" w:hAnsi="Times New Roman" w:eastAsia="仿宋_GB2312" w:cs="仿宋_GB2312"/>
                <w:bCs/>
                <w:color w:val="auto"/>
                <w:kern w:val="0"/>
                <w:sz w:val="28"/>
                <w:szCs w:val="28"/>
                <w:lang w:val="en-US" w:eastAsia="zh-CN" w:bidi="ar-SA"/>
              </w:rPr>
              <w:t>自</w:t>
            </w:r>
            <w:r>
              <w:rPr>
                <w:rFonts w:hint="default" w:ascii="仿宋_GB2312" w:hAnsi="Times New Roman" w:eastAsia="仿宋_GB2312" w:cs="仿宋_GB2312"/>
                <w:bCs/>
                <w:color w:val="auto"/>
                <w:kern w:val="0"/>
                <w:sz w:val="28"/>
                <w:szCs w:val="28"/>
                <w:lang w:val="en-US" w:eastAsia="zh-CN" w:bidi="ar-SA"/>
              </w:rPr>
              <w:t>20</w:t>
            </w:r>
            <w:r>
              <w:rPr>
                <w:rFonts w:hint="eastAsia" w:ascii="仿宋_GB2312" w:hAnsi="Times New Roman" w:eastAsia="仿宋_GB2312" w:cs="仿宋_GB2312"/>
                <w:bCs/>
                <w:color w:val="auto"/>
                <w:kern w:val="0"/>
                <w:sz w:val="28"/>
                <w:szCs w:val="28"/>
                <w:lang w:val="en-US" w:eastAsia="zh-CN" w:bidi="ar-SA"/>
              </w:rPr>
              <w:t>20</w:t>
            </w:r>
            <w:r>
              <w:rPr>
                <w:rFonts w:hint="default" w:ascii="仿宋_GB2312" w:hAnsi="Times New Roman" w:eastAsia="仿宋_GB2312" w:cs="仿宋_GB2312"/>
                <w:bCs/>
                <w:color w:val="auto"/>
                <w:kern w:val="0"/>
                <w:sz w:val="28"/>
                <w:szCs w:val="28"/>
                <w:lang w:val="en-US" w:eastAsia="zh-CN" w:bidi="ar-SA"/>
              </w:rPr>
              <w:t>年</w:t>
            </w:r>
            <w:r>
              <w:rPr>
                <w:rFonts w:hint="eastAsia" w:ascii="仿宋_GB2312" w:hAnsi="Times New Roman" w:eastAsia="仿宋_GB2312" w:cs="仿宋_GB2312"/>
                <w:bCs/>
                <w:color w:val="auto"/>
                <w:kern w:val="0"/>
                <w:sz w:val="28"/>
                <w:szCs w:val="28"/>
                <w:lang w:val="en-US" w:eastAsia="zh-CN" w:bidi="ar-SA"/>
              </w:rPr>
              <w:t>7</w:t>
            </w:r>
            <w:r>
              <w:rPr>
                <w:rFonts w:hint="default" w:ascii="仿宋_GB2312" w:hAnsi="Times New Roman" w:eastAsia="仿宋_GB2312" w:cs="仿宋_GB2312"/>
                <w:bCs/>
                <w:color w:val="auto"/>
                <w:kern w:val="0"/>
                <w:sz w:val="28"/>
                <w:szCs w:val="28"/>
                <w:lang w:val="en-US" w:eastAsia="zh-CN" w:bidi="ar-SA"/>
              </w:rPr>
              <w:t>月</w:t>
            </w:r>
            <w:r>
              <w:rPr>
                <w:rFonts w:hint="eastAsia" w:ascii="仿宋_GB2312" w:hAnsi="Times New Roman" w:eastAsia="仿宋_GB2312" w:cs="仿宋_GB2312"/>
                <w:bCs/>
                <w:color w:val="auto"/>
                <w:kern w:val="0"/>
                <w:sz w:val="28"/>
                <w:szCs w:val="28"/>
                <w:lang w:val="en-US" w:eastAsia="zh-CN" w:bidi="ar-SA"/>
              </w:rPr>
              <w:t>1日</w:t>
            </w:r>
            <w:r>
              <w:rPr>
                <w:rFonts w:hint="default" w:ascii="仿宋_GB2312" w:hAnsi="Times New Roman" w:eastAsia="仿宋_GB2312" w:cs="仿宋_GB2312"/>
                <w:bCs/>
                <w:color w:val="auto"/>
                <w:kern w:val="0"/>
                <w:sz w:val="28"/>
                <w:szCs w:val="28"/>
                <w:lang w:val="en-US" w:eastAsia="zh-CN" w:bidi="ar-SA"/>
              </w:rPr>
              <w:t>以来)完成过的</w:t>
            </w:r>
            <w:r>
              <w:rPr>
                <w:rFonts w:hint="eastAsia" w:ascii="仿宋_GB2312" w:hAnsi="Times New Roman" w:eastAsia="仿宋_GB2312" w:cs="仿宋_GB2312"/>
                <w:bCs/>
                <w:color w:val="auto"/>
                <w:kern w:val="0"/>
                <w:sz w:val="28"/>
                <w:szCs w:val="28"/>
                <w:lang w:val="en-US" w:eastAsia="zh-CN" w:bidi="ar-SA"/>
              </w:rPr>
              <w:t>类似</w:t>
            </w:r>
            <w:r>
              <w:rPr>
                <w:rFonts w:hint="default" w:ascii="仿宋_GB2312" w:hAnsi="Times New Roman" w:eastAsia="仿宋_GB2312" w:cs="仿宋_GB2312"/>
                <w:bCs/>
                <w:color w:val="auto"/>
                <w:kern w:val="0"/>
                <w:sz w:val="28"/>
                <w:szCs w:val="28"/>
                <w:lang w:val="en-US" w:eastAsia="zh-CN" w:bidi="ar-SA"/>
              </w:rPr>
              <w:t>信息化、智能化咨询设计项目，</w:t>
            </w:r>
            <w:bookmarkEnd w:id="3"/>
            <w:r>
              <w:rPr>
                <w:rFonts w:hint="default" w:ascii="仿宋_GB2312" w:hAnsi="Times New Roman" w:eastAsia="仿宋_GB2312" w:cs="仿宋_GB2312"/>
                <w:bCs/>
                <w:color w:val="auto"/>
                <w:kern w:val="0"/>
                <w:sz w:val="28"/>
                <w:szCs w:val="28"/>
                <w:lang w:val="en-US" w:eastAsia="zh-CN" w:bidi="ar-SA"/>
              </w:rPr>
              <w:t>每提供1个，得</w:t>
            </w:r>
            <w:r>
              <w:rPr>
                <w:rFonts w:hint="eastAsia" w:ascii="仿宋_GB2312" w:hAnsi="Times New Roman" w:eastAsia="仿宋_GB2312" w:cs="仿宋_GB2312"/>
                <w:bCs/>
                <w:color w:val="auto"/>
                <w:kern w:val="0"/>
                <w:sz w:val="28"/>
                <w:szCs w:val="28"/>
                <w:lang w:val="en-US" w:eastAsia="zh-CN" w:bidi="ar-SA"/>
              </w:rPr>
              <w:t>1</w:t>
            </w:r>
            <w:r>
              <w:rPr>
                <w:rFonts w:hint="default" w:ascii="仿宋_GB2312" w:hAnsi="Times New Roman" w:eastAsia="仿宋_GB2312" w:cs="仿宋_GB2312"/>
                <w:bCs/>
                <w:color w:val="auto"/>
                <w:kern w:val="0"/>
                <w:sz w:val="28"/>
                <w:szCs w:val="28"/>
                <w:lang w:val="en-US" w:eastAsia="zh-CN" w:bidi="ar-SA"/>
              </w:rPr>
              <w:t>分，最高得</w:t>
            </w:r>
            <w:r>
              <w:rPr>
                <w:rFonts w:hint="eastAsia" w:ascii="仿宋_GB2312" w:hAnsi="Times New Roman" w:eastAsia="仿宋_GB2312" w:cs="仿宋_GB2312"/>
                <w:bCs/>
                <w:color w:val="auto"/>
                <w:kern w:val="0"/>
                <w:sz w:val="28"/>
                <w:szCs w:val="28"/>
                <w:lang w:val="en-US" w:eastAsia="zh-CN" w:bidi="ar-SA"/>
              </w:rPr>
              <w:t>5</w:t>
            </w:r>
            <w:r>
              <w:rPr>
                <w:rFonts w:hint="default" w:ascii="仿宋_GB2312" w:hAnsi="Times New Roman" w:eastAsia="仿宋_GB2312" w:cs="仿宋_GB2312"/>
                <w:bCs/>
                <w:color w:val="auto"/>
                <w:kern w:val="0"/>
                <w:sz w:val="28"/>
                <w:szCs w:val="28"/>
                <w:lang w:val="en-US" w:eastAsia="zh-CN" w:bidi="ar-SA"/>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3171" w:hRule="atLeast"/>
          <w:jc w:val="center"/>
        </w:trPr>
        <w:tc>
          <w:tcPr>
            <w:tcW w:w="1044" w:type="dxa"/>
            <w:vMerge w:val="continue"/>
            <w:tcBorders>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技术力量（</w:t>
            </w:r>
            <w:r>
              <w:rPr>
                <w:rFonts w:hint="eastAsia" w:ascii="仿宋_GB2312" w:hAnsi="Times New Roman" w:eastAsia="仿宋_GB2312" w:cs="仿宋_GB2312"/>
                <w:bCs/>
                <w:color w:val="auto"/>
                <w:kern w:val="0"/>
                <w:sz w:val="28"/>
                <w:szCs w:val="28"/>
                <w:lang w:val="en-US" w:eastAsia="zh-CN" w:bidi="ar-SA"/>
              </w:rPr>
              <w:t>20</w:t>
            </w:r>
            <w:r>
              <w:rPr>
                <w:rFonts w:hint="default" w:ascii="仿宋_GB2312" w:hAnsi="Times New Roman" w:eastAsia="仿宋_GB2312" w:cs="仿宋_GB2312"/>
                <w:bCs/>
                <w:color w:val="auto"/>
                <w:kern w:val="0"/>
                <w:sz w:val="28"/>
                <w:szCs w:val="28"/>
                <w:lang w:val="en-US" w:eastAsia="zh-CN" w:bidi="ar-SA"/>
              </w:rPr>
              <w:t>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（一）拟派项目负责人需要同时具备:</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1、理工科类全日制研究生学历；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2、注册咨询工程师（投资）（通信信息专业）；</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3、电子技术或通信信息类高级工程师职称(教授级)；</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4、高级项目经理（中国电子信息行业联合会颁发）证书；</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5、在信息化行业获得过部级或国家级荣誉证书;</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满足1项得1分，最多得5分。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（二）拟派技术负责人需要同时具备：</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1、具有硕士学位证书；</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2、注册造价工程师；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3、一级注册建造师；</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4、注册咨询工程师（投资）（通信信息专业）；</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5、电子技术或通信信息类高级工程师职称。</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满足1项得1分，最多得5分。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（三）项目团队成员（不含项目负责人及技术负责人）</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1、同时具有信息安全保障人员认证（</w:t>
            </w:r>
            <w:r>
              <w:rPr>
                <w:rFonts w:hint="default" w:ascii="仿宋_GB2312" w:hAnsi="Times New Roman" w:eastAsia="仿宋_GB2312" w:cs="仿宋_GB2312"/>
                <w:bCs/>
                <w:color w:val="auto"/>
                <w:kern w:val="0"/>
                <w:sz w:val="28"/>
                <w:szCs w:val="28"/>
                <w:lang w:val="en-US" w:eastAsia="zh-CN" w:bidi="ar-SA"/>
              </w:rPr>
              <w:t>CISAW）证书、电子技术或通信信息类高级工程师职称、高级项目经理的、一级建造师的，得</w:t>
            </w:r>
            <w:r>
              <w:rPr>
                <w:rFonts w:hint="eastAsia" w:ascii="仿宋_GB2312" w:hAnsi="Times New Roman" w:eastAsia="仿宋_GB2312" w:cs="仿宋_GB2312"/>
                <w:bCs/>
                <w:color w:val="auto"/>
                <w:kern w:val="0"/>
                <w:sz w:val="28"/>
                <w:szCs w:val="28"/>
                <w:lang w:val="en-US" w:eastAsia="zh-CN" w:bidi="ar-SA"/>
              </w:rPr>
              <w:t>2分，最多得4分；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2、同时具有信息安全保障人员认证（</w:t>
            </w:r>
            <w:r>
              <w:rPr>
                <w:rFonts w:hint="default" w:ascii="仿宋_GB2312" w:hAnsi="Times New Roman" w:eastAsia="仿宋_GB2312" w:cs="仿宋_GB2312"/>
                <w:bCs/>
                <w:color w:val="auto"/>
                <w:kern w:val="0"/>
                <w:sz w:val="28"/>
                <w:szCs w:val="28"/>
                <w:lang w:val="en-US" w:eastAsia="zh-CN" w:bidi="ar-SA"/>
              </w:rPr>
              <w:t>CISAW）证书，电子技术或通信信息类高级工程师职称、高级项目经理的，得</w:t>
            </w:r>
            <w:r>
              <w:rPr>
                <w:rFonts w:hint="eastAsia" w:ascii="仿宋_GB2312" w:hAnsi="Times New Roman" w:eastAsia="仿宋_GB2312" w:cs="仿宋_GB2312"/>
                <w:bCs/>
                <w:color w:val="auto"/>
                <w:kern w:val="0"/>
                <w:sz w:val="28"/>
                <w:szCs w:val="28"/>
                <w:lang w:val="en-US" w:eastAsia="zh-CN" w:bidi="ar-SA"/>
              </w:rPr>
              <w:t>1分，最多得3分；</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3、具有信</w:t>
            </w:r>
            <w:r>
              <w:rPr>
                <w:rFonts w:hint="default" w:ascii="仿宋_GB2312" w:hAnsi="Times New Roman" w:eastAsia="仿宋_GB2312" w:cs="仿宋_GB2312"/>
                <w:bCs/>
                <w:color w:val="auto"/>
                <w:kern w:val="0"/>
                <w:sz w:val="28"/>
                <w:szCs w:val="28"/>
                <w:lang w:val="en-US" w:eastAsia="zh-CN" w:bidi="ar-SA"/>
              </w:rPr>
              <w:t>电子技术或通信信息类高级工程师职称（教授级），每人加</w:t>
            </w:r>
            <w:r>
              <w:rPr>
                <w:rFonts w:hint="eastAsia" w:ascii="仿宋_GB2312" w:hAnsi="Times New Roman" w:eastAsia="仿宋_GB2312" w:cs="仿宋_GB2312"/>
                <w:bCs/>
                <w:color w:val="auto"/>
                <w:kern w:val="0"/>
                <w:sz w:val="28"/>
                <w:szCs w:val="28"/>
                <w:lang w:val="en-US" w:eastAsia="zh-CN" w:bidi="ar-SA"/>
              </w:rPr>
              <w:t>1</w:t>
            </w:r>
            <w:r>
              <w:rPr>
                <w:rFonts w:hint="default" w:ascii="仿宋_GB2312" w:hAnsi="Times New Roman" w:eastAsia="仿宋_GB2312" w:cs="仿宋_GB2312"/>
                <w:bCs/>
                <w:color w:val="auto"/>
                <w:kern w:val="0"/>
                <w:sz w:val="28"/>
                <w:szCs w:val="28"/>
                <w:lang w:val="en-US" w:eastAsia="zh-CN" w:bidi="ar-SA"/>
              </w:rPr>
              <w:t>分，最多得</w:t>
            </w:r>
            <w:r>
              <w:rPr>
                <w:rFonts w:hint="eastAsia" w:ascii="仿宋_GB2312" w:hAnsi="Times New Roman" w:eastAsia="仿宋_GB2312" w:cs="仿宋_GB2312"/>
                <w:bCs/>
                <w:color w:val="auto"/>
                <w:kern w:val="0"/>
                <w:sz w:val="28"/>
                <w:szCs w:val="28"/>
                <w:lang w:val="en-US" w:eastAsia="zh-CN" w:bidi="ar-SA"/>
              </w:rPr>
              <w:t>2分；</w:t>
            </w:r>
          </w:p>
          <w:p>
            <w:pPr>
              <w:spacing w:line="360" w:lineRule="auto"/>
              <w:ind w:firstLine="560" w:firstLineChars="200"/>
              <w:rPr>
                <w:rFonts w:hint="default" w:ascii="仿宋_GB2312" w:hAnsi="Times New Roman" w:eastAsia="仿宋_GB2312" w:cs="仿宋_GB2312"/>
                <w:bCs/>
                <w:color w:val="auto"/>
                <w:kern w:val="0"/>
                <w:sz w:val="28"/>
                <w:szCs w:val="28"/>
                <w:lang w:val="zh-CN" w:eastAsia="zh-CN" w:bidi="ar-SA"/>
              </w:rPr>
            </w:pPr>
            <w:r>
              <w:rPr>
                <w:rFonts w:hint="eastAsia" w:ascii="仿宋_GB2312" w:hAnsi="Times New Roman" w:eastAsia="仿宋_GB2312" w:cs="仿宋_GB2312"/>
                <w:bCs/>
                <w:color w:val="auto"/>
                <w:kern w:val="0"/>
                <w:sz w:val="28"/>
                <w:szCs w:val="28"/>
                <w:lang w:val="zh-CN" w:eastAsia="zh-CN" w:bidi="ar-SA"/>
              </w:rPr>
              <w:t>4、同时具有</w:t>
            </w:r>
            <w:r>
              <w:rPr>
                <w:rFonts w:hint="default" w:ascii="仿宋_GB2312" w:hAnsi="Times New Roman" w:eastAsia="仿宋_GB2312" w:cs="仿宋_GB2312"/>
                <w:bCs/>
                <w:color w:val="auto"/>
                <w:kern w:val="0"/>
                <w:sz w:val="28"/>
                <w:szCs w:val="28"/>
                <w:lang w:val="zh-CN" w:eastAsia="zh-CN" w:bidi="ar-SA"/>
              </w:rPr>
              <w:t>电子技术或通信信息类高级工程师职称及</w:t>
            </w:r>
            <w:r>
              <w:rPr>
                <w:rFonts w:hint="eastAsia" w:ascii="仿宋_GB2312" w:hAnsi="Times New Roman" w:eastAsia="仿宋_GB2312" w:cs="仿宋_GB2312"/>
                <w:bCs/>
                <w:color w:val="auto"/>
                <w:kern w:val="0"/>
                <w:sz w:val="28"/>
                <w:szCs w:val="28"/>
                <w:lang w:val="zh-CN" w:eastAsia="zh-CN" w:bidi="ar-SA"/>
              </w:rPr>
              <w:t>PMP证书得1分，最多得1分；</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以上须提供相关人员职称、近三个月以上的社保缴纳情况等证明</w:t>
            </w:r>
            <w:r>
              <w:rPr>
                <w:rFonts w:hint="eastAsia" w:ascii="仿宋_GB2312" w:hAnsi="Times New Roman" w:eastAsia="仿宋_GB2312" w:cs="仿宋_GB2312"/>
                <w:bCs/>
                <w:color w:val="auto"/>
                <w:kern w:val="0"/>
                <w:sz w:val="28"/>
                <w:szCs w:val="28"/>
                <w:lang w:val="en-US" w:eastAsia="zh-CN" w:bidi="ar-SA"/>
              </w:rPr>
              <w:t>文件扫描件并加盖公章</w:t>
            </w:r>
            <w:r>
              <w:rPr>
                <w:rFonts w:hint="default" w:ascii="仿宋_GB2312" w:hAnsi="Times New Roman" w:eastAsia="仿宋_GB2312" w:cs="仿宋_GB2312"/>
                <w:bCs/>
                <w:color w:val="auto"/>
                <w:kern w:val="0"/>
                <w:sz w:val="28"/>
                <w:szCs w:val="28"/>
                <w:lang w:val="en-US" w:eastAsia="zh-CN" w:bidi="ar-SA"/>
              </w:rPr>
              <w:t>，否则不得分。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906" w:hRule="atLeast"/>
          <w:jc w:val="center"/>
        </w:trPr>
        <w:tc>
          <w:tcPr>
            <w:tcW w:w="1044" w:type="dxa"/>
            <w:vMerge w:val="restart"/>
            <w:tcBorders>
              <w:top w:val="single" w:color="000000" w:sz="4" w:space="0"/>
              <w:left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技术评议（3</w:t>
            </w:r>
            <w:r>
              <w:rPr>
                <w:rFonts w:hint="default" w:ascii="仿宋_GB2312" w:hAnsi="Times New Roman" w:eastAsia="仿宋_GB2312" w:cs="仿宋_GB2312"/>
                <w:bCs/>
                <w:color w:val="auto"/>
                <w:kern w:val="0"/>
                <w:sz w:val="28"/>
                <w:szCs w:val="28"/>
                <w:lang w:val="en-US" w:eastAsia="zh-CN" w:bidi="ar-SA"/>
              </w:rPr>
              <w:t>0</w:t>
            </w:r>
            <w:r>
              <w:rPr>
                <w:rFonts w:hint="eastAsia" w:ascii="仿宋_GB2312" w:hAnsi="Times New Roman" w:eastAsia="仿宋_GB2312" w:cs="仿宋_GB2312"/>
                <w:bCs/>
                <w:color w:val="auto"/>
                <w:kern w:val="0"/>
                <w:sz w:val="28"/>
                <w:szCs w:val="28"/>
                <w:lang w:val="en-US" w:eastAsia="zh-CN" w:bidi="ar-SA"/>
              </w:rPr>
              <w:t>分）</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设计工作的重点难点分析与解决（5分）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文字简洁、简明扼要、阐述清晰、论述合理。对本项目的重点、难点的分析全面、确切，重点突出，对策针对性强。（优秀的得4-5分，良好的得2-3分，一般的得0-1分）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906" w:hRule="atLeast"/>
          <w:jc w:val="center"/>
        </w:trPr>
        <w:tc>
          <w:tcPr>
            <w:tcW w:w="1044" w:type="dxa"/>
            <w:vMerge w:val="continue"/>
            <w:tcBorders>
              <w:left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质量保证措施（5分）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投标人建立项目负责人质量责任制，各部室分工、职责明确，不同专业协调有序，并建立严格、高效的内审制度；制定了向招标人提供优质服务的组织保证措施。（优秀的得4-5分，良好的得2-3分，一般的得0-1分）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906" w:hRule="atLeast"/>
          <w:jc w:val="center"/>
        </w:trPr>
        <w:tc>
          <w:tcPr>
            <w:tcW w:w="1044" w:type="dxa"/>
            <w:vMerge w:val="continue"/>
            <w:tcBorders>
              <w:left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项目进度安排（5分）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根据投标人所提出的保证设计进度措施的科学性、可行性进行评分。（优秀的得4-5分，良好的得2-3分，一般的得0-1分）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71" w:hRule="atLeast"/>
          <w:jc w:val="center"/>
        </w:trPr>
        <w:tc>
          <w:tcPr>
            <w:tcW w:w="1044" w:type="dxa"/>
            <w:vMerge w:val="continue"/>
            <w:tcBorders>
              <w:left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投资控制措施（5分）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根据</w:t>
            </w:r>
            <w:bookmarkStart w:id="7" w:name="_GoBack"/>
            <w:bookmarkEnd w:id="7"/>
            <w:r>
              <w:rPr>
                <w:rFonts w:hint="eastAsia" w:ascii="仿宋_GB2312" w:hAnsi="Times New Roman" w:eastAsia="仿宋_GB2312" w:cs="仿宋_GB2312"/>
                <w:bCs/>
                <w:color w:val="auto"/>
                <w:kern w:val="0"/>
                <w:sz w:val="28"/>
                <w:szCs w:val="28"/>
                <w:lang w:val="en-US" w:eastAsia="zh-CN" w:bidi="ar-SA"/>
              </w:rPr>
              <w:t>投标人所提出的限额设计、投资控制措施的科学性、可行性进行评分。（优秀的得4-5分，良好的得2-3分，一般的得0-1分）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6" w:hRule="atLeast"/>
          <w:jc w:val="center"/>
        </w:trPr>
        <w:tc>
          <w:tcPr>
            <w:tcW w:w="1044" w:type="dxa"/>
            <w:vMerge w:val="continue"/>
            <w:tcBorders>
              <w:left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设计后续服务（5分）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人员安排满足招标文件要求，项目实施期间，承诺按甲方要求现场派驻各专业设计代表，现场遇到的问题能及时解决、服务承诺、保障措施、后续服务响应时间等。（优秀的得4-5分，良好的得2-3分，一般的得0-1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94" w:hRule="atLeast"/>
          <w:jc w:val="center"/>
        </w:trPr>
        <w:tc>
          <w:tcPr>
            <w:tcW w:w="1044" w:type="dxa"/>
            <w:vMerge w:val="continue"/>
            <w:tcBorders>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ind w:firstLine="560" w:firstLineChars="200"/>
              <w:jc w:val="center"/>
              <w:rPr>
                <w:rFonts w:hint="default" w:ascii="仿宋_GB2312" w:hAnsi="Times New Roman" w:eastAsia="仿宋_GB2312" w:cs="仿宋_GB2312"/>
                <w:bCs/>
                <w:color w:val="auto"/>
                <w:kern w:val="0"/>
                <w:sz w:val="28"/>
                <w:szCs w:val="28"/>
                <w:lang w:val="en-US" w:eastAsia="zh-CN" w:bidi="ar-SA"/>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合理化建议（5分）</w:t>
            </w:r>
          </w:p>
        </w:tc>
        <w:tc>
          <w:tcPr>
            <w:tcW w:w="68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80" w:type="dxa"/>
              <w:left w:w="80" w:type="dxa"/>
              <w:bottom w:w="80" w:type="dxa"/>
              <w:right w:w="80" w:type="dxa"/>
            </w:tcMar>
            <w:vAlign w:val="center"/>
          </w:tcPr>
          <w:p>
            <w:pPr>
              <w:spacing w:line="360" w:lineRule="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针对项目的特点，提出合理化建议，且切实可行，酌情评分,满分5分。</w:t>
            </w:r>
          </w:p>
        </w:tc>
      </w:tr>
    </w:tbl>
    <w:p>
      <w:pPr>
        <w:pStyle w:val="22"/>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2"/>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22"/>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3"/>
        <w:numPr>
          <w:ilvl w:val="0"/>
          <w:numId w:val="3"/>
        </w:numPr>
        <w:spacing w:line="240" w:lineRule="auto"/>
        <w:ind w:firstLine="2409" w:firstLineChars="80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   </w:t>
      </w:r>
      <w:bookmarkEnd w:id="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3"/>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2"/>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2"/>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17"/>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76514128"/>
      <w:bookmarkStart w:id="6" w:name="_Toc486424819"/>
    </w:p>
    <w:p>
      <w:pPr>
        <w:spacing w:before="120" w:beforeLines="50" w:after="120" w:afterLines="50" w:line="276" w:lineRule="auto"/>
        <w:jc w:val="center"/>
        <w:rPr>
          <w:rFonts w:hint="eastAsia" w:eastAsia="宋体"/>
          <w:b/>
          <w:color w:val="auto"/>
          <w:sz w:val="24"/>
          <w:lang w:eastAsia="zh-CN"/>
        </w:rPr>
      </w:pPr>
      <w:r>
        <w:rPr>
          <w:rFonts w:hint="eastAsia"/>
          <w:b/>
          <w:color w:val="auto"/>
          <w:sz w:val="24"/>
          <w:lang w:eastAsia="zh-CN"/>
        </w:rPr>
        <w:t>技术参数</w:t>
      </w:r>
      <w:r>
        <w:rPr>
          <w:b/>
          <w:color w:val="auto"/>
          <w:sz w:val="24"/>
        </w:rPr>
        <w:t>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w:t>
      </w:r>
      <w:r>
        <w:rPr>
          <w:rFonts w:hint="eastAsia"/>
          <w:color w:val="auto"/>
          <w:sz w:val="24"/>
          <w:lang w:eastAsia="zh-CN"/>
        </w:rPr>
        <w:t>技术参数</w:t>
      </w:r>
      <w:r>
        <w:rPr>
          <w:color w:val="auto"/>
          <w:sz w:val="24"/>
        </w:rPr>
        <w:t>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lang w:eastAsia="zh-CN"/>
        </w:rPr>
        <w:t>投标人应根据按第二章技术参数要求提供材料</w:t>
      </w:r>
      <w:r>
        <w:rPr>
          <w:color w:val="auto"/>
          <w:sz w:val="24"/>
        </w:rPr>
        <w:t>；</w:t>
      </w:r>
    </w:p>
    <w:bookmarkEnd w:id="5"/>
    <w:bookmarkEnd w:id="6"/>
    <w:p>
      <w:pPr>
        <w:pStyle w:val="24"/>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4"/>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pStyle w:val="22"/>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val="0"/>
          <w:bCs w:val="0"/>
          <w:color w:val="auto"/>
          <w:kern w:val="2"/>
          <w:sz w:val="24"/>
          <w:szCs w:val="24"/>
          <w:lang w:val="en-US" w:eastAsia="zh-CN" w:bidi="ar-SA"/>
        </w:rPr>
        <w:t>备注：根据第三章《评标方法及标准》—综合评分表—记分因素要求，提供材料</w:t>
      </w: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02EFC72A"/>
    <w:multiLevelType w:val="singleLevel"/>
    <w:tmpl w:val="02EFC72A"/>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5A6308"/>
    <w:rsid w:val="01F46B7E"/>
    <w:rsid w:val="031F1550"/>
    <w:rsid w:val="05C158E1"/>
    <w:rsid w:val="05F82956"/>
    <w:rsid w:val="0A353CFA"/>
    <w:rsid w:val="11B10467"/>
    <w:rsid w:val="13D629EB"/>
    <w:rsid w:val="14445C30"/>
    <w:rsid w:val="14CC3700"/>
    <w:rsid w:val="16F4191A"/>
    <w:rsid w:val="170765E3"/>
    <w:rsid w:val="1B3E075A"/>
    <w:rsid w:val="1B4771CA"/>
    <w:rsid w:val="1BAF1957"/>
    <w:rsid w:val="1DD309C6"/>
    <w:rsid w:val="1E3769B5"/>
    <w:rsid w:val="1FCB6322"/>
    <w:rsid w:val="220C0AAE"/>
    <w:rsid w:val="288F47AC"/>
    <w:rsid w:val="29197D6C"/>
    <w:rsid w:val="297D330E"/>
    <w:rsid w:val="2DDD65C8"/>
    <w:rsid w:val="2E4C6453"/>
    <w:rsid w:val="2F663737"/>
    <w:rsid w:val="30335E85"/>
    <w:rsid w:val="30D86127"/>
    <w:rsid w:val="313A0B83"/>
    <w:rsid w:val="31A90E65"/>
    <w:rsid w:val="31ED215A"/>
    <w:rsid w:val="35891A89"/>
    <w:rsid w:val="38ED2FFD"/>
    <w:rsid w:val="393154FD"/>
    <w:rsid w:val="3A463784"/>
    <w:rsid w:val="3B3D56E7"/>
    <w:rsid w:val="3CFE6D4B"/>
    <w:rsid w:val="3D137AAD"/>
    <w:rsid w:val="3FB94CE6"/>
    <w:rsid w:val="41E0182A"/>
    <w:rsid w:val="430E325A"/>
    <w:rsid w:val="436E009A"/>
    <w:rsid w:val="447C0951"/>
    <w:rsid w:val="44C42547"/>
    <w:rsid w:val="475F516A"/>
    <w:rsid w:val="47AD2966"/>
    <w:rsid w:val="49EE5740"/>
    <w:rsid w:val="4A6B2312"/>
    <w:rsid w:val="4AFF5220"/>
    <w:rsid w:val="4BF81337"/>
    <w:rsid w:val="4C4362B9"/>
    <w:rsid w:val="4DF664F9"/>
    <w:rsid w:val="4F497B3F"/>
    <w:rsid w:val="4FB9378A"/>
    <w:rsid w:val="50667E32"/>
    <w:rsid w:val="554650CA"/>
    <w:rsid w:val="58814206"/>
    <w:rsid w:val="59B13512"/>
    <w:rsid w:val="5A1347AA"/>
    <w:rsid w:val="5A373F0B"/>
    <w:rsid w:val="5ACE7924"/>
    <w:rsid w:val="5B636922"/>
    <w:rsid w:val="5C5B31B8"/>
    <w:rsid w:val="60855BA0"/>
    <w:rsid w:val="60B7172C"/>
    <w:rsid w:val="614C3706"/>
    <w:rsid w:val="622D6E46"/>
    <w:rsid w:val="62F74BC1"/>
    <w:rsid w:val="6359190F"/>
    <w:rsid w:val="64620964"/>
    <w:rsid w:val="664909F8"/>
    <w:rsid w:val="6946276E"/>
    <w:rsid w:val="6A1039F0"/>
    <w:rsid w:val="6BFB188F"/>
    <w:rsid w:val="6C19060A"/>
    <w:rsid w:val="6E516DEE"/>
    <w:rsid w:val="70E07E96"/>
    <w:rsid w:val="70F75613"/>
    <w:rsid w:val="72C90042"/>
    <w:rsid w:val="74B775E4"/>
    <w:rsid w:val="76FA0E2C"/>
    <w:rsid w:val="771D5F37"/>
    <w:rsid w:val="77D325D4"/>
    <w:rsid w:val="78494F8F"/>
    <w:rsid w:val="79514BB9"/>
    <w:rsid w:val="7B24497A"/>
    <w:rsid w:val="7C2A408E"/>
    <w:rsid w:val="7D815D5C"/>
    <w:rsid w:val="7DF11218"/>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annotation text"/>
    <w:basedOn w:val="1"/>
    <w:qFormat/>
    <w:uiPriority w:val="0"/>
    <w:pPr>
      <w:jc w:val="left"/>
    </w:pPr>
  </w:style>
  <w:style w:type="paragraph" w:styleId="9">
    <w:name w:val="Body Text"/>
    <w:basedOn w:val="1"/>
    <w:unhideWhenUsed/>
    <w:qFormat/>
    <w:uiPriority w:val="99"/>
    <w:pPr>
      <w:spacing w:after="120"/>
    </w:pPr>
  </w:style>
  <w:style w:type="paragraph" w:styleId="10">
    <w:name w:val="Body Text Indent"/>
    <w:basedOn w:val="1"/>
    <w:next w:val="1"/>
    <w:qFormat/>
    <w:uiPriority w:val="0"/>
    <w:pPr>
      <w:spacing w:after="120"/>
      <w:ind w:left="420" w:leftChars="200"/>
    </w:pPr>
    <w:rPr>
      <w:kern w:val="0"/>
      <w:sz w:val="24"/>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qFormat/>
    <w:uiPriority w:val="0"/>
    <w:pPr>
      <w:tabs>
        <w:tab w:val="right" w:leader="dot" w:pos="9061"/>
      </w:tabs>
      <w:spacing w:line="440" w:lineRule="exact"/>
      <w:jc w:val="center"/>
    </w:pPr>
    <w:rPr>
      <w:rFonts w:eastAsia="黑体"/>
      <w:b/>
      <w:bCs/>
      <w:sz w:val="24"/>
    </w:rPr>
  </w:style>
  <w:style w:type="paragraph" w:styleId="14">
    <w:name w:val="footnote text"/>
    <w:basedOn w:val="1"/>
    <w:qFormat/>
    <w:uiPriority w:val="0"/>
    <w:pPr>
      <w:snapToGrid w:val="0"/>
      <w:jc w:val="left"/>
    </w:pPr>
    <w:rPr>
      <w:sz w:val="18"/>
    </w:rPr>
  </w:style>
  <w:style w:type="paragraph" w:styleId="15">
    <w:name w:val="Body Text 2"/>
    <w:basedOn w:val="1"/>
    <w:qFormat/>
    <w:uiPriority w:val="0"/>
    <w:pPr>
      <w:spacing w:after="120" w:line="480" w:lineRule="auto"/>
    </w:pPr>
  </w:style>
  <w:style w:type="paragraph" w:styleId="16">
    <w:name w:val="Normal (Web)"/>
    <w:basedOn w:val="1"/>
    <w:qFormat/>
    <w:uiPriority w:val="0"/>
    <w:rPr>
      <w:sz w:val="24"/>
    </w:rPr>
  </w:style>
  <w:style w:type="paragraph" w:styleId="17">
    <w:name w:val="Body Text First Indent 2"/>
    <w:basedOn w:val="10"/>
    <w:next w:val="6"/>
    <w:qFormat/>
    <w:uiPriority w:val="0"/>
    <w:pPr>
      <w:ind w:firstLine="420" w:firstLineChars="200"/>
    </w:pPr>
  </w:style>
  <w:style w:type="table" w:styleId="19">
    <w:name w:val="Table Grid"/>
    <w:basedOn w:val="1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qFormat/>
    <w:uiPriority w:val="0"/>
    <w:rPr>
      <w:vertAlign w:val="superscript"/>
    </w:rPr>
  </w:style>
  <w:style w:type="paragraph" w:customStyle="1" w:styleId="22">
    <w:name w:val="列出段落1"/>
    <w:basedOn w:val="1"/>
    <w:qFormat/>
    <w:uiPriority w:val="99"/>
    <w:pPr>
      <w:ind w:firstLine="420" w:firstLineChars="200"/>
    </w:pPr>
  </w:style>
  <w:style w:type="paragraph" w:customStyle="1" w:styleId="23">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ca-22"/>
    <w:basedOn w:val="20"/>
    <w:qFormat/>
    <w:uiPriority w:val="0"/>
  </w:style>
  <w:style w:type="paragraph" w:customStyle="1" w:styleId="27">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9429</Words>
  <Characters>9838</Characters>
  <Lines>0</Lines>
  <Paragraphs>0</Paragraphs>
  <TotalTime>0</TotalTime>
  <ScaleCrop>false</ScaleCrop>
  <LinksUpToDate>false</LinksUpToDate>
  <CharactersWithSpaces>10731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2023-06-01T01:33:00Z</cp:lastPrinted>
  <dcterms:modified xsi:type="dcterms:W3CDTF">2023-07-06T00:14:39Z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E8314CC8493647418141C51DDD01C6B6</vt:lpwstr>
  </property>
</Properties>
</file>