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（体外反博仪</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二</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lang w:val="en-US" w:eastAsia="zh-CN"/>
        </w:rPr>
        <w:t>娄底市中心医院体外反博仪进行院内挂网招标</w:t>
      </w:r>
      <w:r>
        <w:rPr>
          <w:rFonts w:hint="eastAsia" w:asciiTheme="minorEastAsia" w:hAnsiTheme="minorEastAsia" w:eastAsiaTheme="minorEastAsia" w:cstheme="minorEastAsia"/>
          <w:bCs/>
          <w:color w:val="auto"/>
          <w:sz w:val="28"/>
          <w:szCs w:val="28"/>
        </w:rPr>
        <w:t>，将招标事项公告如下：</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lang w:val="en-US" w:eastAsia="zh-CN"/>
        </w:rPr>
        <w:t>体外反博仪</w:t>
      </w:r>
    </w:p>
    <w:p>
      <w:pPr>
        <w:pStyle w:val="1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三、投标人资格及标书要求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cs="Times New Roman"/>
                <w:b/>
                <w:bCs/>
                <w:kern w:val="44"/>
                <w:sz w:val="32"/>
                <w:szCs w:val="32"/>
                <w:lang w:val="en-US" w:eastAsia="zh-CN" w:bidi="ar-SA"/>
              </w:rPr>
              <w:t>体外反博仪</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27.5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27.5</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jc w:val="center"/>
        </w:trPr>
        <w:tc>
          <w:tcPr>
            <w:tcW w:w="916" w:type="dxa"/>
            <w:vAlign w:val="center"/>
          </w:tcPr>
          <w:p>
            <w:pPr>
              <w:spacing w:before="78" w:beforeLines="25" w:line="300" w:lineRule="auto"/>
              <w:jc w:val="center"/>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sz w:val="21"/>
                <w:szCs w:val="21"/>
                <w:lang w:val="en-US" w:eastAsia="zh-CN"/>
              </w:rPr>
            </w:pPr>
            <w:r>
              <w:rPr>
                <w:rFonts w:hint="eastAsia" w:cs="Times New Roman"/>
                <w:bCs/>
                <w:sz w:val="21"/>
                <w:szCs w:val="21"/>
                <w:lang w:val="en-US" w:eastAsia="zh-CN"/>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jc w:val="left"/>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体外反博仪</w:t>
            </w:r>
          </w:p>
        </w:tc>
        <w:tc>
          <w:tcPr>
            <w:tcW w:w="9491" w:type="dxa"/>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pPr>
              <w:snapToGrid w:val="0"/>
              <w:spacing w:before="0" w:beforeAutospacing="0" w:after="0" w:afterAutospacing="0" w:line="360" w:lineRule="auto"/>
              <w:jc w:val="center"/>
              <w:textAlignment w:val="baseline"/>
              <w:rPr>
                <w:lang w:val="en-US" w:eastAsia="zh-CN"/>
              </w:rPr>
            </w:pPr>
            <w:r>
              <w:rPr>
                <w:rStyle w:val="17"/>
                <w:rFonts w:ascii="黑体" w:hAnsi="黑体" w:eastAsia="黑体" w:cs="黑体"/>
                <w:b w:val="0"/>
                <w:bCs/>
                <w:i w:val="0"/>
                <w:caps w:val="0"/>
                <w:color w:val="000000"/>
                <w:spacing w:val="0"/>
                <w:w w:val="100"/>
                <w:kern w:val="2"/>
                <w:sz w:val="44"/>
                <w:szCs w:val="44"/>
                <w:lang w:val="en-US" w:eastAsia="zh-CN" w:bidi="ar-SA"/>
              </w:rPr>
              <w:t>体外反搏装置参数</w:t>
            </w:r>
            <w:bookmarkStart w:id="5" w:name="_GoBack"/>
            <w:bookmarkEnd w:id="5"/>
          </w:p>
          <w:p>
            <w:pPr>
              <w:snapToGrid w:val="0"/>
              <w:spacing w:before="0" w:beforeAutospacing="0" w:after="0" w:afterAutospacing="0" w:line="360" w:lineRule="auto"/>
              <w:jc w:val="both"/>
              <w:textAlignment w:val="baseline"/>
              <w:rPr>
                <w:rStyle w:val="17"/>
                <w:rFonts w:ascii="黑体" w:hAnsi="黑体" w:eastAsia="黑体" w:cs="黑体"/>
                <w:b w:val="0"/>
                <w:bCs/>
                <w:i w:val="0"/>
                <w:caps w:val="0"/>
                <w:color w:val="000000"/>
                <w:spacing w:val="0"/>
                <w:w w:val="100"/>
                <w:kern w:val="2"/>
                <w:sz w:val="36"/>
                <w:szCs w:val="36"/>
                <w:lang w:val="en-US" w:eastAsia="zh-CN" w:bidi="ar-SA"/>
              </w:rPr>
            </w:pPr>
            <w:r>
              <w:rPr>
                <w:rStyle w:val="17"/>
                <w:rFonts w:hint="eastAsia" w:ascii="黑体" w:hAnsi="黑体" w:eastAsia="黑体" w:cs="黑体"/>
                <w:b w:val="0"/>
                <w:bCs/>
                <w:i w:val="0"/>
                <w:caps w:val="0"/>
                <w:color w:val="000000"/>
                <w:spacing w:val="0"/>
                <w:w w:val="100"/>
                <w:kern w:val="2"/>
                <w:sz w:val="36"/>
                <w:szCs w:val="36"/>
                <w:lang w:val="en-US" w:eastAsia="zh-CN" w:bidi="ar-SA"/>
              </w:rPr>
              <w:t>一、技术参数</w:t>
            </w:r>
          </w:p>
          <w:p>
            <w:pPr>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1、工作压力：</w:t>
            </w:r>
          </w:p>
          <w:p>
            <w:pPr>
              <w:shd w:val="clear" w:color="auto" w:fill="FFFFFF"/>
              <w:tabs>
                <w:tab w:val="left" w:pos="1005"/>
              </w:tabs>
              <w:snapToGrid/>
              <w:spacing w:before="0" w:beforeAutospacing="0" w:after="0" w:afterAutospacing="0" w:line="360" w:lineRule="auto"/>
              <w:jc w:val="left"/>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1.1反搏装置在心率为80bpm时，</w:t>
            </w:r>
            <w:r>
              <w:rPr>
                <w:rStyle w:val="17"/>
                <w:rFonts w:hint="eastAsia" w:ascii="宋体" w:hAnsi="宋体" w:cs="宋体"/>
                <w:b w:val="0"/>
                <w:bCs/>
                <w:i w:val="0"/>
                <w:caps w:val="0"/>
                <w:color w:val="000000"/>
                <w:spacing w:val="0"/>
                <w:w w:val="100"/>
                <w:kern w:val="2"/>
                <w:sz w:val="24"/>
                <w:szCs w:val="24"/>
                <w:lang w:val="en-US" w:eastAsia="zh-CN" w:bidi="ar-SA"/>
              </w:rPr>
              <w:t>最大</w:t>
            </w:r>
            <w:r>
              <w:rPr>
                <w:rStyle w:val="17"/>
                <w:rFonts w:ascii="宋体" w:hAnsi="宋体" w:eastAsia="宋体" w:cs="宋体"/>
                <w:b w:val="0"/>
                <w:bCs/>
                <w:i w:val="0"/>
                <w:caps w:val="0"/>
                <w:color w:val="000000"/>
                <w:spacing w:val="0"/>
                <w:w w:val="100"/>
                <w:kern w:val="2"/>
                <w:sz w:val="24"/>
                <w:szCs w:val="24"/>
                <w:lang w:val="en-US" w:eastAsia="zh-CN" w:bidi="ar-SA"/>
              </w:rPr>
              <w:t>工作压力在4</w:t>
            </w:r>
            <w:r>
              <w:rPr>
                <w:rStyle w:val="17"/>
                <w:rFonts w:hint="eastAsia" w:ascii="宋体" w:hAnsi="宋体" w:cs="宋体"/>
                <w:b w:val="0"/>
                <w:bCs/>
                <w:i w:val="0"/>
                <w:caps w:val="0"/>
                <w:color w:val="000000"/>
                <w:spacing w:val="0"/>
                <w:w w:val="100"/>
                <w:kern w:val="2"/>
                <w:sz w:val="24"/>
                <w:szCs w:val="24"/>
                <w:lang w:val="en-US" w:eastAsia="zh-CN" w:bidi="ar-SA"/>
              </w:rPr>
              <w:t>2</w:t>
            </w:r>
            <w:r>
              <w:rPr>
                <w:rStyle w:val="17"/>
                <w:rFonts w:ascii="宋体" w:hAnsi="宋体" w:eastAsia="宋体" w:cs="宋体"/>
                <w:b w:val="0"/>
                <w:bCs/>
                <w:i w:val="0"/>
                <w:caps w:val="0"/>
                <w:color w:val="000000"/>
                <w:spacing w:val="0"/>
                <w:w w:val="100"/>
                <w:kern w:val="2"/>
                <w:sz w:val="24"/>
                <w:szCs w:val="24"/>
                <w:lang w:val="en-US" w:eastAsia="zh-CN" w:bidi="ar-SA"/>
              </w:rPr>
              <w:t>-59kPa范围内。</w:t>
            </w:r>
          </w:p>
          <w:p>
            <w:pPr>
              <w:shd w:val="clear" w:color="auto" w:fill="FFFFFF"/>
              <w:tabs>
                <w:tab w:val="left" w:pos="1005"/>
              </w:tabs>
              <w:snapToGrid/>
              <w:spacing w:before="0" w:beforeAutospacing="0" w:after="0" w:afterAutospacing="0" w:line="360" w:lineRule="auto"/>
              <w:jc w:val="left"/>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1.2设备输入功率</w:t>
            </w:r>
            <w:r>
              <w:rPr>
                <w:rStyle w:val="17"/>
                <w:rFonts w:ascii="Arial" w:hAnsi="Arial" w:eastAsia="宋体" w:cs="Arial"/>
                <w:b w:val="0"/>
                <w:bCs/>
                <w:i w:val="0"/>
                <w:caps w:val="0"/>
                <w:color w:val="000000"/>
                <w:spacing w:val="0"/>
                <w:w w:val="100"/>
                <w:kern w:val="2"/>
                <w:sz w:val="24"/>
                <w:szCs w:val="24"/>
                <w:lang w:val="en-US" w:eastAsia="zh-CN" w:bidi="ar-SA"/>
              </w:rPr>
              <w:t>≥</w:t>
            </w:r>
            <w:r>
              <w:rPr>
                <w:rStyle w:val="17"/>
                <w:rFonts w:ascii="宋体" w:hAnsi="宋体" w:eastAsia="宋体" w:cs="宋体"/>
                <w:b w:val="0"/>
                <w:bCs/>
                <w:i w:val="0"/>
                <w:caps w:val="0"/>
                <w:color w:val="000000"/>
                <w:spacing w:val="0"/>
                <w:w w:val="100"/>
                <w:kern w:val="2"/>
                <w:sz w:val="24"/>
                <w:szCs w:val="24"/>
                <w:lang w:val="en-US" w:eastAsia="zh-CN" w:bidi="ar-SA"/>
              </w:rPr>
              <w:t>2500VA，</w:t>
            </w:r>
            <w:r>
              <w:rPr>
                <w:rStyle w:val="17"/>
                <w:rFonts w:cs="Calibri"/>
                <w:b w:val="0"/>
                <w:bCs/>
                <w:i w:val="0"/>
                <w:caps w:val="0"/>
                <w:color w:val="000000"/>
                <w:spacing w:val="0"/>
                <w:w w:val="100"/>
                <w:kern w:val="2"/>
                <w:sz w:val="24"/>
                <w:szCs w:val="24"/>
                <w:lang w:val="en-US" w:eastAsia="zh-CN" w:bidi="ar-SA"/>
              </w:rPr>
              <w:t>提供设备铭牌证明</w:t>
            </w:r>
            <w:r>
              <w:rPr>
                <w:rStyle w:val="17"/>
                <w:rFonts w:ascii="宋体" w:hAnsi="宋体" w:eastAsia="宋体" w:cs="宋体"/>
                <w:b w:val="0"/>
                <w:bCs/>
                <w:i w:val="0"/>
                <w:caps w:val="0"/>
                <w:color w:val="auto"/>
                <w:spacing w:val="0"/>
                <w:w w:val="100"/>
                <w:kern w:val="2"/>
                <w:sz w:val="24"/>
                <w:szCs w:val="24"/>
                <w:lang w:val="en-US" w:eastAsia="zh-CN" w:bidi="ar-SA"/>
              </w:rPr>
              <w:t>。</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w:t>
            </w:r>
            <w:r>
              <w:rPr>
                <w:rStyle w:val="17"/>
                <w:rFonts w:hint="eastAsia" w:ascii="宋体" w:hAnsi="宋体" w:cs="宋体"/>
                <w:b w:val="0"/>
                <w:bCs/>
                <w:i w:val="0"/>
                <w:caps w:val="0"/>
                <w:color w:val="000000"/>
                <w:spacing w:val="0"/>
                <w:w w:val="100"/>
                <w:kern w:val="2"/>
                <w:sz w:val="24"/>
                <w:szCs w:val="24"/>
                <w:lang w:val="en-US" w:eastAsia="zh-CN" w:bidi="ar-SA"/>
              </w:rPr>
              <w:t>3</w:t>
            </w:r>
            <w:r>
              <w:rPr>
                <w:rStyle w:val="17"/>
                <w:rFonts w:ascii="宋体" w:hAnsi="宋体" w:eastAsia="宋体" w:cs="宋体"/>
                <w:b w:val="0"/>
                <w:bCs/>
                <w:i w:val="0"/>
                <w:caps w:val="0"/>
                <w:color w:val="000000"/>
                <w:spacing w:val="0"/>
                <w:w w:val="100"/>
                <w:kern w:val="2"/>
                <w:sz w:val="24"/>
                <w:szCs w:val="24"/>
                <w:lang w:val="en-US" w:eastAsia="zh-CN" w:bidi="ar-SA"/>
              </w:rPr>
              <w:t>压缩机最大功率不低于1700VA；</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cs="宋体"/>
                <w:b w:val="0"/>
                <w:bCs/>
                <w:i w:val="0"/>
                <w:caps w:val="0"/>
                <w:color w:val="000000"/>
                <w:spacing w:val="0"/>
                <w:w w:val="100"/>
                <w:kern w:val="2"/>
                <w:sz w:val="24"/>
                <w:szCs w:val="24"/>
                <w:lang w:val="en-US" w:eastAsia="zh-CN" w:bidi="ar-SA"/>
              </w:rPr>
              <w:t>1</w:t>
            </w:r>
            <w:r>
              <w:rPr>
                <w:rStyle w:val="17"/>
                <w:rFonts w:ascii="宋体" w:hAnsi="宋体" w:eastAsia="宋体" w:cs="宋体"/>
                <w:b w:val="0"/>
                <w:bCs/>
                <w:i w:val="0"/>
                <w:caps w:val="0"/>
                <w:color w:val="000000"/>
                <w:spacing w:val="0"/>
                <w:w w:val="100"/>
                <w:kern w:val="2"/>
                <w:sz w:val="24"/>
                <w:szCs w:val="24"/>
                <w:lang w:val="en-US" w:eastAsia="zh-CN" w:bidi="ar-SA"/>
              </w:rPr>
              <w:t>.</w:t>
            </w:r>
            <w:r>
              <w:rPr>
                <w:rStyle w:val="17"/>
                <w:rFonts w:hint="eastAsia" w:ascii="宋体" w:hAnsi="宋体" w:cs="宋体"/>
                <w:b w:val="0"/>
                <w:bCs/>
                <w:i w:val="0"/>
                <w:caps w:val="0"/>
                <w:color w:val="000000"/>
                <w:spacing w:val="0"/>
                <w:w w:val="100"/>
                <w:kern w:val="2"/>
                <w:sz w:val="24"/>
                <w:szCs w:val="24"/>
                <w:lang w:val="en-US" w:eastAsia="zh-CN" w:bidi="ar-SA"/>
              </w:rPr>
              <w:t>4</w:t>
            </w:r>
            <w:r>
              <w:rPr>
                <w:rStyle w:val="17"/>
                <w:rFonts w:ascii="宋体" w:hAnsi="宋体" w:eastAsia="宋体" w:cs="宋体"/>
                <w:b w:val="0"/>
                <w:bCs/>
                <w:i w:val="0"/>
                <w:caps w:val="0"/>
                <w:color w:val="000000"/>
                <w:spacing w:val="0"/>
                <w:w w:val="100"/>
                <w:kern w:val="2"/>
                <w:sz w:val="24"/>
                <w:szCs w:val="24"/>
                <w:lang w:val="en-US" w:eastAsia="zh-CN" w:bidi="ar-SA"/>
              </w:rPr>
              <w:t>压缩机最大流量不小于48m</w:t>
            </w:r>
            <w:r>
              <w:rPr>
                <w:rStyle w:val="17"/>
                <w:rFonts w:ascii="宋体" w:hAnsi="宋体" w:eastAsia="宋体" w:cs="宋体"/>
                <w:b w:val="0"/>
                <w:bCs/>
                <w:i w:val="0"/>
                <w:caps w:val="0"/>
                <w:color w:val="000000"/>
                <w:spacing w:val="0"/>
                <w:w w:val="100"/>
                <w:kern w:val="2"/>
                <w:sz w:val="24"/>
                <w:szCs w:val="24"/>
                <w:vertAlign w:val="superscript"/>
                <w:lang w:val="en-US" w:eastAsia="zh-CN" w:bidi="ar-SA"/>
              </w:rPr>
              <w:t>3</w:t>
            </w:r>
            <w:r>
              <w:rPr>
                <w:rStyle w:val="17"/>
                <w:rFonts w:ascii="宋体" w:hAnsi="宋体" w:eastAsia="宋体" w:cs="宋体"/>
                <w:b w:val="0"/>
                <w:bCs/>
                <w:i w:val="0"/>
                <w:caps w:val="0"/>
                <w:color w:val="000000"/>
                <w:spacing w:val="0"/>
                <w:w w:val="100"/>
                <w:kern w:val="2"/>
                <w:sz w:val="24"/>
                <w:szCs w:val="24"/>
                <w:lang w:val="en-US" w:eastAsia="zh-CN" w:bidi="ar-SA"/>
              </w:rPr>
              <w:t>/h</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w:t>
            </w:r>
            <w:r>
              <w:rPr>
                <w:rStyle w:val="17"/>
                <w:rFonts w:hint="eastAsia" w:ascii="宋体" w:hAnsi="宋体" w:cs="宋体"/>
                <w:b w:val="0"/>
                <w:bCs/>
                <w:i w:val="0"/>
                <w:caps w:val="0"/>
                <w:color w:val="000000"/>
                <w:spacing w:val="0"/>
                <w:w w:val="100"/>
                <w:kern w:val="2"/>
                <w:sz w:val="24"/>
                <w:szCs w:val="24"/>
                <w:lang w:val="en-US" w:eastAsia="zh-CN" w:bidi="ar-SA"/>
              </w:rPr>
              <w:t>5</w:t>
            </w:r>
            <w:r>
              <w:rPr>
                <w:rStyle w:val="17"/>
                <w:rFonts w:ascii="宋体" w:hAnsi="宋体" w:eastAsia="宋体" w:cs="宋体"/>
                <w:b w:val="0"/>
                <w:bCs/>
                <w:i w:val="0"/>
                <w:caps w:val="0"/>
                <w:color w:val="000000"/>
                <w:spacing w:val="0"/>
                <w:w w:val="100"/>
                <w:kern w:val="2"/>
                <w:sz w:val="24"/>
                <w:szCs w:val="24"/>
                <w:lang w:val="en-US" w:eastAsia="zh-CN" w:bidi="ar-SA"/>
              </w:rPr>
              <w:t>电磁阀：通径20mm，响应时间≤50ms；断电时，电磁阀处于排气状态</w:t>
            </w:r>
            <w:r>
              <w:rPr>
                <w:rStyle w:val="17"/>
                <w:rFonts w:cs="Calibri"/>
                <w:b w:val="0"/>
                <w:bCs/>
                <w:i w:val="0"/>
                <w:caps w:val="0"/>
                <w:color w:val="000000"/>
                <w:spacing w:val="0"/>
                <w:w w:val="100"/>
                <w:kern w:val="2"/>
                <w:sz w:val="24"/>
                <w:szCs w:val="24"/>
                <w:lang w:val="en-US" w:eastAsia="zh-CN" w:bidi="ar-SA"/>
              </w:rPr>
              <w:t>，治疗界面显示电磁阀工作状态图像。</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w:t>
            </w:r>
            <w:r>
              <w:rPr>
                <w:rStyle w:val="17"/>
                <w:rFonts w:hint="eastAsia" w:ascii="宋体" w:hAnsi="宋体" w:cs="宋体"/>
                <w:b w:val="0"/>
                <w:bCs/>
                <w:i w:val="0"/>
                <w:caps w:val="0"/>
                <w:color w:val="000000"/>
                <w:spacing w:val="0"/>
                <w:w w:val="100"/>
                <w:kern w:val="2"/>
                <w:sz w:val="24"/>
                <w:szCs w:val="24"/>
                <w:lang w:val="en-US" w:eastAsia="zh-CN" w:bidi="ar-SA"/>
              </w:rPr>
              <w:t>6</w:t>
            </w:r>
            <w:r>
              <w:rPr>
                <w:rStyle w:val="17"/>
                <w:rFonts w:ascii="宋体" w:hAnsi="宋体" w:eastAsia="宋体" w:cs="宋体"/>
                <w:b w:val="0"/>
                <w:bCs/>
                <w:i w:val="0"/>
                <w:caps w:val="0"/>
                <w:color w:val="000000"/>
                <w:spacing w:val="0"/>
                <w:w w:val="100"/>
                <w:kern w:val="2"/>
                <w:sz w:val="24"/>
                <w:szCs w:val="24"/>
                <w:lang w:val="en-US" w:eastAsia="zh-CN" w:bidi="ar-SA"/>
              </w:rPr>
              <w:t>囊套：含小腿、大腿、臀部囊套，覆盖面积＞0.3㎡</w:t>
            </w:r>
            <w:r>
              <w:rPr>
                <w:rStyle w:val="17"/>
                <w:rFonts w:cs="Calibri"/>
                <w:b w:val="0"/>
                <w:bCs/>
                <w:i w:val="0"/>
                <w:caps w:val="0"/>
                <w:color w:val="000000"/>
                <w:spacing w:val="0"/>
                <w:w w:val="100"/>
                <w:kern w:val="2"/>
                <w:sz w:val="24"/>
                <w:szCs w:val="24"/>
                <w:lang w:val="en-US" w:eastAsia="zh-CN" w:bidi="ar-SA"/>
              </w:rPr>
              <w:t>。</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2、心电：</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2.1以心电R波为触发信号，充排气和心动周期同步，心电模块符合国标要求。</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2.2心率测量范围:35bpm～165bpm； 心电波形增益可调范围：1～16级</w:t>
            </w:r>
            <w:r>
              <w:rPr>
                <w:rStyle w:val="17"/>
                <w:rFonts w:cs="Calibri"/>
                <w:b w:val="0"/>
                <w:bCs/>
                <w:i w:val="0"/>
                <w:caps w:val="0"/>
                <w:color w:val="000000"/>
                <w:spacing w:val="0"/>
                <w:w w:val="100"/>
                <w:kern w:val="2"/>
                <w:sz w:val="24"/>
                <w:szCs w:val="24"/>
                <w:lang w:val="en-US" w:eastAsia="zh-CN" w:bidi="ar-SA"/>
              </w:rPr>
              <w:t>。</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2.3当心率超过反搏限值时，具有自动停止反搏功能，心率正常时自动恢复反搏；自动跟踪不齐心率，实现反搏同步。</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2.4早博保护：早搏信号能触发排气。</w:t>
            </w:r>
          </w:p>
          <w:p>
            <w:pPr>
              <w:numPr>
                <w:ilvl w:val="0"/>
                <w:numId w:val="2"/>
              </w:numPr>
              <w:shd w:val="clear" w:color="auto" w:fill="FFFFFF"/>
              <w:tabs>
                <w:tab w:val="left" w:pos="1005"/>
              </w:tabs>
              <w:snapToGrid/>
              <w:spacing w:before="0" w:beforeAutospacing="0" w:after="0" w:afterAutospacing="0" w:line="360" w:lineRule="auto"/>
              <w:jc w:val="left"/>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脉搏血氧：</w:t>
            </w:r>
          </w:p>
          <w:p>
            <w:pPr>
              <w:numPr>
                <w:ilvl w:val="0"/>
                <w:numId w:val="0"/>
              </w:numPr>
              <w:shd w:val="clear" w:color="auto" w:fill="FFFFFF"/>
              <w:tabs>
                <w:tab w:val="left" w:pos="1005"/>
              </w:tabs>
              <w:snapToGrid/>
              <w:spacing w:before="0" w:beforeAutospacing="0" w:after="0" w:afterAutospacing="0" w:line="360" w:lineRule="auto"/>
              <w:jc w:val="left"/>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3.1治疗中实时显示脉搏波形、D/S峰值比、面积比，反映治疗效果。</w:t>
            </w:r>
          </w:p>
          <w:p>
            <w:pPr>
              <w:shd w:val="clear" w:color="auto" w:fill="FFFFFF"/>
              <w:tabs>
                <w:tab w:val="left" w:pos="1005"/>
              </w:tabs>
              <w:snapToGrid/>
              <w:spacing w:before="0" w:beforeAutospacing="0" w:after="0" w:afterAutospacing="0" w:line="360" w:lineRule="auto"/>
              <w:jc w:val="left"/>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3.2血氧测量范围:75%-100%；指脉波增益可调范围：1～16级</w:t>
            </w:r>
            <w:r>
              <w:rPr>
                <w:rStyle w:val="17"/>
                <w:rFonts w:cs="Calibri"/>
                <w:b w:val="0"/>
                <w:bCs/>
                <w:i w:val="0"/>
                <w:caps w:val="0"/>
                <w:color w:val="000000"/>
                <w:spacing w:val="0"/>
                <w:w w:val="100"/>
                <w:kern w:val="2"/>
                <w:sz w:val="24"/>
                <w:szCs w:val="24"/>
                <w:lang w:val="en-US" w:eastAsia="zh-CN" w:bidi="ar-SA"/>
              </w:rPr>
              <w:t>。</w:t>
            </w:r>
          </w:p>
          <w:p>
            <w:pPr>
              <w:numPr>
                <w:ilvl w:val="0"/>
                <w:numId w:val="2"/>
              </w:numPr>
              <w:shd w:val="clear" w:color="auto" w:fill="FFFFFF"/>
              <w:tabs>
                <w:tab w:val="left" w:pos="1005"/>
              </w:tabs>
              <w:snapToGrid/>
              <w:spacing w:before="0" w:beforeAutospacing="0" w:after="0" w:afterAutospacing="0" w:line="360" w:lineRule="auto"/>
              <w:ind w:left="0" w:leftChars="0" w:firstLineChars="0"/>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排气信号前沿调节不落后于下一个生理信号的触发波。</w:t>
            </w:r>
          </w:p>
          <w:p>
            <w:pPr>
              <w:shd w:val="clear" w:color="auto" w:fill="FFFFFF"/>
              <w:tabs>
                <w:tab w:val="left" w:pos="1005"/>
              </w:tabs>
              <w:snapToGrid/>
              <w:spacing w:before="0" w:beforeAutospacing="0" w:after="0" w:afterAutospacing="0" w:line="360" w:lineRule="auto"/>
              <w:ind w:left="0" w:leftChars="0"/>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5、充气开始时间调节符合国标要求</w:t>
            </w:r>
            <w:r>
              <w:rPr>
                <w:rStyle w:val="17"/>
                <w:rFonts w:hint="eastAsia" w:ascii="宋体" w:hAnsi="宋体" w:cs="宋体"/>
                <w:b w:val="0"/>
                <w:bCs/>
                <w:i w:val="0"/>
                <w:caps w:val="0"/>
                <w:color w:val="000000"/>
                <w:spacing w:val="0"/>
                <w:w w:val="100"/>
                <w:kern w:val="2"/>
                <w:sz w:val="24"/>
                <w:szCs w:val="24"/>
                <w:lang w:val="en-US" w:eastAsia="zh-CN" w:bidi="ar-SA"/>
              </w:rPr>
              <w:t>：</w:t>
            </w:r>
            <w:r>
              <w:rPr>
                <w:rStyle w:val="17"/>
                <w:rFonts w:ascii="宋体" w:hAnsi="宋体" w:eastAsia="宋体" w:cs="宋体"/>
                <w:b w:val="0"/>
                <w:bCs/>
                <w:i w:val="0"/>
                <w:caps w:val="0"/>
                <w:color w:val="000000"/>
                <w:spacing w:val="0"/>
                <w:w w:val="100"/>
                <w:kern w:val="2"/>
                <w:sz w:val="24"/>
                <w:szCs w:val="24"/>
                <w:lang w:val="en-US" w:eastAsia="zh-CN" w:bidi="ar-SA"/>
              </w:rPr>
              <w:t>当心率为50bpm时，最大充气开始时间与最小充气开始时间之差≤250ms；当心率为110bpm时，最大充气开始时间与最小充气开始时间之差≤70s；</w:t>
            </w:r>
          </w:p>
          <w:p>
            <w:pPr>
              <w:shd w:val="clear" w:color="auto" w:fill="FFFFFF"/>
              <w:tabs>
                <w:tab w:val="left" w:pos="1005"/>
              </w:tabs>
              <w:snapToGrid/>
              <w:spacing w:before="0" w:beforeAutospacing="0" w:after="0" w:afterAutospacing="0" w:line="360" w:lineRule="auto"/>
              <w:ind w:left="0" w:leftChars="0"/>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6、排气开始时间调节符合国标要求：当心率为50bpm时，最大排气开始时间与最小排气开始时间之差≤400ms；当心率为110bpm时，最大排气开始时间与最小排气开始时间之差≤50ms；</w:t>
            </w:r>
          </w:p>
          <w:p>
            <w:pPr>
              <w:shd w:val="clear" w:color="auto" w:fill="FFFFFF"/>
              <w:tabs>
                <w:tab w:val="left" w:pos="1005"/>
              </w:tabs>
              <w:snapToGrid/>
              <w:spacing w:before="0" w:beforeAutospacing="0" w:after="0" w:afterAutospacing="0" w:line="360" w:lineRule="auto"/>
              <w:ind w:left="0" w:leftChars="0"/>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7、在相邻两级序贯的充气时差为：成人≤50ms.</w:t>
            </w:r>
          </w:p>
          <w:p>
            <w:pPr>
              <w:shd w:val="clear" w:color="auto" w:fill="FFFFFF"/>
              <w:tabs>
                <w:tab w:val="left" w:pos="1005"/>
              </w:tabs>
              <w:snapToGrid/>
              <w:spacing w:before="0" w:beforeAutospacing="0" w:after="0" w:afterAutospacing="0" w:line="360" w:lineRule="auto"/>
              <w:ind w:left="0" w:leftChars="0"/>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8、实际工作压力应保持在设定值±</w:t>
            </w:r>
            <w:r>
              <w:rPr>
                <w:rStyle w:val="17"/>
                <w:rFonts w:hint="eastAsia" w:ascii="宋体" w:hAnsi="宋体" w:cs="宋体"/>
                <w:b w:val="0"/>
                <w:bCs/>
                <w:i w:val="0"/>
                <w:caps w:val="0"/>
                <w:color w:val="000000"/>
                <w:spacing w:val="0"/>
                <w:w w:val="100"/>
                <w:kern w:val="2"/>
                <w:sz w:val="24"/>
                <w:szCs w:val="24"/>
                <w:lang w:val="en-US" w:eastAsia="zh-CN" w:bidi="ar-SA"/>
              </w:rPr>
              <w:t>1</w:t>
            </w:r>
            <w:r>
              <w:rPr>
                <w:rStyle w:val="17"/>
                <w:rFonts w:ascii="宋体" w:hAnsi="宋体" w:eastAsia="宋体" w:cs="宋体"/>
                <w:b w:val="0"/>
                <w:bCs/>
                <w:i w:val="0"/>
                <w:caps w:val="0"/>
                <w:color w:val="000000"/>
                <w:spacing w:val="0"/>
                <w:w w:val="100"/>
                <w:kern w:val="2"/>
                <w:sz w:val="24"/>
                <w:szCs w:val="24"/>
                <w:lang w:val="en-US" w:eastAsia="zh-CN" w:bidi="ar-SA"/>
              </w:rPr>
              <w:t>kPa范围内。</w:t>
            </w:r>
          </w:p>
          <w:p>
            <w:pPr>
              <w:shd w:val="clear" w:color="auto" w:fill="FFFFFF"/>
              <w:tabs>
                <w:tab w:val="left" w:pos="1005"/>
              </w:tabs>
              <w:snapToGrid/>
              <w:spacing w:before="0" w:beforeAutospacing="0" w:after="0" w:afterAutospacing="0" w:line="360" w:lineRule="auto"/>
              <w:ind w:left="0" w:leftChars="0"/>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9、气囊</w:t>
            </w:r>
            <w:r>
              <w:rPr>
                <w:rStyle w:val="17"/>
                <w:rFonts w:hint="eastAsia" w:ascii="宋体" w:hAnsi="宋体" w:cs="宋体"/>
                <w:b w:val="0"/>
                <w:bCs/>
                <w:i w:val="0"/>
                <w:caps w:val="0"/>
                <w:color w:val="000000"/>
                <w:spacing w:val="0"/>
                <w:w w:val="100"/>
                <w:kern w:val="2"/>
                <w:sz w:val="24"/>
                <w:szCs w:val="24"/>
                <w:lang w:val="en-US" w:eastAsia="zh-CN" w:bidi="ar-SA"/>
              </w:rPr>
              <w:t>最大工作压力</w:t>
            </w:r>
            <w:r>
              <w:rPr>
                <w:rStyle w:val="17"/>
                <w:rFonts w:ascii="宋体" w:hAnsi="宋体" w:eastAsia="宋体" w:cs="宋体"/>
                <w:b w:val="0"/>
                <w:bCs/>
                <w:i w:val="0"/>
                <w:caps w:val="0"/>
                <w:color w:val="000000"/>
                <w:spacing w:val="0"/>
                <w:w w:val="100"/>
                <w:kern w:val="2"/>
                <w:sz w:val="24"/>
                <w:szCs w:val="24"/>
                <w:lang w:val="en-US" w:eastAsia="zh-CN" w:bidi="ar-SA"/>
              </w:rPr>
              <w:t>≤59kPa，保压10s，不破损，且其压降应≤5kPa。</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10、治疗时间设置范围不小于5min～60min；设置步进不大于5min；反搏比率为1:1或1:2可调。</w:t>
            </w:r>
          </w:p>
          <w:p>
            <w:pPr>
              <w:shd w:val="clear" w:color="auto" w:fill="FFFFFF"/>
              <w:tabs>
                <w:tab w:val="left" w:pos="1005"/>
              </w:tabs>
              <w:snapToGrid/>
              <w:spacing w:before="0" w:beforeAutospacing="0" w:after="0" w:afterAutospacing="0" w:line="360" w:lineRule="auto"/>
              <w:jc w:val="both"/>
              <w:textAlignment w:val="baseline"/>
              <w:rPr>
                <w:rStyle w:val="17"/>
                <w:rFonts w:eastAsia="宋体" w:cs="Calibri"/>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11、配置</w:t>
            </w:r>
            <w:r>
              <w:rPr>
                <w:rStyle w:val="17"/>
                <w:rFonts w:ascii="Arial" w:hAnsi="Arial" w:eastAsia="宋体" w:cs="Arial"/>
                <w:b w:val="0"/>
                <w:bCs/>
                <w:i w:val="0"/>
                <w:caps w:val="0"/>
                <w:color w:val="000000"/>
                <w:spacing w:val="0"/>
                <w:w w:val="100"/>
                <w:kern w:val="2"/>
                <w:sz w:val="24"/>
                <w:szCs w:val="24"/>
                <w:lang w:val="en-US" w:eastAsia="zh-CN" w:bidi="ar-SA"/>
              </w:rPr>
              <w:t>≥</w:t>
            </w:r>
            <w:r>
              <w:rPr>
                <w:rStyle w:val="17"/>
                <w:rFonts w:ascii="宋体" w:hAnsi="宋体" w:eastAsia="宋体" w:cs="宋体"/>
                <w:b w:val="0"/>
                <w:bCs/>
                <w:i w:val="0"/>
                <w:caps w:val="0"/>
                <w:color w:val="000000"/>
                <w:spacing w:val="0"/>
                <w:w w:val="100"/>
                <w:kern w:val="2"/>
                <w:sz w:val="24"/>
                <w:szCs w:val="24"/>
                <w:lang w:val="en-US" w:eastAsia="zh-CN" w:bidi="ar-SA"/>
              </w:rPr>
              <w:t>14寸操作电脑，安全、便捷</w:t>
            </w:r>
            <w:r>
              <w:rPr>
                <w:rStyle w:val="17"/>
                <w:rFonts w:cs="Calibri"/>
                <w:b w:val="0"/>
                <w:bCs/>
                <w:i w:val="0"/>
                <w:caps w:val="0"/>
                <w:color w:val="000000"/>
                <w:spacing w:val="0"/>
                <w:w w:val="100"/>
                <w:kern w:val="2"/>
                <w:sz w:val="24"/>
                <w:szCs w:val="24"/>
                <w:lang w:val="en-US" w:eastAsia="zh-CN" w:bidi="ar-SA"/>
              </w:rPr>
              <w:t>。</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 xml:space="preserve">12、配置医疗级隔离变压器，将电源与用电回路作电气上的全隔离，保护人身安全。 </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13、配置专用谐波滤波器，有效控制谐波危害，降耗。</w:t>
            </w:r>
          </w:p>
          <w:p>
            <w:pPr>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14、配置熔断器，形成过流保护，增强安全性</w:t>
            </w:r>
            <w:r>
              <w:rPr>
                <w:rStyle w:val="17"/>
                <w:rFonts w:cs="Calibri"/>
                <w:b w:val="0"/>
                <w:bCs/>
                <w:i w:val="0"/>
                <w:caps w:val="0"/>
                <w:color w:val="000000"/>
                <w:spacing w:val="0"/>
                <w:w w:val="100"/>
                <w:kern w:val="2"/>
                <w:sz w:val="24"/>
                <w:szCs w:val="24"/>
                <w:lang w:val="en-US" w:eastAsia="zh-CN" w:bidi="ar-SA"/>
              </w:rPr>
              <w:t>。</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15、设备具有阻燃性。</w:t>
            </w:r>
          </w:p>
          <w:p>
            <w:pPr>
              <w:shd w:val="clear" w:color="auto" w:fill="FFFFFF"/>
              <w:tabs>
                <w:tab w:val="left" w:pos="1005"/>
              </w:tabs>
              <w:snapToGrid/>
              <w:spacing w:before="0" w:beforeAutospacing="0" w:after="0" w:afterAutospacing="0" w:line="360" w:lineRule="auto"/>
              <w:jc w:val="both"/>
              <w:textAlignment w:val="baseline"/>
              <w:rPr>
                <w:rStyle w:val="17"/>
                <w:rFonts w:cs="Calibri"/>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16、床体为四面落地支撑，支撑面承重</w:t>
            </w:r>
            <w:r>
              <w:rPr>
                <w:rStyle w:val="17"/>
                <w:rFonts w:ascii="Arial" w:hAnsi="Arial" w:eastAsia="宋体" w:cs="Arial"/>
                <w:b w:val="0"/>
                <w:bCs/>
                <w:i w:val="0"/>
                <w:caps w:val="0"/>
                <w:color w:val="000000"/>
                <w:spacing w:val="0"/>
                <w:w w:val="100"/>
                <w:kern w:val="2"/>
                <w:sz w:val="24"/>
                <w:szCs w:val="24"/>
                <w:lang w:val="en-US" w:eastAsia="zh-CN" w:bidi="ar-SA"/>
              </w:rPr>
              <w:t>≥</w:t>
            </w:r>
            <w:r>
              <w:rPr>
                <w:rStyle w:val="17"/>
                <w:rFonts w:ascii="宋体" w:hAnsi="宋体" w:eastAsia="宋体" w:cs="宋体"/>
                <w:b w:val="0"/>
                <w:bCs/>
                <w:i w:val="0"/>
                <w:caps w:val="0"/>
                <w:color w:val="000000"/>
                <w:spacing w:val="0"/>
                <w:w w:val="100"/>
                <w:kern w:val="2"/>
                <w:sz w:val="24"/>
                <w:szCs w:val="24"/>
                <w:lang w:val="en-US" w:eastAsia="zh-CN" w:bidi="ar-SA"/>
              </w:rPr>
              <w:t>150kg</w:t>
            </w:r>
            <w:r>
              <w:rPr>
                <w:rStyle w:val="17"/>
                <w:rFonts w:cs="Calibri"/>
                <w:b w:val="0"/>
                <w:bCs/>
                <w:i w:val="0"/>
                <w:caps w:val="0"/>
                <w:color w:val="000000"/>
                <w:spacing w:val="0"/>
                <w:w w:val="100"/>
                <w:kern w:val="2"/>
                <w:sz w:val="24"/>
                <w:szCs w:val="24"/>
                <w:lang w:val="en-US" w:eastAsia="zh-CN" w:bidi="ar-SA"/>
              </w:rPr>
              <w:t>。</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17、产品的保护接地电阻、连续漏电流和患者辅助电流、电介质强度等，符合GB9706.1的要求。</w:t>
            </w: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r>
              <w:rPr>
                <w:rStyle w:val="17"/>
                <w:rFonts w:ascii="宋体" w:hAnsi="宋体" w:eastAsia="宋体" w:cs="宋体"/>
                <w:b w:val="0"/>
                <w:bCs/>
                <w:i w:val="0"/>
                <w:caps w:val="0"/>
                <w:color w:val="000000"/>
                <w:spacing w:val="0"/>
                <w:w w:val="100"/>
                <w:kern w:val="2"/>
                <w:sz w:val="24"/>
                <w:szCs w:val="24"/>
                <w:lang w:val="en-US" w:eastAsia="zh-CN" w:bidi="ar-SA"/>
              </w:rPr>
              <w:t>18、产品的传导发射、辐射发射、谐波失真、电压波动和闪烁符合YY0505要求。</w:t>
            </w:r>
          </w:p>
          <w:p>
            <w:pPr>
              <w:rPr>
                <w:rFonts w:hint="default"/>
                <w:lang w:val="en-US" w:eastAsia="zh-CN"/>
              </w:rPr>
            </w:pPr>
            <w:r>
              <w:rPr>
                <w:rStyle w:val="17"/>
                <w:rFonts w:hint="eastAsia" w:ascii="宋体" w:hAnsi="宋体" w:cs="宋体"/>
                <w:b w:val="0"/>
                <w:bCs/>
                <w:i w:val="0"/>
                <w:caps w:val="0"/>
                <w:color w:val="000000"/>
                <w:spacing w:val="0"/>
                <w:w w:val="100"/>
                <w:kern w:val="2"/>
                <w:sz w:val="24"/>
                <w:szCs w:val="24"/>
                <w:lang w:val="en-US" w:eastAsia="zh-CN" w:bidi="ar-SA"/>
              </w:rPr>
              <w:t>19、设备使用期限10年，提供设备铭牌。</w:t>
            </w:r>
          </w:p>
          <w:tbl>
            <w:tblPr>
              <w:tblStyle w:val="9"/>
              <w:tblW w:w="905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3127"/>
              <w:gridCol w:w="1668"/>
              <w:gridCol w:w="296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eastAsia="宋体" w:cs="宋体"/>
                      <w:b/>
                      <w:bCs/>
                      <w:color w:val="FF0000"/>
                      <w:szCs w:val="21"/>
                    </w:rPr>
                  </w:pPr>
                  <w:r>
                    <w:rPr>
                      <w:rFonts w:hint="eastAsia" w:ascii="宋体" w:hAnsi="宋体" w:eastAsia="宋体" w:cs="宋体"/>
                      <w:b/>
                      <w:bCs/>
                      <w:color w:val="FF0000"/>
                      <w:szCs w:val="21"/>
                    </w:rPr>
                    <w:t>1.3</w:t>
                  </w:r>
                </w:p>
              </w:tc>
              <w:tc>
                <w:tcPr>
                  <w:tcW w:w="7759" w:type="dxa"/>
                  <w:gridSpan w:val="3"/>
                  <w:noWrap w:val="0"/>
                  <w:vAlign w:val="center"/>
                </w:tcPr>
                <w:p>
                  <w:pPr>
                    <w:spacing w:line="360" w:lineRule="auto"/>
                    <w:rPr>
                      <w:rStyle w:val="11"/>
                      <w:rFonts w:hint="default" w:ascii="宋体" w:hAnsi="宋体" w:eastAsia="宋体" w:cs="宋体"/>
                      <w:b/>
                      <w:bCs/>
                      <w:color w:val="FF0000"/>
                      <w:szCs w:val="21"/>
                      <w:lang w:val="en-US" w:eastAsia="zh-CN"/>
                    </w:rPr>
                  </w:pPr>
                  <w:r>
                    <w:rPr>
                      <w:rStyle w:val="11"/>
                      <w:rFonts w:hint="eastAsia" w:ascii="宋体" w:hAnsi="宋体" w:eastAsia="宋体" w:cs="宋体"/>
                      <w:b w:val="0"/>
                      <w:bCs w:val="0"/>
                      <w:szCs w:val="21"/>
                      <w:lang w:val="en-US" w:eastAsia="zh-CN"/>
                    </w:rPr>
                    <w:t>体外反博仪</w:t>
                  </w:r>
                  <w:r>
                    <w:rPr>
                      <w:rStyle w:val="11"/>
                      <w:rFonts w:hint="eastAsia" w:ascii="宋体" w:hAnsi="宋体" w:eastAsia="宋体" w:cs="宋体"/>
                      <w:b/>
                      <w:bCs/>
                      <w:color w:val="FF0000"/>
                      <w:szCs w:val="21"/>
                    </w:rPr>
                    <w:t>配置</w:t>
                  </w:r>
                  <w:r>
                    <w:rPr>
                      <w:rStyle w:val="11"/>
                      <w:rFonts w:hint="eastAsia" w:ascii="宋体" w:hAnsi="宋体" w:cs="宋体"/>
                      <w:b/>
                      <w:bCs/>
                      <w:color w:val="FF0000"/>
                      <w:szCs w:val="21"/>
                      <w:lang w:val="en-US" w:eastAsia="zh-CN"/>
                    </w:rPr>
                    <w:t>清单要求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eastAsia="宋体" w:cs="宋体"/>
                      <w:b w:val="0"/>
                      <w:bCs w:val="0"/>
                      <w:szCs w:val="21"/>
                    </w:rPr>
                  </w:pPr>
                  <w:r>
                    <w:rPr>
                      <w:rFonts w:hint="eastAsia" w:ascii="宋体" w:hAnsi="宋体" w:eastAsia="宋体" w:cs="宋体"/>
                      <w:b w:val="0"/>
                      <w:bCs w:val="0"/>
                      <w:szCs w:val="21"/>
                    </w:rPr>
                    <w:t>1.3.1</w:t>
                  </w:r>
                </w:p>
              </w:tc>
              <w:tc>
                <w:tcPr>
                  <w:tcW w:w="3127"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一体式体外反搏床</w:t>
                  </w:r>
                </w:p>
              </w:tc>
              <w:tc>
                <w:tcPr>
                  <w:tcW w:w="1668"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台</w:t>
                  </w:r>
                </w:p>
              </w:tc>
              <w:tc>
                <w:tcPr>
                  <w:tcW w:w="2964"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296" w:type="dxa"/>
                  <w:noWrap w:val="0"/>
                  <w:vAlign w:val="center"/>
                </w:tcPr>
                <w:p>
                  <w:pPr>
                    <w:spacing w:line="360" w:lineRule="auto"/>
                    <w:rPr>
                      <w:rFonts w:hint="eastAsia" w:ascii="宋体" w:hAnsi="宋体" w:eastAsia="宋体" w:cs="宋体"/>
                      <w:b w:val="0"/>
                      <w:bCs w:val="0"/>
                      <w:szCs w:val="21"/>
                      <w:lang w:eastAsia="zh-CN"/>
                    </w:rPr>
                  </w:pPr>
                  <w:r>
                    <w:rPr>
                      <w:rFonts w:hint="eastAsia" w:ascii="宋体" w:hAnsi="宋体" w:eastAsia="宋体" w:cs="宋体"/>
                      <w:b w:val="0"/>
                      <w:bCs w:val="0"/>
                      <w:szCs w:val="21"/>
                    </w:rPr>
                    <w:t>1.3.</w:t>
                  </w:r>
                  <w:r>
                    <w:rPr>
                      <w:rFonts w:hint="eastAsia" w:ascii="宋体" w:hAnsi="宋体" w:cs="宋体"/>
                      <w:b w:val="0"/>
                      <w:bCs w:val="0"/>
                      <w:szCs w:val="21"/>
                      <w:lang w:val="en-US" w:eastAsia="zh-CN"/>
                    </w:rPr>
                    <w:t>2</w:t>
                  </w:r>
                </w:p>
              </w:tc>
              <w:tc>
                <w:tcPr>
                  <w:tcW w:w="3127"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平板电脑</w:t>
                  </w:r>
                </w:p>
              </w:tc>
              <w:tc>
                <w:tcPr>
                  <w:tcW w:w="1668"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台</w:t>
                  </w:r>
                </w:p>
              </w:tc>
              <w:tc>
                <w:tcPr>
                  <w:tcW w:w="2964"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eastAsia="宋体" w:cs="宋体"/>
                      <w:b w:val="0"/>
                      <w:bCs w:val="0"/>
                      <w:szCs w:val="21"/>
                    </w:rPr>
                  </w:pPr>
                  <w:r>
                    <w:rPr>
                      <w:rFonts w:hint="eastAsia" w:ascii="宋体" w:hAnsi="宋体" w:eastAsia="宋体" w:cs="宋体"/>
                      <w:b w:val="0"/>
                      <w:bCs w:val="0"/>
                      <w:szCs w:val="21"/>
                    </w:rPr>
                    <w:t>1.3.</w:t>
                  </w:r>
                  <w:r>
                    <w:rPr>
                      <w:rFonts w:hint="eastAsia" w:ascii="宋体" w:hAnsi="宋体" w:cs="宋体"/>
                      <w:b w:val="0"/>
                      <w:bCs w:val="0"/>
                      <w:szCs w:val="21"/>
                      <w:lang w:val="en-US" w:eastAsia="zh-CN"/>
                    </w:rPr>
                    <w:t>3</w:t>
                  </w:r>
                </w:p>
              </w:tc>
              <w:tc>
                <w:tcPr>
                  <w:tcW w:w="3127"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电源线</w:t>
                  </w:r>
                </w:p>
              </w:tc>
              <w:tc>
                <w:tcPr>
                  <w:tcW w:w="1668"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根</w:t>
                  </w:r>
                </w:p>
              </w:tc>
              <w:tc>
                <w:tcPr>
                  <w:tcW w:w="2964"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eastAsia="宋体" w:cs="宋体"/>
                      <w:b w:val="0"/>
                      <w:bCs w:val="0"/>
                      <w:szCs w:val="21"/>
                    </w:rPr>
                  </w:pPr>
                  <w:r>
                    <w:rPr>
                      <w:rFonts w:hint="eastAsia" w:ascii="宋体" w:hAnsi="宋体" w:eastAsia="宋体" w:cs="宋体"/>
                      <w:b w:val="0"/>
                      <w:bCs w:val="0"/>
                      <w:szCs w:val="21"/>
                    </w:rPr>
                    <w:t>1.3.</w:t>
                  </w:r>
                  <w:r>
                    <w:rPr>
                      <w:rFonts w:hint="eastAsia" w:ascii="宋体" w:hAnsi="宋体" w:cs="宋体"/>
                      <w:b w:val="0"/>
                      <w:bCs w:val="0"/>
                      <w:szCs w:val="21"/>
                      <w:lang w:val="en-US" w:eastAsia="zh-CN"/>
                    </w:rPr>
                    <w:t>4</w:t>
                  </w:r>
                </w:p>
              </w:tc>
              <w:tc>
                <w:tcPr>
                  <w:tcW w:w="3127"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心电线</w:t>
                  </w:r>
                </w:p>
              </w:tc>
              <w:tc>
                <w:tcPr>
                  <w:tcW w:w="1668"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根</w:t>
                  </w:r>
                </w:p>
              </w:tc>
              <w:tc>
                <w:tcPr>
                  <w:tcW w:w="2964"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eastAsia="宋体" w:cs="宋体"/>
                      <w:b w:val="0"/>
                      <w:bCs w:val="0"/>
                      <w:szCs w:val="21"/>
                    </w:rPr>
                  </w:pPr>
                  <w:r>
                    <w:rPr>
                      <w:rFonts w:hint="eastAsia" w:ascii="宋体" w:hAnsi="宋体" w:eastAsia="宋体" w:cs="宋体"/>
                      <w:b w:val="0"/>
                      <w:bCs w:val="0"/>
                      <w:szCs w:val="21"/>
                    </w:rPr>
                    <w:t>1.3.</w:t>
                  </w:r>
                  <w:r>
                    <w:rPr>
                      <w:rFonts w:hint="eastAsia" w:ascii="宋体" w:hAnsi="宋体" w:cs="宋体"/>
                      <w:b w:val="0"/>
                      <w:bCs w:val="0"/>
                      <w:szCs w:val="21"/>
                      <w:lang w:val="en-US" w:eastAsia="zh-CN"/>
                    </w:rPr>
                    <w:t>5</w:t>
                  </w:r>
                </w:p>
              </w:tc>
              <w:tc>
                <w:tcPr>
                  <w:tcW w:w="3127"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指脉线</w:t>
                  </w:r>
                </w:p>
              </w:tc>
              <w:tc>
                <w:tcPr>
                  <w:tcW w:w="1668"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根</w:t>
                  </w:r>
                </w:p>
              </w:tc>
              <w:tc>
                <w:tcPr>
                  <w:tcW w:w="2964"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eastAsia="宋体" w:cs="宋体"/>
                      <w:b w:val="0"/>
                      <w:bCs w:val="0"/>
                      <w:szCs w:val="21"/>
                    </w:rPr>
                  </w:pPr>
                  <w:r>
                    <w:rPr>
                      <w:rFonts w:hint="eastAsia" w:ascii="宋体" w:hAnsi="宋体" w:eastAsia="宋体" w:cs="宋体"/>
                      <w:b w:val="0"/>
                      <w:bCs w:val="0"/>
                      <w:szCs w:val="21"/>
                    </w:rPr>
                    <w:t>1.3.</w:t>
                  </w:r>
                  <w:r>
                    <w:rPr>
                      <w:rFonts w:hint="eastAsia" w:ascii="宋体" w:hAnsi="宋体" w:cs="宋体"/>
                      <w:b w:val="0"/>
                      <w:bCs w:val="0"/>
                      <w:szCs w:val="21"/>
                      <w:lang w:val="en-US" w:eastAsia="zh-CN"/>
                    </w:rPr>
                    <w:t>6</w:t>
                  </w:r>
                </w:p>
              </w:tc>
              <w:tc>
                <w:tcPr>
                  <w:tcW w:w="3127"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 xml:space="preserve"> 一体机床垫、靠背床垫、枕头</w:t>
                  </w:r>
                </w:p>
              </w:tc>
              <w:tc>
                <w:tcPr>
                  <w:tcW w:w="1668"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套</w:t>
                  </w:r>
                </w:p>
              </w:tc>
              <w:tc>
                <w:tcPr>
                  <w:tcW w:w="2964"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eastAsia="宋体" w:cs="宋体"/>
                      <w:b w:val="0"/>
                      <w:bCs w:val="0"/>
                      <w:szCs w:val="21"/>
                    </w:rPr>
                  </w:pPr>
                  <w:r>
                    <w:rPr>
                      <w:rFonts w:hint="eastAsia" w:ascii="宋体" w:hAnsi="宋体" w:eastAsia="宋体" w:cs="宋体"/>
                      <w:b w:val="0"/>
                      <w:bCs w:val="0"/>
                      <w:szCs w:val="21"/>
                    </w:rPr>
                    <w:t>1.3.</w:t>
                  </w:r>
                  <w:r>
                    <w:rPr>
                      <w:rFonts w:hint="eastAsia" w:ascii="宋体" w:hAnsi="宋体" w:cs="宋体"/>
                      <w:b w:val="0"/>
                      <w:bCs w:val="0"/>
                      <w:szCs w:val="21"/>
                      <w:lang w:val="en-US" w:eastAsia="zh-CN"/>
                    </w:rPr>
                    <w:t>7</w:t>
                  </w:r>
                </w:p>
              </w:tc>
              <w:tc>
                <w:tcPr>
                  <w:tcW w:w="3127"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一体机囊套接头</w:t>
                  </w:r>
                </w:p>
              </w:tc>
              <w:tc>
                <w:tcPr>
                  <w:tcW w:w="1668"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只</w:t>
                  </w:r>
                </w:p>
              </w:tc>
              <w:tc>
                <w:tcPr>
                  <w:tcW w:w="2964"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6</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eastAsia="宋体" w:cs="宋体"/>
                      <w:b w:val="0"/>
                      <w:bCs w:val="0"/>
                      <w:szCs w:val="21"/>
                    </w:rPr>
                  </w:pPr>
                  <w:r>
                    <w:rPr>
                      <w:rFonts w:hint="eastAsia" w:ascii="宋体" w:hAnsi="宋体" w:eastAsia="宋体" w:cs="宋体"/>
                      <w:b w:val="0"/>
                      <w:bCs w:val="0"/>
                      <w:szCs w:val="21"/>
                    </w:rPr>
                    <w:t>1.3.</w:t>
                  </w:r>
                  <w:r>
                    <w:rPr>
                      <w:rFonts w:hint="eastAsia" w:ascii="宋体" w:hAnsi="宋体" w:cs="宋体"/>
                      <w:b w:val="0"/>
                      <w:bCs w:val="0"/>
                      <w:szCs w:val="21"/>
                      <w:lang w:val="en-US" w:eastAsia="zh-CN"/>
                    </w:rPr>
                    <w:t>8</w:t>
                  </w:r>
                </w:p>
              </w:tc>
              <w:tc>
                <w:tcPr>
                  <w:tcW w:w="3127"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波纹管</w:t>
                  </w:r>
                </w:p>
              </w:tc>
              <w:tc>
                <w:tcPr>
                  <w:tcW w:w="1668"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根</w:t>
                  </w:r>
                </w:p>
              </w:tc>
              <w:tc>
                <w:tcPr>
                  <w:tcW w:w="2964"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6</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eastAsia="宋体" w:cs="宋体"/>
                      <w:b w:val="0"/>
                      <w:bCs w:val="0"/>
                      <w:szCs w:val="21"/>
                    </w:rPr>
                  </w:pPr>
                  <w:r>
                    <w:rPr>
                      <w:rFonts w:hint="eastAsia" w:ascii="宋体" w:hAnsi="宋体" w:eastAsia="宋体" w:cs="宋体"/>
                      <w:b w:val="0"/>
                      <w:bCs w:val="0"/>
                      <w:szCs w:val="21"/>
                    </w:rPr>
                    <w:t>1.3.</w:t>
                  </w:r>
                  <w:r>
                    <w:rPr>
                      <w:rFonts w:hint="eastAsia" w:ascii="宋体" w:hAnsi="宋体" w:cs="宋体"/>
                      <w:b w:val="0"/>
                      <w:bCs w:val="0"/>
                      <w:szCs w:val="21"/>
                      <w:lang w:val="en-US" w:eastAsia="zh-CN"/>
                    </w:rPr>
                    <w:t>9</w:t>
                  </w:r>
                </w:p>
              </w:tc>
              <w:tc>
                <w:tcPr>
                  <w:tcW w:w="3127"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外囊套</w:t>
                  </w:r>
                </w:p>
              </w:tc>
              <w:tc>
                <w:tcPr>
                  <w:tcW w:w="1668"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套</w:t>
                  </w:r>
                </w:p>
              </w:tc>
              <w:tc>
                <w:tcPr>
                  <w:tcW w:w="2964"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296" w:type="dxa"/>
                  <w:noWrap w:val="0"/>
                  <w:vAlign w:val="center"/>
                </w:tcPr>
                <w:p>
                  <w:pPr>
                    <w:jc w:val="both"/>
                    <w:rPr>
                      <w:rFonts w:hint="default"/>
                      <w:lang w:val="en-US"/>
                    </w:rPr>
                  </w:pPr>
                  <w:r>
                    <w:rPr>
                      <w:rFonts w:hint="eastAsia" w:ascii="宋体" w:hAnsi="宋体" w:eastAsia="宋体" w:cs="宋体"/>
                      <w:b w:val="0"/>
                      <w:bCs w:val="0"/>
                      <w:szCs w:val="21"/>
                    </w:rPr>
                    <w:t>1.3.</w:t>
                  </w:r>
                  <w:r>
                    <w:rPr>
                      <w:rFonts w:hint="eastAsia" w:ascii="宋体" w:hAnsi="宋体" w:cs="宋体"/>
                      <w:b w:val="0"/>
                      <w:bCs w:val="0"/>
                      <w:szCs w:val="21"/>
                      <w:lang w:val="en-US" w:eastAsia="zh-CN"/>
                    </w:rPr>
                    <w:t>10</w:t>
                  </w:r>
                </w:p>
              </w:tc>
              <w:tc>
                <w:tcPr>
                  <w:tcW w:w="3127"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内囊套</w:t>
                  </w:r>
                </w:p>
              </w:tc>
              <w:tc>
                <w:tcPr>
                  <w:tcW w:w="1668"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个</w:t>
                  </w:r>
                </w:p>
              </w:tc>
              <w:tc>
                <w:tcPr>
                  <w:tcW w:w="2964" w:type="dxa"/>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6</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296" w:type="dxa"/>
                  <w:noWrap w:val="0"/>
                  <w:vAlign w:val="center"/>
                </w:tcPr>
                <w:p>
                  <w:pPr>
                    <w:jc w:val="both"/>
                    <w:rPr>
                      <w:rFonts w:hint="eastAsia" w:ascii="宋体" w:hAnsi="宋体" w:eastAsia="宋体" w:cs="宋体"/>
                      <w:b w:val="0"/>
                      <w:bCs w:val="0"/>
                      <w:szCs w:val="21"/>
                    </w:rPr>
                  </w:pPr>
                  <w:r>
                    <w:rPr>
                      <w:rFonts w:hint="eastAsia" w:ascii="宋体" w:hAnsi="宋体" w:eastAsia="宋体" w:cs="宋体"/>
                      <w:b w:val="0"/>
                      <w:bCs w:val="0"/>
                      <w:szCs w:val="21"/>
                    </w:rPr>
                    <w:t>1.3.</w:t>
                  </w:r>
                  <w:r>
                    <w:rPr>
                      <w:rFonts w:hint="eastAsia" w:ascii="宋体" w:hAnsi="宋体" w:cs="宋体"/>
                      <w:b w:val="0"/>
                      <w:bCs w:val="0"/>
                      <w:szCs w:val="21"/>
                      <w:lang w:val="en-US" w:eastAsia="zh-CN"/>
                    </w:rPr>
                    <w:t>11</w:t>
                  </w:r>
                </w:p>
              </w:tc>
              <w:tc>
                <w:tcPr>
                  <w:tcW w:w="7759" w:type="dxa"/>
                  <w:gridSpan w:val="3"/>
                  <w:noWrap w:val="0"/>
                  <w:vAlign w:val="center"/>
                </w:tcPr>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r>
                    <w:rPr>
                      <w:rStyle w:val="17"/>
                      <w:rFonts w:hint="eastAsia" w:ascii="宋体" w:hAnsi="宋体" w:eastAsia="宋体" w:cs="宋体"/>
                      <w:b w:val="0"/>
                      <w:bCs/>
                      <w:i w:val="0"/>
                      <w:caps w:val="0"/>
                      <w:color w:val="000000"/>
                      <w:spacing w:val="0"/>
                      <w:w w:val="100"/>
                      <w:kern w:val="2"/>
                      <w:sz w:val="24"/>
                      <w:szCs w:val="24"/>
                      <w:lang w:val="en-US" w:eastAsia="zh-CN" w:bidi="ar-SA"/>
                    </w:rPr>
                    <w:t>另附：产品使用说明书、产品合格证、产品保修卡、售后服务承诺书。</w:t>
                  </w:r>
                </w:p>
              </w:tc>
            </w:tr>
          </w:tbl>
          <w:p>
            <w:pPr>
              <w:keepNext w:val="0"/>
              <w:keepLines w:val="0"/>
              <w:widowControl/>
              <w:suppressLineNumbers w:val="0"/>
              <w:jc w:val="left"/>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Style w:val="17"/>
                <w:rFonts w:hint="eastAsia" w:ascii="宋体" w:hAnsi="宋体"/>
                <w:b/>
                <w:color w:val="auto"/>
                <w:sz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Style w:val="17"/>
                <w:rFonts w:hint="eastAsia" w:ascii="宋体" w:hAnsi="宋体"/>
                <w:b/>
                <w:color w:val="auto"/>
                <w:sz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Style w:val="17"/>
                <w:rFonts w:hint="eastAsia" w:ascii="宋体" w:hAnsi="宋体"/>
                <w:b/>
                <w:color w:val="auto"/>
                <w:sz w:val="36"/>
                <w:lang w:val="en-US" w:eastAsia="zh-CN"/>
              </w:rPr>
              <w:t>二、商务参数</w:t>
            </w:r>
            <w:r>
              <w:rPr>
                <w:rStyle w:val="17"/>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合同约定的送货日期</w:t>
            </w:r>
            <w:r>
              <w:rPr>
                <w:rFonts w:hint="eastAsia" w:ascii="宋体" w:hAnsi="宋体" w:eastAsia="宋体" w:cs="宋体"/>
                <w:color w:val="auto"/>
                <w:sz w:val="24"/>
                <w:szCs w:val="24"/>
                <w:lang w:val="en-US" w:eastAsia="zh-CN"/>
              </w:rPr>
              <w:t>内</w:t>
            </w:r>
            <w:r>
              <w:rPr>
                <w:rFonts w:hint="default" w:ascii="宋体" w:hAnsi="宋体" w:eastAsia="宋体" w:cs="宋体"/>
                <w:color w:val="auto"/>
                <w:sz w:val="24"/>
                <w:szCs w:val="24"/>
                <w:lang w:val="en-US" w:eastAsia="zh-CN"/>
              </w:rPr>
              <w:t>将设备运至</w:t>
            </w:r>
            <w:r>
              <w:rPr>
                <w:rFonts w:hint="eastAsia" w:ascii="宋体" w:hAnsi="宋体" w:eastAsia="宋体" w:cs="宋体"/>
                <w:color w:val="auto"/>
                <w:sz w:val="24"/>
                <w:szCs w:val="24"/>
                <w:lang w:val="en-US" w:eastAsia="zh-CN"/>
              </w:rPr>
              <w:t>娄底市中心医院指定交货</w:t>
            </w:r>
            <w:r>
              <w:rPr>
                <w:rFonts w:hint="default" w:ascii="宋体" w:hAnsi="宋体" w:eastAsia="宋体" w:cs="宋体"/>
                <w:color w:val="auto"/>
                <w:sz w:val="24"/>
                <w:szCs w:val="24"/>
                <w:lang w:val="en-US" w:eastAsia="zh-CN"/>
              </w:rPr>
              <w:t>地点</w:t>
            </w:r>
            <w:r>
              <w:rPr>
                <w:rFonts w:hint="eastAsia" w:ascii="宋体" w:hAnsi="宋体" w:eastAsia="宋体" w:cs="宋体"/>
                <w:color w:val="auto"/>
                <w:sz w:val="24"/>
                <w:szCs w:val="24"/>
              </w:rPr>
              <w:t>，逾期按合同赔付。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p>
          <w:p>
            <w:pPr>
              <w:rPr>
                <w:rFonts w:hint="eastAsia" w:ascii="Arial" w:hAnsi="Arial" w:cs="Arial"/>
                <w:color w:val="auto"/>
              </w:rPr>
            </w:pPr>
          </w:p>
          <w:p>
            <w:pPr>
              <w:shd w:val="clear" w:color="auto" w:fill="FFFFFF"/>
              <w:tabs>
                <w:tab w:val="left" w:pos="1005"/>
              </w:tabs>
              <w:snapToGrid/>
              <w:spacing w:before="0" w:beforeAutospacing="0" w:after="0" w:afterAutospacing="0" w:line="360" w:lineRule="auto"/>
              <w:jc w:val="both"/>
              <w:textAlignment w:val="baseline"/>
              <w:rPr>
                <w:rStyle w:val="17"/>
                <w:rFonts w:ascii="宋体" w:hAnsi="宋体" w:eastAsia="宋体" w:cs="宋体"/>
                <w:b w:val="0"/>
                <w:bCs/>
                <w:i w:val="0"/>
                <w:caps w:val="0"/>
                <w:color w:val="000000"/>
                <w:spacing w:val="0"/>
                <w:w w:val="100"/>
                <w:kern w:val="2"/>
                <w:sz w:val="24"/>
                <w:szCs w:val="24"/>
                <w:lang w:val="en-US" w:eastAsia="zh-CN" w:bidi="ar-SA"/>
              </w:rPr>
            </w:pPr>
          </w:p>
          <w:p>
            <w:pPr>
              <w:shd w:val="clear" w:color="auto" w:fill="FFFFFF"/>
              <w:tabs>
                <w:tab w:val="left" w:pos="1005"/>
              </w:tabs>
              <w:snapToGrid/>
              <w:spacing w:before="0" w:beforeAutospacing="0" w:after="0" w:afterAutospacing="0" w:line="360" w:lineRule="auto"/>
              <w:jc w:val="both"/>
              <w:textAlignment w:val="baseline"/>
              <w:rPr>
                <w:rStyle w:val="17"/>
                <w:rFonts w:hint="eastAsia" w:ascii="宋体" w:hAnsi="宋体" w:eastAsia="宋体" w:cs="宋体"/>
                <w:b w:val="0"/>
                <w:bCs/>
                <w:i w:val="0"/>
                <w:caps w:val="0"/>
                <w:color w:val="000000"/>
                <w:spacing w:val="0"/>
                <w:w w:val="100"/>
                <w:kern w:val="2"/>
                <w:sz w:val="24"/>
                <w:szCs w:val="24"/>
                <w:lang w:val="en-US" w:eastAsia="zh-CN" w:bidi="ar-SA"/>
              </w:rPr>
            </w:pPr>
          </w:p>
          <w:p>
            <w:pPr>
              <w:shd w:val="clear" w:color="auto" w:fill="FFFFFF"/>
              <w:tabs>
                <w:tab w:val="left" w:pos="1005"/>
              </w:tabs>
              <w:snapToGrid/>
              <w:spacing w:before="0" w:beforeAutospacing="0" w:after="0" w:afterAutospacing="0" w:line="360" w:lineRule="auto"/>
              <w:jc w:val="both"/>
              <w:textAlignment w:val="baseline"/>
              <w:rPr>
                <w:rStyle w:val="17"/>
                <w:rFonts w:cs="Calibri"/>
                <w:b w:val="0"/>
                <w:bCs/>
                <w:i w:val="0"/>
                <w:caps w:val="0"/>
                <w:color w:val="000000"/>
                <w:spacing w:val="0"/>
                <w:w w:val="100"/>
                <w:kern w:val="2"/>
                <w:sz w:val="24"/>
                <w:szCs w:val="24"/>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r>
    </w:tbl>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r>
        <w:rPr>
          <w:rFonts w:hint="eastAsia" w:asciiTheme="minorEastAsia" w:hAnsiTheme="minorEastAsia" w:eastAsiaTheme="minorEastAsia" w:cstheme="minorEastAsia"/>
          <w:bCs/>
          <w:color w:val="auto"/>
          <w:kern w:val="0"/>
          <w:sz w:val="28"/>
          <w:szCs w:val="28"/>
          <w:lang w:val="en-US" w:eastAsia="zh-CN" w:bidi="ar-SA"/>
        </w:rPr>
        <w:t>9、投标文件必须胶装并用纸质文件袋封好（一正贰副），标书必须“A4规格纸张胶制（非打孔或夹装）装订成册，并编制总目录”,要求密封，封口加盖单位公章，否则视为符合性审查不合格，作无效投标处理，在开标现场验证时打开，采用现场开标的方式。</w:t>
      </w:r>
    </w:p>
    <w:p>
      <w:pPr>
        <w:pStyle w:val="2"/>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3"/>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5" w:type="default"/>
          <w:footerReference r:id="rId6"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2"/>
      </w:pPr>
    </w:p>
    <w:p>
      <w:pPr>
        <w:spacing w:before="120" w:beforeLines="50" w:after="120" w:afterLines="50" w:line="276" w:lineRule="auto"/>
        <w:rPr>
          <w:rFonts w:hint="eastAsia" w:eastAsia="宋体"/>
          <w:b/>
          <w:bCs/>
          <w:color w:val="auto"/>
          <w:sz w:val="28"/>
          <w:szCs w:val="28"/>
          <w:lang w:eastAsia="zh-CN"/>
        </w:rPr>
      </w:pPr>
    </w:p>
    <w:p>
      <w:pPr>
        <w:pStyle w:val="14"/>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5"/>
        <w:rPr>
          <w:color w:val="auto"/>
        </w:rPr>
      </w:pPr>
    </w:p>
    <w:p>
      <w:pPr>
        <w:pStyle w:val="15"/>
        <w:rPr>
          <w:color w:val="auto"/>
        </w:rPr>
      </w:pPr>
    </w:p>
    <w:p>
      <w:pPr>
        <w:pStyle w:val="15"/>
        <w:rPr>
          <w:color w:val="auto"/>
        </w:rPr>
      </w:pPr>
    </w:p>
    <w:p>
      <w:pPr>
        <w:pStyle w:val="15"/>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color w:val="auto"/>
        </w:rPr>
      </w:pPr>
    </w:p>
    <w:p>
      <w:pPr>
        <w:pStyle w:val="15"/>
        <w:rPr>
          <w:rFonts w:hint="eastAsia"/>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rFonts w:hint="eastAsia"/>
          <w:color w:val="auto"/>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2"/>
        <w:numPr>
          <w:ilvl w:val="0"/>
          <w:numId w:val="0"/>
        </w:numPr>
        <w:rPr>
          <w:rFonts w:hint="eastAsia"/>
          <w:lang w:eastAsia="zh-CN"/>
        </w:rPr>
      </w:pPr>
    </w:p>
    <w:p/>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体外反搏仪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体外反搏仪</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体外反搏仪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00000000"/>
    <w:multiLevelType w:val="singleLevel"/>
    <w:tmpl w:val="00000000"/>
    <w:lvl w:ilvl="0" w:tentative="0">
      <w:start w:val="3"/>
      <w:numFmt w:val="decimal"/>
      <w:suff w:val="nothing"/>
      <w:lvlText w:val="%1、"/>
      <w:lvlJc w:val="left"/>
      <w:pPr>
        <w:widowControl/>
        <w:textAlignment w:val="baseline"/>
      </w:pPr>
      <w:rPr>
        <w:rStyle w:val="17"/>
      </w:rPr>
    </w:lvl>
  </w:abstractNum>
  <w:abstractNum w:abstractNumId="5">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507914BD"/>
    <w:rsid w:val="50791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character" w:styleId="11">
    <w:name w:val="page number"/>
    <w:qFormat/>
    <w:uiPriority w:val="0"/>
    <w:rPr>
      <w:rFonts w:eastAsia="Arial"/>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8"/>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 w:type="character" w:customStyle="1" w:styleId="17">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5035</Words>
  <Characters>5276</Characters>
  <Lines>0</Lines>
  <Paragraphs>0</Paragraphs>
  <TotalTime>0</TotalTime>
  <ScaleCrop>false</ScaleCrop>
  <LinksUpToDate>false</LinksUpToDate>
  <CharactersWithSpaces>5844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2023-07-17T01:11:00Z</dcterms:created>
  <dc:creator>是小豹子</dc:creator>
  <cp:lastModifiedBy>是小豹子</cp:lastModifiedBy>
  <dcterms:modified xsi:type="dcterms:W3CDTF">2023-07-17T01:16:08Z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68D85AE86EA94CD79FA2C7561D715A9C_11</vt:lpwstr>
  </property>
</Properties>
</file>