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napToGrid w:val="0"/>
        <w:jc w:val="center"/>
        <w:rPr>
          <w:rFonts w:ascii="Arial" w:hAnsi="Arial" w:eastAsia="方正小标宋简体" w:cs="Arial"/>
          <w:color w:val="auto"/>
          <w:sz w:val="72"/>
          <w:szCs w:val="72"/>
        </w:rPr>
      </w:pPr>
      <w:bookmarkStart w:id="0" w:name="_Toc16523570"/>
    </w:p>
    <w:p>
      <w:pPr>
        <w:pStyle w:val="12"/>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spacing w:line="360" w:lineRule="auto"/>
        <w:rPr>
          <w:rFonts w:hint="eastAsia"/>
          <w:bCs/>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娄底中心医院设备科医疗器械招标文件</w:t>
      </w:r>
    </w:p>
    <w:p>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（牙科综合治疗台种植</w:t>
      </w:r>
      <w:r>
        <w:rPr>
          <w:rFonts w:hint="eastAsia" w:ascii="Times New Roman" w:hAnsi="Times New Roman" w:eastAsia="宋体" w:cs="Times New Roman"/>
          <w:b/>
          <w:bCs/>
          <w:kern w:val="44"/>
          <w:sz w:val="32"/>
          <w:szCs w:val="32"/>
          <w:lang w:val="en-US" w:eastAsia="zh-CN" w:bidi="ar-SA"/>
        </w:rPr>
        <w:t>院内</w:t>
      </w:r>
      <w:r>
        <w:rPr>
          <w:rFonts w:hint="eastAsia" w:cs="Times New Roman"/>
          <w:b/>
          <w:bCs/>
          <w:kern w:val="44"/>
          <w:sz w:val="32"/>
          <w:szCs w:val="32"/>
          <w:lang w:val="en-US" w:eastAsia="zh-CN" w:bidi="ar-SA"/>
        </w:rPr>
        <w:t>议价</w:t>
      </w:r>
      <w:bookmarkStart w:id="5" w:name="_GoBack"/>
      <w:bookmarkEnd w:id="5"/>
      <w:r>
        <w:rPr>
          <w:rFonts w:hint="eastAsia" w:ascii="Times New Roman" w:hAnsi="Times New Roman" w:eastAsia="宋体" w:cs="Times New Roman"/>
          <w:b/>
          <w:bCs/>
          <w:kern w:val="44"/>
          <w:sz w:val="32"/>
          <w:szCs w:val="32"/>
          <w:lang w:val="en-US" w:eastAsia="zh-CN" w:bidi="ar-SA"/>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三</w:t>
      </w:r>
      <w:r>
        <w:rPr>
          <w:rFonts w:hint="eastAsia" w:ascii="宋体" w:hAnsi="宋体" w:cs="宋体"/>
          <w:bCs/>
          <w:sz w:val="32"/>
          <w:szCs w:val="32"/>
        </w:rPr>
        <w:t>年</w:t>
      </w:r>
      <w:r>
        <w:rPr>
          <w:rFonts w:hint="eastAsia" w:ascii="宋体" w:hAnsi="宋体" w:cs="宋体"/>
          <w:bCs/>
          <w:sz w:val="32"/>
          <w:szCs w:val="32"/>
          <w:lang w:val="en-US" w:eastAsia="zh-CN"/>
        </w:rPr>
        <w:t>八</w:t>
      </w:r>
      <w:r>
        <w:rPr>
          <w:rFonts w:hint="eastAsia" w:ascii="宋体" w:hAnsi="宋体" w:cs="宋体"/>
          <w:bCs/>
          <w:sz w:val="32"/>
          <w:szCs w:val="32"/>
        </w:rPr>
        <w:t>月</w:t>
      </w:r>
    </w:p>
    <w:p>
      <w:pPr>
        <w:rPr>
          <w:rFonts w:hint="eastAsia" w:ascii="宋体" w:hAnsi="宋体" w:cs="宋体"/>
          <w:color w:val="auto"/>
          <w:sz w:val="44"/>
          <w:szCs w:val="44"/>
          <w:lang w:val="en-US" w:eastAsia="zh-CN"/>
        </w:rPr>
      </w:pPr>
    </w:p>
    <w:p>
      <w:pPr>
        <w:pStyle w:val="3"/>
        <w:numPr>
          <w:ilvl w:val="0"/>
          <w:numId w:val="0"/>
        </w:numPr>
        <w:spacing w:line="240" w:lineRule="auto"/>
        <w:ind w:leftChars="0"/>
        <w:jc w:val="center"/>
        <w:rPr>
          <w:rFonts w:hint="eastAsia" w:ascii="宋体" w:hAnsi="宋体" w:cs="宋体"/>
          <w:color w:val="auto"/>
          <w:sz w:val="44"/>
          <w:szCs w:val="44"/>
          <w:lang w:val="en-US" w:eastAsia="zh-CN"/>
        </w:rPr>
        <w:sectPr>
          <w:headerReference r:id="rId3" w:type="default"/>
          <w:footerReference r:id="rId4" w:type="default"/>
          <w:pgSz w:w="11906" w:h="16838"/>
          <w:pgMar w:top="1440" w:right="1080" w:bottom="1440" w:left="1080" w:header="567" w:footer="283" w:gutter="0"/>
          <w:cols w:space="720" w:num="1"/>
          <w:docGrid w:linePitch="312" w:charSpace="0"/>
        </w:sectPr>
      </w:pPr>
    </w:p>
    <w:p>
      <w:pPr>
        <w:rPr>
          <w:rFonts w:hint="eastAsia"/>
          <w:lang w:val="en-US" w:eastAsia="zh-CN"/>
        </w:rPr>
      </w:pPr>
    </w:p>
    <w:p>
      <w:pPr>
        <w:pStyle w:val="3"/>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牙科综合治疗台（种植）</w:t>
      </w:r>
      <w:r>
        <w:rPr>
          <w:rFonts w:hint="eastAsia" w:asciiTheme="minorEastAsia" w:hAnsiTheme="minorEastAsia" w:eastAsiaTheme="minorEastAsia" w:cstheme="minorEastAsia"/>
          <w:bCs/>
          <w:color w:val="auto"/>
          <w:sz w:val="24"/>
          <w:szCs w:val="24"/>
          <w:lang w:val="en-US" w:eastAsia="zh-CN"/>
        </w:rPr>
        <w:t>项目进行院内挂网招标，将招标事项公告如下：</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牙科综合治疗台（种植）</w:t>
      </w:r>
      <w:r>
        <w:rPr>
          <w:rFonts w:hint="eastAsia" w:asciiTheme="minorEastAsia" w:hAnsiTheme="minorEastAsia" w:eastAsiaTheme="minorEastAsia" w:cstheme="minorEastAsia"/>
          <w:b w:val="0"/>
          <w:bCs/>
          <w:color w:val="auto"/>
          <w:sz w:val="24"/>
          <w:szCs w:val="24"/>
          <w:lang w:val="en-US" w:eastAsia="zh-CN"/>
        </w:rPr>
        <w:t>采购项目</w:t>
      </w:r>
    </w:p>
    <w:p>
      <w:pPr>
        <w:pStyle w:val="1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pPr>
        <w:pStyle w:val="12"/>
        <w:keepNext w:val="0"/>
        <w:keepLines w:val="0"/>
        <w:pageBreakBefore w:val="0"/>
        <w:widowControl w:val="0"/>
        <w:numPr>
          <w:ilvl w:val="0"/>
          <w:numId w:val="2"/>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院内议价，按招标文件评分规则进行评审，以评审结果排序，综合评分得分相同的，按投标报价由低到高顺序排列，得分且投标报价相同的，按技术指标优劣顺序排列。</w:t>
      </w:r>
    </w:p>
    <w:bookmarkEnd w:id="0"/>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1、具有独立法人地位，营业执照具有相应的经营范围；</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6、投标人具备湖南省政府采购电子卖场资格，中标人在议价公示后三个工作日内需配合医院完成湖南省政府采购电子卖场直购程序。</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1、投标截止时间、开标时间：具体时间电话通知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pPr>
        <w:pStyle w:val="13"/>
        <w:rPr>
          <w:rFonts w:hint="eastAsia"/>
          <w:lang w:val="en-US" w:eastAsia="zh-CN"/>
        </w:rPr>
      </w:pPr>
    </w:p>
    <w:p>
      <w:pPr>
        <w:pStyle w:val="13"/>
        <w:jc w:val="both"/>
        <w:rPr>
          <w:rFonts w:hint="default"/>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3"/>
        <w:rPr>
          <w:rFonts w:hint="eastAsia" w:ascii="宋体" w:hAnsi="宋体" w:cs="宋体"/>
          <w:b/>
          <w:bCs/>
          <w:color w:val="auto"/>
          <w:sz w:val="44"/>
          <w:szCs w:val="44"/>
          <w:lang w:val="en-US" w:eastAsia="zh-CN"/>
        </w:rPr>
      </w:pPr>
    </w:p>
    <w:p>
      <w:pPr>
        <w:pStyle w:val="6"/>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pStyle w:val="2"/>
        <w:rPr>
          <w:rFonts w:hint="eastAsia"/>
          <w:lang w:val="en-US" w:eastAsia="zh-CN"/>
        </w:rPr>
      </w:pPr>
    </w:p>
    <w:p>
      <w:pPr>
        <w:pStyle w:val="3"/>
        <w:rPr>
          <w:rFonts w:hint="eastAsia" w:ascii="宋体" w:hAnsi="宋体" w:cs="宋体"/>
          <w:b/>
          <w:bCs/>
          <w:color w:val="auto"/>
          <w:sz w:val="44"/>
          <w:szCs w:val="44"/>
          <w:lang w:val="en-US" w:eastAsia="zh-CN"/>
        </w:rPr>
      </w:pPr>
    </w:p>
    <w:p>
      <w:pPr>
        <w:rPr>
          <w:rFonts w:hint="eastAsia"/>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0"/>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1721"/>
        <w:gridCol w:w="1710"/>
        <w:gridCol w:w="2134"/>
        <w:gridCol w:w="278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05"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1721"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134"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预算价格（万元）</w:t>
            </w:r>
          </w:p>
        </w:tc>
        <w:tc>
          <w:tcPr>
            <w:tcW w:w="278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63" w:hRule="atLeast"/>
          <w:jc w:val="center"/>
        </w:trPr>
        <w:tc>
          <w:tcPr>
            <w:tcW w:w="958"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1721"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rPr>
              <w:t>牙科综合治疗台（种植）</w:t>
            </w:r>
          </w:p>
        </w:tc>
        <w:tc>
          <w:tcPr>
            <w:tcW w:w="1710"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134" w:type="dxa"/>
            <w:tcBorders>
              <w:top w:val="single" w:color="000000" w:sz="6" w:space="0"/>
              <w:left w:val="single" w:color="000000" w:sz="6" w:space="0"/>
              <w:bottom w:val="single" w:color="auto" w:sz="4"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6.9</w:t>
            </w:r>
          </w:p>
        </w:tc>
        <w:tc>
          <w:tcPr>
            <w:tcW w:w="2786"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否</w:t>
            </w:r>
          </w:p>
        </w:tc>
      </w:tr>
    </w:tbl>
    <w:p>
      <w:pPr>
        <w:spacing w:line="360" w:lineRule="auto"/>
        <w:rPr>
          <w:rFonts w:hint="eastAsia" w:asciiTheme="minorEastAsia" w:hAnsiTheme="minorEastAsia" w:eastAsiaTheme="minorEastAsia" w:cstheme="minorEastAsia"/>
          <w:bCs/>
          <w:color w:val="auto"/>
          <w:kern w:val="0"/>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w:t>
      </w:r>
    </w:p>
    <w:p>
      <w:pPr>
        <w:spacing w:line="360" w:lineRule="auto"/>
        <w:ind w:firstLine="422" w:firstLineChars="200"/>
        <w:rPr>
          <w:rFonts w:hint="eastAsia"/>
          <w:b/>
          <w:bCs/>
          <w:lang w:val="en-US" w:eastAsia="zh-CN"/>
        </w:rPr>
      </w:pPr>
      <w:r>
        <w:rPr>
          <w:rFonts w:hint="eastAsia"/>
          <w:b/>
          <w:bCs/>
          <w:lang w:val="en-US" w:eastAsia="zh-CN"/>
        </w:rPr>
        <w:t>技术参数：</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 xml:space="preserve">1、同品牌高速手机1支。进口钢球轴承,端面四孔喷雾,转速≥310000转/分钟，可进行≥132℃高温和真空灭菌消毒。 </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w:t>
      </w:r>
      <w:r>
        <w:rPr>
          <w:rFonts w:hint="default" w:asciiTheme="minorEastAsia" w:hAnsiTheme="minorEastAsia" w:eastAsiaTheme="minorEastAsia" w:cstheme="minorEastAsia"/>
          <w:bCs/>
          <w:color w:val="auto"/>
          <w:kern w:val="0"/>
          <w:sz w:val="24"/>
          <w:szCs w:val="24"/>
          <w:lang w:val="en-US" w:eastAsia="zh-CN" w:bidi="ar-SA"/>
        </w:rPr>
        <w:t>同品牌气动低速手机1套：含直机、弯机、马达。</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2.1直机：冷却形式为外部雾化冷却，可拆卸式喷雾座；</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2.2弯机：冷却形式为部雾化冷却,可拆卸喷水卡；</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2.3马达：冷却形式部雾化冷却；具有正反转功能；转速≥20000转/分钟，可进行≥132℃高温和真空灭菌消毒。</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3、三用枪1支。可喷水、气、雾，枪头可进行≥132℃高温和真空灭菌消毒。</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4、医生用移动式工作台：</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4.1、医生用移动工作台台面设有电源开关、台面升、台面降按钮，器械盘可在730mm—850mm范围内升降自如，轻松调节高度。</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4.2、移动式工作台及治疗托盘台面均采用全不锈钢结构，表面可以进行消毒，满足种植手术需求。</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4.3、移动式工作台具有不锈钢治疗托盘台面，台面尺寸：≥700mm(长） X 370mm（宽），台面可再拉伸≥200mm长，有效扩大台面尺寸，方便搁置种植机、各类手术器械等，满足种植手术的需求。</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4.4、配有三联枪架，设置有高速手机、低速手机、三用枪，枪架可自由旋转。同时预留有种植机、洁牙机枪架位2个，方便医生使用。</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4.5、设有总气开关，可轻松控制治疗机水、气、电。</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4.6、设有外置式纯净水瓶1个，采用手动泻压与增加，方便查看和加水。</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5、助手工作台：</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5.1、二关节旋转式助手架，方便四手操作，扩大助手诊疗范围。</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5.2、助手位设有薄膜按键：具有设置键以及牙科椅升、降、俯、仰键，定位准确，功能丰富，有效提升助手工作效率。</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5.3、助手单元有2个器械挂架：金属制手持痰盂1个，吸唾器1个，满足助手配合治疗的操作需求。</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6、器械臂及不锈钢器械盘：手动锁紧器械臂，可升降和移动，推拉自如，可以保证台面在任意工作位置锁定。配有不锈钢器械盘，衬有钢化玻璃，可消毒。</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7、感应式LED无影手术灯：</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7.1、感应及手动双重控制口腔灯开启与关闭。</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7.2、由≥18孔LED光源构成。</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7.3、口腔灯数字显示色温和照度，可准确获得最佳照明效果，照度和色温均可调节，方便使用。</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7.4、口腔灯可三轴旋转，方便拉伸、锁定。</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8、痰盂：金属制手持式痰盂，易清洁消毒，方便患者漱口吐痰使用。</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9、移动式负压抽吸系统：</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9.1、采用全塑面板设计。</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9.2、设有截流回流装置，减少油雾污染。</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9.3、可方便移动。</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9.4、极限负压值：≥0.09MPa(680mmHg)。</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9.5、负压调节范围:0.02～0.09MPa(150～680mmHg)。</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 xml:space="preserve">9.6、抽气速率：≥32L/min。 </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9.7、噪声：≤60dB(A)。</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9.8、贮液瓶：≥2500ml×2个。</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10、牙科（患者）椅：</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10.1、采用直流电机驱动。低噪音，动力稳定，运行平稳。</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10.2、靠背背板为铸铝材质，整体注塑框架工艺制成，靠背背板与牙椅框架整体连接，结实可靠，连接稳固，运行更安全。</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10.3、靠背采用挂钩形式连接，座垫采用搭扣形式连接，免用工具就可方便更换与维修。</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10.4、患者椅具有带记忆电机，记忆永存，断电不丢失。</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10.5、牙椅座椅和靠背联动设计，避免患者背部牵拉及搓背感，靠背运动1°—70°，有效提升患者舒适感。</w:t>
      </w:r>
    </w:p>
    <w:p>
      <w:pPr>
        <w:spacing w:line="360" w:lineRule="auto"/>
        <w:ind w:firstLine="480" w:firstLineChars="200"/>
        <w:rPr>
          <w:rFonts w:hint="default" w:asciiTheme="minorEastAsia" w:hAnsiTheme="minorEastAsia" w:eastAsiaTheme="minorEastAsia" w:cstheme="minorEastAsia"/>
          <w:bCs/>
          <w:color w:val="FF0000"/>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10.6、牙椅运行平稳，启停柔和。牙椅具有抬腿补偿结构，</w:t>
      </w:r>
      <w:r>
        <w:rPr>
          <w:rFonts w:hint="default" w:asciiTheme="minorEastAsia" w:hAnsiTheme="minorEastAsia" w:eastAsiaTheme="minorEastAsia" w:cstheme="minorEastAsia"/>
          <w:bCs/>
          <w:color w:val="FF0000"/>
          <w:kern w:val="0"/>
          <w:sz w:val="24"/>
          <w:szCs w:val="24"/>
          <w:lang w:val="en-US" w:eastAsia="zh-CN" w:bidi="ar-SA"/>
        </w:rPr>
        <w:t>最低椅位：410mm，最高椅位：750mm，方便患者上下牙椅。</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10.7、多关节折叠式头枕，可多角度调整并固定头枕，且可拉伸和锁定，伸缩范围≥150mm，满足成人和老人、儿童、残障人士使用。</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10.8、牙科椅承载能力≥150Kg，满足各类患者治疗使用。</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10.9、双扶手设计，外扶手可向下翻转，方便患者治疗和上下牙科椅使用。</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10.10、</w:t>
      </w:r>
      <w:r>
        <w:rPr>
          <w:rFonts w:hint="default" w:asciiTheme="minorEastAsia" w:hAnsiTheme="minorEastAsia" w:eastAsiaTheme="minorEastAsia" w:cstheme="minorEastAsia"/>
          <w:bCs/>
          <w:color w:val="FF0000"/>
          <w:kern w:val="0"/>
          <w:sz w:val="24"/>
          <w:szCs w:val="24"/>
          <w:lang w:val="en-US" w:eastAsia="zh-CN" w:bidi="ar-SA"/>
        </w:rPr>
        <w:t>牙科椅可向外水平旋转</w:t>
      </w:r>
      <w:r>
        <w:rPr>
          <w:rFonts w:hint="eastAsia" w:asciiTheme="minorEastAsia" w:hAnsiTheme="minorEastAsia" w:eastAsiaTheme="minorEastAsia" w:cstheme="minorEastAsia"/>
          <w:bCs/>
          <w:color w:val="FF0000"/>
          <w:kern w:val="0"/>
          <w:sz w:val="24"/>
          <w:szCs w:val="24"/>
          <w:lang w:val="en-US" w:eastAsia="zh-CN" w:bidi="ar-SA"/>
        </w:rPr>
        <w:t>大于等于</w:t>
      </w:r>
      <w:r>
        <w:rPr>
          <w:rFonts w:hint="default" w:asciiTheme="minorEastAsia" w:hAnsiTheme="minorEastAsia" w:eastAsiaTheme="minorEastAsia" w:cstheme="minorEastAsia"/>
          <w:bCs/>
          <w:color w:val="FF0000"/>
          <w:kern w:val="0"/>
          <w:sz w:val="24"/>
          <w:szCs w:val="24"/>
          <w:lang w:val="en-US" w:eastAsia="zh-CN" w:bidi="ar-SA"/>
        </w:rPr>
        <w:t>30°，</w:t>
      </w:r>
      <w:r>
        <w:rPr>
          <w:rFonts w:hint="default" w:asciiTheme="minorEastAsia" w:hAnsiTheme="minorEastAsia" w:eastAsiaTheme="minorEastAsia" w:cstheme="minorEastAsia"/>
          <w:bCs/>
          <w:color w:val="auto"/>
          <w:kern w:val="0"/>
          <w:sz w:val="24"/>
          <w:szCs w:val="24"/>
          <w:lang w:val="en-US" w:eastAsia="zh-CN" w:bidi="ar-SA"/>
        </w:rPr>
        <w:t>方便患者上下牙科椅使用。</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10.11、牙椅底板罩壳后方设有可控制牙椅升、降、俯、仰运动的球状开关。</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11、脚开关：</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11.1、可控制患者椅位运动；可控制高速手机、低速手机、洁牙机等动态器械。</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11.2、可控制高速手机单喷气/无水操作。</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11.3、可控制高速手机吹屑气操作。</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11.4、可控制手术灯开启及关闭。</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12、全面安全保障控制：</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12.1、牙椅具有安全保护功能，牙椅在下降的动作过程中遇障碍座椅会停止运动，并小幅上升，具有防挤脚功能。</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12.2、牙椅具有即停功能：无论牙椅进行任何运动，只要按上主控面板上任意一个椅位键，牙椅运动停止，有效避免意外发生。</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12.3、当手机工作时，牙科椅被自动锁定，有效避免误操作带来的安全隐患。</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12.4、设置负载短路及过载保护，保证了设备电气的使用安全。</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13、医生座椅、护士座椅各一套。</w:t>
      </w:r>
    </w:p>
    <w:p>
      <w:pPr>
        <w:pStyle w:val="2"/>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*配置清单：</w:t>
      </w:r>
    </w:p>
    <w:tbl>
      <w:tblPr>
        <w:tblStyle w:val="10"/>
        <w:tblW w:w="63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0"/>
        <w:gridCol w:w="2687"/>
        <w:gridCol w:w="1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950" w:type="dxa"/>
          </w:tcPr>
          <w:p>
            <w:pPr>
              <w:spacing w:line="440" w:lineRule="exact"/>
              <w:jc w:val="center"/>
              <w:rPr>
                <w:rFonts w:hint="eastAsia" w:ascii="华文仿宋" w:hAnsi="华文仿宋" w:eastAsia="华文仿宋" w:cs="华文仿宋"/>
                <w:b w:val="0"/>
                <w:bCs w:val="0"/>
                <w:sz w:val="24"/>
                <w:szCs w:val="24"/>
                <w:lang w:val="en-US" w:eastAsia="zh-CN"/>
              </w:rPr>
            </w:pPr>
            <w:r>
              <w:rPr>
                <w:rFonts w:hint="eastAsia" w:ascii="华文仿宋" w:hAnsi="华文仿宋" w:eastAsia="华文仿宋" w:cs="华文仿宋"/>
                <w:b w:val="0"/>
                <w:bCs w:val="0"/>
                <w:sz w:val="24"/>
                <w:szCs w:val="24"/>
                <w:lang w:val="en-US" w:eastAsia="zh-CN"/>
              </w:rPr>
              <w:t>序号</w:t>
            </w:r>
          </w:p>
        </w:tc>
        <w:tc>
          <w:tcPr>
            <w:tcW w:w="2687" w:type="dxa"/>
          </w:tcPr>
          <w:p>
            <w:pPr>
              <w:spacing w:line="440" w:lineRule="exact"/>
              <w:jc w:val="center"/>
              <w:rPr>
                <w:rFonts w:hint="default" w:ascii="华文仿宋" w:hAnsi="华文仿宋" w:eastAsia="华文仿宋" w:cs="华文仿宋"/>
                <w:b w:val="0"/>
                <w:bCs w:val="0"/>
                <w:sz w:val="24"/>
                <w:szCs w:val="24"/>
                <w:lang w:val="en-US" w:eastAsia="zh-CN"/>
              </w:rPr>
            </w:pPr>
            <w:r>
              <w:rPr>
                <w:rFonts w:hint="eastAsia" w:ascii="华文仿宋" w:hAnsi="华文仿宋" w:eastAsia="华文仿宋" w:cs="华文仿宋"/>
                <w:b w:val="0"/>
                <w:bCs w:val="0"/>
                <w:sz w:val="24"/>
                <w:szCs w:val="24"/>
                <w:lang w:val="en-US" w:eastAsia="zh-CN"/>
              </w:rPr>
              <w:t>名称</w:t>
            </w:r>
          </w:p>
        </w:tc>
        <w:tc>
          <w:tcPr>
            <w:tcW w:w="1747" w:type="dxa"/>
          </w:tcPr>
          <w:p>
            <w:pPr>
              <w:spacing w:line="440" w:lineRule="exact"/>
              <w:jc w:val="center"/>
              <w:rPr>
                <w:rFonts w:hint="default" w:ascii="华文仿宋" w:hAnsi="华文仿宋" w:eastAsia="华文仿宋" w:cs="华文仿宋"/>
                <w:b w:val="0"/>
                <w:bCs w:val="0"/>
                <w:sz w:val="24"/>
                <w:szCs w:val="24"/>
                <w:lang w:val="en-US" w:eastAsia="zh-CN"/>
              </w:rPr>
            </w:pPr>
            <w:r>
              <w:rPr>
                <w:rFonts w:hint="eastAsia" w:ascii="华文仿宋" w:hAnsi="华文仿宋" w:eastAsia="华文仿宋" w:cs="华文仿宋"/>
                <w:b w:val="0"/>
                <w:bCs w:val="0"/>
                <w:sz w:val="24"/>
                <w:szCs w:val="24"/>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950" w:type="dxa"/>
            <w:vAlign w:val="top"/>
          </w:tcPr>
          <w:p>
            <w:pPr>
              <w:keepNext w:val="0"/>
              <w:keepLines w:val="0"/>
              <w:widowControl/>
              <w:suppressLineNumbers w:val="0"/>
              <w:jc w:val="center"/>
              <w:textAlignment w:val="top"/>
              <w:rPr>
                <w:rFonts w:hint="default" w:ascii="华文仿宋" w:hAnsi="华文仿宋" w:eastAsia="华文仿宋" w:cs="华文仿宋"/>
                <w:b w:val="0"/>
                <w:bCs w:val="0"/>
                <w:sz w:val="24"/>
                <w:szCs w:val="24"/>
                <w:lang w:val="en-US" w:eastAsia="zh-CN"/>
              </w:rPr>
            </w:pPr>
            <w:r>
              <w:rPr>
                <w:rFonts w:hint="eastAsia" w:ascii="华文仿宋" w:hAnsi="华文仿宋" w:eastAsia="华文仿宋" w:cs="华文仿宋"/>
                <w:b w:val="0"/>
                <w:bCs w:val="0"/>
                <w:sz w:val="24"/>
                <w:szCs w:val="24"/>
                <w:lang w:val="en-US" w:eastAsia="zh-CN"/>
              </w:rPr>
              <w:t>1</w:t>
            </w:r>
          </w:p>
        </w:tc>
        <w:tc>
          <w:tcPr>
            <w:tcW w:w="2687" w:type="dxa"/>
            <w:vAlign w:val="center"/>
          </w:tcPr>
          <w:p>
            <w:pPr>
              <w:keepNext w:val="0"/>
              <w:keepLines w:val="0"/>
              <w:widowControl/>
              <w:suppressLineNumbers w:val="0"/>
              <w:ind w:firstLine="210" w:firstLineChars="100"/>
              <w:jc w:val="center"/>
              <w:textAlignment w:val="center"/>
              <w:rPr>
                <w:rFonts w:hint="eastAsia" w:ascii="华文仿宋" w:hAnsi="华文仿宋" w:eastAsia="华文仿宋" w:cs="华文仿宋"/>
                <w:b w:val="0"/>
                <w:bCs w:val="0"/>
                <w:sz w:val="24"/>
                <w:szCs w:val="24"/>
                <w:lang w:val="en-US" w:eastAsia="zh-CN"/>
              </w:rPr>
            </w:pPr>
            <w:r>
              <w:rPr>
                <w:rFonts w:hint="eastAsia"/>
              </w:rPr>
              <w:t>高速手机 4孔</w:t>
            </w:r>
          </w:p>
        </w:tc>
        <w:tc>
          <w:tcPr>
            <w:tcW w:w="1747" w:type="dxa"/>
            <w:vAlign w:val="center"/>
          </w:tcPr>
          <w:p>
            <w:pPr>
              <w:keepNext w:val="0"/>
              <w:keepLines w:val="0"/>
              <w:widowControl/>
              <w:suppressLineNumbers w:val="0"/>
              <w:jc w:val="center"/>
              <w:textAlignment w:val="center"/>
              <w:rPr>
                <w:rFonts w:hint="eastAsia" w:ascii="华文仿宋" w:hAnsi="华文仿宋" w:eastAsia="华文仿宋" w:cs="华文仿宋"/>
                <w:b w:val="0"/>
                <w:bCs w:val="0"/>
                <w:i w:val="0"/>
                <w:color w:val="000000"/>
                <w:kern w:val="0"/>
                <w:sz w:val="24"/>
                <w:szCs w:val="24"/>
                <w:u w:val="none"/>
                <w:lang w:val="en-US" w:eastAsia="zh-CN" w:bidi="ar"/>
              </w:rPr>
            </w:pPr>
            <w:r>
              <w:rPr>
                <w:rFonts w:hint="eastAsia"/>
              </w:rPr>
              <w:t>1支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950" w:type="dxa"/>
            <w:vAlign w:val="top"/>
          </w:tcPr>
          <w:p>
            <w:pPr>
              <w:keepNext w:val="0"/>
              <w:keepLines w:val="0"/>
              <w:widowControl/>
              <w:suppressLineNumbers w:val="0"/>
              <w:jc w:val="center"/>
              <w:textAlignment w:val="top"/>
              <w:rPr>
                <w:rFonts w:hint="default" w:ascii="华文仿宋" w:hAnsi="华文仿宋" w:eastAsia="华文仿宋" w:cs="华文仿宋"/>
                <w:b w:val="0"/>
                <w:bCs w:val="0"/>
                <w:sz w:val="24"/>
                <w:szCs w:val="24"/>
                <w:lang w:val="en-US" w:eastAsia="zh-CN"/>
              </w:rPr>
            </w:pPr>
            <w:r>
              <w:rPr>
                <w:rFonts w:hint="eastAsia" w:ascii="华文仿宋" w:hAnsi="华文仿宋" w:eastAsia="华文仿宋" w:cs="华文仿宋"/>
                <w:b w:val="0"/>
                <w:bCs w:val="0"/>
                <w:sz w:val="24"/>
                <w:szCs w:val="24"/>
                <w:lang w:val="en-US" w:eastAsia="zh-CN"/>
              </w:rPr>
              <w:t>2</w:t>
            </w:r>
          </w:p>
        </w:tc>
        <w:tc>
          <w:tcPr>
            <w:tcW w:w="2687" w:type="dxa"/>
            <w:vAlign w:val="center"/>
          </w:tcPr>
          <w:p>
            <w:pPr>
              <w:keepNext w:val="0"/>
              <w:keepLines w:val="0"/>
              <w:widowControl/>
              <w:suppressLineNumbers w:val="0"/>
              <w:ind w:firstLine="210" w:firstLineChars="100"/>
              <w:jc w:val="center"/>
              <w:textAlignment w:val="center"/>
              <w:rPr>
                <w:rFonts w:hint="default" w:ascii="华文仿宋" w:hAnsi="华文仿宋" w:eastAsia="华文仿宋" w:cs="华文仿宋"/>
                <w:b w:val="0"/>
                <w:bCs w:val="0"/>
                <w:sz w:val="24"/>
                <w:szCs w:val="24"/>
                <w:lang w:val="en-US" w:eastAsia="zh-CN"/>
              </w:rPr>
            </w:pPr>
            <w:r>
              <w:rPr>
                <w:rFonts w:hint="eastAsia"/>
              </w:rPr>
              <w:t xml:space="preserve">低速手机 4孔 </w:t>
            </w:r>
            <w:r>
              <w:rPr>
                <w:rFonts w:hint="eastAsia"/>
                <w:lang w:eastAsia="zh-CN"/>
              </w:rPr>
              <w:t>（</w:t>
            </w:r>
            <w:r>
              <w:rPr>
                <w:rFonts w:hint="eastAsia"/>
                <w:lang w:val="en-US" w:eastAsia="zh-CN"/>
              </w:rPr>
              <w:t>直机、弯机、马达</w:t>
            </w:r>
            <w:r>
              <w:rPr>
                <w:rFonts w:hint="eastAsia"/>
                <w:lang w:eastAsia="zh-CN"/>
              </w:rPr>
              <w:t>）</w:t>
            </w:r>
          </w:p>
        </w:tc>
        <w:tc>
          <w:tcPr>
            <w:tcW w:w="1747" w:type="dxa"/>
            <w:vAlign w:val="center"/>
          </w:tcPr>
          <w:p>
            <w:pPr>
              <w:keepNext w:val="0"/>
              <w:keepLines w:val="0"/>
              <w:widowControl/>
              <w:suppressLineNumbers w:val="0"/>
              <w:jc w:val="center"/>
              <w:textAlignment w:val="center"/>
              <w:rPr>
                <w:rFonts w:hint="eastAsia" w:ascii="华文仿宋" w:hAnsi="华文仿宋" w:eastAsia="华文仿宋" w:cs="华文仿宋"/>
                <w:b w:val="0"/>
                <w:bCs w:val="0"/>
                <w:i w:val="0"/>
                <w:color w:val="000000"/>
                <w:kern w:val="0"/>
                <w:sz w:val="24"/>
                <w:szCs w:val="24"/>
                <w:u w:val="none"/>
                <w:lang w:val="en-US" w:eastAsia="zh-CN" w:bidi="ar"/>
              </w:rPr>
            </w:pPr>
            <w:r>
              <w:rPr>
                <w:rFonts w:hint="eastAsia"/>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950" w:type="dxa"/>
            <w:vAlign w:val="center"/>
          </w:tcPr>
          <w:p>
            <w:pPr>
              <w:keepNext w:val="0"/>
              <w:keepLines w:val="0"/>
              <w:widowControl/>
              <w:suppressLineNumbers w:val="0"/>
              <w:jc w:val="center"/>
              <w:textAlignment w:val="center"/>
              <w:rPr>
                <w:rFonts w:hint="default" w:ascii="华文仿宋" w:hAnsi="华文仿宋" w:eastAsia="华文仿宋" w:cs="华文仿宋"/>
                <w:b w:val="0"/>
                <w:bCs w:val="0"/>
                <w:sz w:val="24"/>
                <w:szCs w:val="24"/>
                <w:lang w:val="en-US" w:eastAsia="zh-CN"/>
              </w:rPr>
            </w:pPr>
            <w:r>
              <w:rPr>
                <w:rFonts w:hint="eastAsia" w:ascii="华文仿宋" w:hAnsi="华文仿宋" w:eastAsia="华文仿宋" w:cs="华文仿宋"/>
                <w:b w:val="0"/>
                <w:bCs w:val="0"/>
                <w:sz w:val="24"/>
                <w:szCs w:val="24"/>
                <w:lang w:val="en-US" w:eastAsia="zh-CN"/>
              </w:rPr>
              <w:t>3</w:t>
            </w:r>
          </w:p>
        </w:tc>
        <w:tc>
          <w:tcPr>
            <w:tcW w:w="2687" w:type="dxa"/>
            <w:vAlign w:val="center"/>
          </w:tcPr>
          <w:p>
            <w:pPr>
              <w:keepNext w:val="0"/>
              <w:keepLines w:val="0"/>
              <w:widowControl/>
              <w:suppressLineNumbers w:val="0"/>
              <w:ind w:firstLine="210" w:firstLineChars="100"/>
              <w:jc w:val="center"/>
              <w:textAlignment w:val="center"/>
              <w:rPr>
                <w:rFonts w:hint="default" w:ascii="华文仿宋" w:hAnsi="华文仿宋" w:eastAsia="华文仿宋" w:cs="华文仿宋"/>
                <w:b w:val="0"/>
                <w:bCs w:val="0"/>
                <w:sz w:val="24"/>
                <w:szCs w:val="24"/>
                <w:lang w:val="en-US" w:eastAsia="zh-CN"/>
              </w:rPr>
            </w:pPr>
            <w:r>
              <w:rPr>
                <w:rFonts w:hint="eastAsia"/>
              </w:rPr>
              <w:t>三用枪</w:t>
            </w:r>
          </w:p>
        </w:tc>
        <w:tc>
          <w:tcPr>
            <w:tcW w:w="1747" w:type="dxa"/>
            <w:vAlign w:val="center"/>
          </w:tcPr>
          <w:p>
            <w:pPr>
              <w:keepNext w:val="0"/>
              <w:keepLines w:val="0"/>
              <w:widowControl/>
              <w:suppressLineNumbers w:val="0"/>
              <w:jc w:val="center"/>
              <w:textAlignment w:val="center"/>
              <w:rPr>
                <w:rFonts w:hint="eastAsia" w:ascii="华文仿宋" w:hAnsi="华文仿宋" w:eastAsia="华文仿宋" w:cs="华文仿宋"/>
                <w:b w:val="0"/>
                <w:bCs w:val="0"/>
                <w:sz w:val="24"/>
                <w:szCs w:val="24"/>
                <w:lang w:val="en-US" w:eastAsia="zh-CN"/>
              </w:rPr>
            </w:pPr>
            <w:r>
              <w:rPr>
                <w:rFonts w:hint="eastAsia"/>
              </w:rPr>
              <w:t>1支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950" w:type="dxa"/>
            <w:vAlign w:val="top"/>
          </w:tcPr>
          <w:p>
            <w:pPr>
              <w:keepNext w:val="0"/>
              <w:keepLines w:val="0"/>
              <w:widowControl/>
              <w:suppressLineNumbers w:val="0"/>
              <w:jc w:val="center"/>
              <w:textAlignment w:val="top"/>
              <w:rPr>
                <w:rFonts w:hint="default" w:ascii="华文仿宋" w:hAnsi="华文仿宋" w:eastAsia="华文仿宋" w:cs="华文仿宋"/>
                <w:b w:val="0"/>
                <w:bCs w:val="0"/>
                <w:sz w:val="24"/>
                <w:szCs w:val="24"/>
                <w:lang w:val="en-US" w:eastAsia="zh-CN"/>
              </w:rPr>
            </w:pPr>
            <w:r>
              <w:rPr>
                <w:rFonts w:hint="eastAsia" w:ascii="华文仿宋" w:hAnsi="华文仿宋" w:eastAsia="华文仿宋" w:cs="华文仿宋"/>
                <w:b w:val="0"/>
                <w:bCs w:val="0"/>
                <w:sz w:val="24"/>
                <w:szCs w:val="24"/>
                <w:lang w:val="en-US" w:eastAsia="zh-CN"/>
              </w:rPr>
              <w:t>4</w:t>
            </w:r>
          </w:p>
        </w:tc>
        <w:tc>
          <w:tcPr>
            <w:tcW w:w="2687" w:type="dxa"/>
            <w:vAlign w:val="center"/>
          </w:tcPr>
          <w:p>
            <w:pPr>
              <w:keepNext w:val="0"/>
              <w:keepLines w:val="0"/>
              <w:widowControl/>
              <w:suppressLineNumbers w:val="0"/>
              <w:ind w:firstLine="210" w:firstLineChars="100"/>
              <w:jc w:val="center"/>
              <w:textAlignment w:val="center"/>
              <w:rPr>
                <w:rFonts w:hint="eastAsia" w:ascii="华文仿宋" w:hAnsi="华文仿宋" w:eastAsia="华文仿宋" w:cs="华文仿宋"/>
                <w:b w:val="0"/>
                <w:bCs w:val="0"/>
                <w:sz w:val="24"/>
                <w:szCs w:val="24"/>
                <w:lang w:val="en-US" w:eastAsia="zh-CN"/>
              </w:rPr>
            </w:pPr>
            <w:r>
              <w:rPr>
                <w:rFonts w:hint="eastAsia"/>
              </w:rPr>
              <w:t>医生用工作台</w:t>
            </w:r>
          </w:p>
        </w:tc>
        <w:tc>
          <w:tcPr>
            <w:tcW w:w="1747" w:type="dxa"/>
            <w:vAlign w:val="center"/>
          </w:tcPr>
          <w:p>
            <w:pPr>
              <w:keepNext w:val="0"/>
              <w:keepLines w:val="0"/>
              <w:widowControl/>
              <w:suppressLineNumbers w:val="0"/>
              <w:jc w:val="center"/>
              <w:textAlignment w:val="center"/>
              <w:rPr>
                <w:rFonts w:hint="eastAsia" w:ascii="华文仿宋" w:hAnsi="华文仿宋" w:eastAsia="华文仿宋" w:cs="华文仿宋"/>
                <w:b w:val="0"/>
                <w:bCs w:val="0"/>
                <w:sz w:val="24"/>
                <w:szCs w:val="24"/>
                <w:lang w:val="en-US" w:eastAsia="zh-CN"/>
              </w:rPr>
            </w:pPr>
            <w:r>
              <w:rPr>
                <w:rFonts w:hint="eastAsia"/>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950" w:type="dxa"/>
            <w:vAlign w:val="top"/>
          </w:tcPr>
          <w:p>
            <w:pPr>
              <w:keepNext w:val="0"/>
              <w:keepLines w:val="0"/>
              <w:widowControl/>
              <w:suppressLineNumbers w:val="0"/>
              <w:jc w:val="center"/>
              <w:textAlignment w:val="top"/>
              <w:rPr>
                <w:rFonts w:hint="default" w:ascii="华文仿宋" w:hAnsi="华文仿宋" w:eastAsia="华文仿宋" w:cs="华文仿宋"/>
                <w:b w:val="0"/>
                <w:bCs w:val="0"/>
                <w:sz w:val="24"/>
                <w:szCs w:val="24"/>
                <w:lang w:val="en-US" w:eastAsia="zh-CN"/>
              </w:rPr>
            </w:pPr>
            <w:r>
              <w:rPr>
                <w:rFonts w:hint="eastAsia" w:ascii="华文仿宋" w:hAnsi="华文仿宋" w:eastAsia="华文仿宋" w:cs="华文仿宋"/>
                <w:b w:val="0"/>
                <w:bCs w:val="0"/>
                <w:sz w:val="24"/>
                <w:szCs w:val="24"/>
                <w:lang w:val="en-US" w:eastAsia="zh-CN"/>
              </w:rPr>
              <w:t>5</w:t>
            </w:r>
          </w:p>
        </w:tc>
        <w:tc>
          <w:tcPr>
            <w:tcW w:w="2687" w:type="dxa"/>
            <w:vAlign w:val="center"/>
          </w:tcPr>
          <w:p>
            <w:pPr>
              <w:keepNext w:val="0"/>
              <w:keepLines w:val="0"/>
              <w:widowControl/>
              <w:suppressLineNumbers w:val="0"/>
              <w:ind w:firstLine="210" w:firstLineChars="100"/>
              <w:jc w:val="center"/>
              <w:textAlignment w:val="center"/>
              <w:rPr>
                <w:rFonts w:hint="eastAsia" w:ascii="华文仿宋" w:hAnsi="华文仿宋" w:eastAsia="华文仿宋" w:cs="华文仿宋"/>
                <w:b w:val="0"/>
                <w:bCs w:val="0"/>
                <w:sz w:val="24"/>
                <w:szCs w:val="24"/>
                <w:lang w:val="en-US" w:eastAsia="zh-CN"/>
              </w:rPr>
            </w:pPr>
            <w:r>
              <w:rPr>
                <w:rFonts w:hint="eastAsia"/>
              </w:rPr>
              <w:t>抽吸机</w:t>
            </w:r>
          </w:p>
        </w:tc>
        <w:tc>
          <w:tcPr>
            <w:tcW w:w="1747" w:type="dxa"/>
            <w:vAlign w:val="center"/>
          </w:tcPr>
          <w:p>
            <w:pPr>
              <w:keepNext w:val="0"/>
              <w:keepLines w:val="0"/>
              <w:widowControl/>
              <w:suppressLineNumbers w:val="0"/>
              <w:jc w:val="center"/>
              <w:textAlignment w:val="center"/>
              <w:rPr>
                <w:rFonts w:hint="eastAsia" w:ascii="华文仿宋" w:hAnsi="华文仿宋" w:eastAsia="华文仿宋" w:cs="华文仿宋"/>
                <w:b w:val="0"/>
                <w:bCs w:val="0"/>
                <w:sz w:val="24"/>
                <w:szCs w:val="24"/>
                <w:lang w:val="en-US" w:eastAsia="zh-CN"/>
              </w:rPr>
            </w:pPr>
            <w:r>
              <w:rPr>
                <w:rFonts w:hint="eastAsia"/>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950" w:type="dxa"/>
            <w:vAlign w:val="top"/>
          </w:tcPr>
          <w:p>
            <w:pPr>
              <w:keepNext w:val="0"/>
              <w:keepLines w:val="0"/>
              <w:widowControl/>
              <w:suppressLineNumbers w:val="0"/>
              <w:jc w:val="center"/>
              <w:textAlignment w:val="top"/>
              <w:rPr>
                <w:rFonts w:hint="default" w:ascii="华文仿宋" w:hAnsi="华文仿宋" w:eastAsia="华文仿宋" w:cs="华文仿宋"/>
                <w:b w:val="0"/>
                <w:bCs w:val="0"/>
                <w:sz w:val="24"/>
                <w:szCs w:val="24"/>
                <w:lang w:val="en-US" w:eastAsia="zh-CN"/>
              </w:rPr>
            </w:pPr>
            <w:r>
              <w:rPr>
                <w:rFonts w:hint="eastAsia" w:ascii="华文仿宋" w:hAnsi="华文仿宋" w:eastAsia="华文仿宋" w:cs="华文仿宋"/>
                <w:b w:val="0"/>
                <w:bCs w:val="0"/>
                <w:sz w:val="24"/>
                <w:szCs w:val="24"/>
                <w:lang w:val="en-US" w:eastAsia="zh-CN"/>
              </w:rPr>
              <w:t>6</w:t>
            </w:r>
          </w:p>
        </w:tc>
        <w:tc>
          <w:tcPr>
            <w:tcW w:w="2687" w:type="dxa"/>
            <w:vAlign w:val="center"/>
          </w:tcPr>
          <w:p>
            <w:pPr>
              <w:keepNext w:val="0"/>
              <w:keepLines w:val="0"/>
              <w:widowControl/>
              <w:suppressLineNumbers w:val="0"/>
              <w:ind w:firstLine="210" w:firstLineChars="100"/>
              <w:jc w:val="center"/>
              <w:textAlignment w:val="center"/>
              <w:rPr>
                <w:rFonts w:hint="eastAsia" w:ascii="华文仿宋" w:hAnsi="华文仿宋" w:eastAsia="华文仿宋" w:cs="华文仿宋"/>
                <w:b w:val="0"/>
                <w:bCs w:val="0"/>
                <w:sz w:val="24"/>
                <w:szCs w:val="24"/>
                <w:lang w:val="en-US" w:eastAsia="zh-CN"/>
              </w:rPr>
            </w:pPr>
            <w:r>
              <w:rPr>
                <w:rFonts w:hint="eastAsia"/>
              </w:rPr>
              <w:t>无影手术灯</w:t>
            </w:r>
          </w:p>
        </w:tc>
        <w:tc>
          <w:tcPr>
            <w:tcW w:w="1747" w:type="dxa"/>
            <w:vAlign w:val="center"/>
          </w:tcPr>
          <w:p>
            <w:pPr>
              <w:keepNext w:val="0"/>
              <w:keepLines w:val="0"/>
              <w:widowControl/>
              <w:suppressLineNumbers w:val="0"/>
              <w:jc w:val="center"/>
              <w:textAlignment w:val="center"/>
              <w:rPr>
                <w:rFonts w:hint="eastAsia" w:ascii="华文仿宋" w:hAnsi="华文仿宋" w:eastAsia="华文仿宋" w:cs="华文仿宋"/>
                <w:b w:val="0"/>
                <w:bCs w:val="0"/>
                <w:sz w:val="24"/>
                <w:szCs w:val="24"/>
                <w:lang w:val="en-US" w:eastAsia="zh-CN"/>
              </w:rPr>
            </w:pPr>
            <w:r>
              <w:rPr>
                <w:rFonts w:hint="eastAsia"/>
              </w:rPr>
              <w:t>1盏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950" w:type="dxa"/>
            <w:vAlign w:val="top"/>
          </w:tcPr>
          <w:p>
            <w:pPr>
              <w:keepNext w:val="0"/>
              <w:keepLines w:val="0"/>
              <w:widowControl/>
              <w:suppressLineNumbers w:val="0"/>
              <w:jc w:val="center"/>
              <w:textAlignment w:val="top"/>
              <w:rPr>
                <w:rFonts w:hint="default" w:ascii="华文仿宋" w:hAnsi="华文仿宋" w:eastAsia="华文仿宋" w:cs="华文仿宋"/>
                <w:b w:val="0"/>
                <w:bCs w:val="0"/>
                <w:sz w:val="24"/>
                <w:szCs w:val="24"/>
                <w:lang w:val="en-US" w:eastAsia="zh-CN"/>
              </w:rPr>
            </w:pPr>
            <w:r>
              <w:rPr>
                <w:rFonts w:hint="eastAsia" w:ascii="华文仿宋" w:hAnsi="华文仿宋" w:eastAsia="华文仿宋" w:cs="华文仿宋"/>
                <w:b w:val="0"/>
                <w:bCs w:val="0"/>
                <w:sz w:val="24"/>
                <w:szCs w:val="24"/>
                <w:lang w:val="en-US" w:eastAsia="zh-CN"/>
              </w:rPr>
              <w:t>7</w:t>
            </w:r>
          </w:p>
        </w:tc>
        <w:tc>
          <w:tcPr>
            <w:tcW w:w="2687" w:type="dxa"/>
            <w:vAlign w:val="center"/>
          </w:tcPr>
          <w:p>
            <w:pPr>
              <w:keepNext w:val="0"/>
              <w:keepLines w:val="0"/>
              <w:widowControl/>
              <w:suppressLineNumbers w:val="0"/>
              <w:ind w:firstLine="210" w:firstLineChars="100"/>
              <w:jc w:val="center"/>
              <w:textAlignment w:val="center"/>
              <w:rPr>
                <w:rFonts w:hint="eastAsia" w:ascii="华文仿宋" w:hAnsi="华文仿宋" w:eastAsia="华文仿宋" w:cs="华文仿宋"/>
                <w:b w:val="0"/>
                <w:bCs w:val="0"/>
                <w:sz w:val="24"/>
                <w:szCs w:val="24"/>
                <w:lang w:val="en-US" w:eastAsia="zh-CN"/>
              </w:rPr>
            </w:pPr>
            <w:r>
              <w:rPr>
                <w:rFonts w:hint="eastAsia"/>
              </w:rPr>
              <w:t>治疗机</w:t>
            </w:r>
          </w:p>
        </w:tc>
        <w:tc>
          <w:tcPr>
            <w:tcW w:w="1747" w:type="dxa"/>
            <w:vAlign w:val="center"/>
          </w:tcPr>
          <w:p>
            <w:pPr>
              <w:keepNext w:val="0"/>
              <w:keepLines w:val="0"/>
              <w:widowControl/>
              <w:suppressLineNumbers w:val="0"/>
              <w:jc w:val="center"/>
              <w:textAlignment w:val="center"/>
              <w:rPr>
                <w:rFonts w:hint="eastAsia" w:ascii="华文仿宋" w:hAnsi="华文仿宋" w:eastAsia="华文仿宋" w:cs="华文仿宋"/>
                <w:b w:val="0"/>
                <w:bCs w:val="0"/>
                <w:sz w:val="24"/>
                <w:szCs w:val="24"/>
                <w:lang w:val="en-US" w:eastAsia="zh-CN"/>
              </w:rPr>
            </w:pPr>
            <w:r>
              <w:rPr>
                <w:rFonts w:hint="eastAsia"/>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950" w:type="dxa"/>
            <w:vAlign w:val="top"/>
          </w:tcPr>
          <w:p>
            <w:pPr>
              <w:keepNext w:val="0"/>
              <w:keepLines w:val="0"/>
              <w:widowControl/>
              <w:suppressLineNumbers w:val="0"/>
              <w:jc w:val="center"/>
              <w:textAlignment w:val="top"/>
              <w:rPr>
                <w:rFonts w:hint="default" w:ascii="华文仿宋" w:hAnsi="华文仿宋" w:eastAsia="华文仿宋" w:cs="华文仿宋"/>
                <w:b w:val="0"/>
                <w:bCs w:val="0"/>
                <w:sz w:val="24"/>
                <w:szCs w:val="24"/>
                <w:lang w:val="en-US" w:eastAsia="zh-CN"/>
              </w:rPr>
            </w:pPr>
            <w:r>
              <w:rPr>
                <w:rFonts w:hint="eastAsia" w:ascii="华文仿宋" w:hAnsi="华文仿宋" w:eastAsia="华文仿宋" w:cs="华文仿宋"/>
                <w:b w:val="0"/>
                <w:bCs w:val="0"/>
                <w:sz w:val="24"/>
                <w:szCs w:val="24"/>
                <w:lang w:val="en-US" w:eastAsia="zh-CN"/>
              </w:rPr>
              <w:t>8</w:t>
            </w:r>
          </w:p>
        </w:tc>
        <w:tc>
          <w:tcPr>
            <w:tcW w:w="2687" w:type="dxa"/>
            <w:vAlign w:val="center"/>
          </w:tcPr>
          <w:p>
            <w:pPr>
              <w:keepNext w:val="0"/>
              <w:keepLines w:val="0"/>
              <w:widowControl/>
              <w:suppressLineNumbers w:val="0"/>
              <w:ind w:firstLine="210" w:firstLineChars="100"/>
              <w:jc w:val="center"/>
              <w:textAlignment w:val="center"/>
              <w:rPr>
                <w:rFonts w:hint="eastAsia" w:ascii="华文仿宋" w:hAnsi="华文仿宋" w:eastAsia="华文仿宋" w:cs="华文仿宋"/>
                <w:b w:val="0"/>
                <w:bCs w:val="0"/>
                <w:sz w:val="24"/>
                <w:szCs w:val="24"/>
                <w:lang w:val="en-US" w:eastAsia="zh-CN"/>
              </w:rPr>
            </w:pPr>
            <w:r>
              <w:rPr>
                <w:rFonts w:hint="eastAsia"/>
              </w:rPr>
              <w:t>牙科椅</w:t>
            </w:r>
          </w:p>
        </w:tc>
        <w:tc>
          <w:tcPr>
            <w:tcW w:w="1747" w:type="dxa"/>
            <w:vAlign w:val="center"/>
          </w:tcPr>
          <w:p>
            <w:pPr>
              <w:keepNext w:val="0"/>
              <w:keepLines w:val="0"/>
              <w:widowControl/>
              <w:suppressLineNumbers w:val="0"/>
              <w:jc w:val="center"/>
              <w:textAlignment w:val="center"/>
              <w:rPr>
                <w:rFonts w:hint="eastAsia" w:ascii="华文仿宋" w:hAnsi="华文仿宋" w:eastAsia="华文仿宋" w:cs="华文仿宋"/>
                <w:b w:val="0"/>
                <w:bCs w:val="0"/>
                <w:sz w:val="24"/>
                <w:szCs w:val="24"/>
                <w:lang w:val="en-US" w:eastAsia="zh-CN"/>
              </w:rPr>
            </w:pPr>
            <w:r>
              <w:rPr>
                <w:rFonts w:hint="eastAsia"/>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950" w:type="dxa"/>
            <w:vAlign w:val="top"/>
          </w:tcPr>
          <w:p>
            <w:pPr>
              <w:keepNext w:val="0"/>
              <w:keepLines w:val="0"/>
              <w:widowControl/>
              <w:suppressLineNumbers w:val="0"/>
              <w:jc w:val="center"/>
              <w:textAlignment w:val="top"/>
              <w:rPr>
                <w:rFonts w:hint="default" w:ascii="华文仿宋" w:hAnsi="华文仿宋" w:eastAsia="华文仿宋" w:cs="华文仿宋"/>
                <w:b w:val="0"/>
                <w:bCs w:val="0"/>
                <w:sz w:val="24"/>
                <w:szCs w:val="24"/>
                <w:lang w:val="en-US" w:eastAsia="zh-CN"/>
              </w:rPr>
            </w:pPr>
            <w:r>
              <w:rPr>
                <w:rFonts w:hint="eastAsia" w:ascii="华文仿宋" w:hAnsi="华文仿宋" w:eastAsia="华文仿宋" w:cs="华文仿宋"/>
                <w:b w:val="0"/>
                <w:bCs w:val="0"/>
                <w:sz w:val="24"/>
                <w:szCs w:val="24"/>
                <w:lang w:val="en-US" w:eastAsia="zh-CN"/>
              </w:rPr>
              <w:t>9</w:t>
            </w:r>
          </w:p>
        </w:tc>
        <w:tc>
          <w:tcPr>
            <w:tcW w:w="2687" w:type="dxa"/>
            <w:vAlign w:val="center"/>
          </w:tcPr>
          <w:p>
            <w:pPr>
              <w:keepNext w:val="0"/>
              <w:keepLines w:val="0"/>
              <w:widowControl/>
              <w:suppressLineNumbers w:val="0"/>
              <w:ind w:firstLine="210" w:firstLineChars="100"/>
              <w:jc w:val="center"/>
              <w:textAlignment w:val="center"/>
              <w:rPr>
                <w:rFonts w:hint="eastAsia" w:ascii="华文仿宋" w:hAnsi="华文仿宋" w:eastAsia="华文仿宋" w:cs="华文仿宋"/>
                <w:b w:val="0"/>
                <w:bCs w:val="0"/>
                <w:sz w:val="24"/>
                <w:szCs w:val="24"/>
                <w:lang w:val="en-US" w:eastAsia="zh-CN"/>
              </w:rPr>
            </w:pPr>
            <w:r>
              <w:rPr>
                <w:rFonts w:hint="eastAsia"/>
              </w:rPr>
              <w:t>医生座椅</w:t>
            </w:r>
          </w:p>
        </w:tc>
        <w:tc>
          <w:tcPr>
            <w:tcW w:w="1747" w:type="dxa"/>
            <w:vAlign w:val="center"/>
          </w:tcPr>
          <w:p>
            <w:pPr>
              <w:keepNext w:val="0"/>
              <w:keepLines w:val="0"/>
              <w:widowControl/>
              <w:suppressLineNumbers w:val="0"/>
              <w:jc w:val="center"/>
              <w:textAlignment w:val="center"/>
              <w:rPr>
                <w:rFonts w:hint="eastAsia" w:ascii="华文仿宋" w:hAnsi="华文仿宋" w:eastAsia="华文仿宋" w:cs="华文仿宋"/>
                <w:b w:val="0"/>
                <w:bCs w:val="0"/>
                <w:sz w:val="24"/>
                <w:szCs w:val="24"/>
                <w:lang w:val="en-US" w:eastAsia="zh-CN"/>
              </w:rPr>
            </w:pPr>
            <w:r>
              <w:rPr>
                <w:rFonts w:hint="eastAsia"/>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950" w:type="dxa"/>
            <w:vAlign w:val="top"/>
          </w:tcPr>
          <w:p>
            <w:pPr>
              <w:keepNext w:val="0"/>
              <w:keepLines w:val="0"/>
              <w:widowControl/>
              <w:suppressLineNumbers w:val="0"/>
              <w:jc w:val="center"/>
              <w:textAlignment w:val="top"/>
              <w:rPr>
                <w:rFonts w:hint="default" w:ascii="华文仿宋" w:hAnsi="华文仿宋" w:eastAsia="华文仿宋" w:cs="华文仿宋"/>
                <w:b w:val="0"/>
                <w:bCs w:val="0"/>
                <w:sz w:val="24"/>
                <w:szCs w:val="24"/>
                <w:lang w:val="en-US" w:eastAsia="zh-CN"/>
              </w:rPr>
            </w:pPr>
            <w:r>
              <w:rPr>
                <w:rFonts w:hint="eastAsia" w:ascii="华文仿宋" w:hAnsi="华文仿宋" w:eastAsia="华文仿宋" w:cs="华文仿宋"/>
                <w:b w:val="0"/>
                <w:bCs w:val="0"/>
                <w:sz w:val="24"/>
                <w:szCs w:val="24"/>
                <w:lang w:val="en-US" w:eastAsia="zh-CN"/>
              </w:rPr>
              <w:t>10</w:t>
            </w:r>
          </w:p>
        </w:tc>
        <w:tc>
          <w:tcPr>
            <w:tcW w:w="2687" w:type="dxa"/>
            <w:vAlign w:val="center"/>
          </w:tcPr>
          <w:p>
            <w:pPr>
              <w:keepNext w:val="0"/>
              <w:keepLines w:val="0"/>
              <w:widowControl/>
              <w:suppressLineNumbers w:val="0"/>
              <w:ind w:firstLine="210" w:firstLineChars="100"/>
              <w:jc w:val="center"/>
              <w:textAlignment w:val="center"/>
              <w:rPr>
                <w:rFonts w:hint="eastAsia" w:ascii="华文仿宋" w:hAnsi="华文仿宋" w:eastAsia="华文仿宋" w:cs="华文仿宋"/>
                <w:b w:val="0"/>
                <w:bCs w:val="0"/>
                <w:sz w:val="24"/>
                <w:szCs w:val="24"/>
                <w:lang w:val="en-US" w:eastAsia="zh-CN"/>
              </w:rPr>
            </w:pPr>
            <w:r>
              <w:rPr>
                <w:rFonts w:hint="eastAsia"/>
                <w:lang w:val="en-US" w:eastAsia="zh-CN"/>
              </w:rPr>
              <w:t>护士座椅</w:t>
            </w:r>
          </w:p>
        </w:tc>
        <w:tc>
          <w:tcPr>
            <w:tcW w:w="1747" w:type="dxa"/>
            <w:vAlign w:val="center"/>
          </w:tcPr>
          <w:p>
            <w:pPr>
              <w:keepNext w:val="0"/>
              <w:keepLines w:val="0"/>
              <w:widowControl/>
              <w:suppressLineNumbers w:val="0"/>
              <w:jc w:val="center"/>
              <w:textAlignment w:val="center"/>
              <w:rPr>
                <w:rFonts w:hint="eastAsia" w:ascii="华文仿宋" w:hAnsi="华文仿宋" w:eastAsia="华文仿宋" w:cs="华文仿宋"/>
                <w:b w:val="0"/>
                <w:bCs w:val="0"/>
                <w:sz w:val="24"/>
                <w:szCs w:val="24"/>
                <w:lang w:val="en-US" w:eastAsia="zh-CN"/>
              </w:rPr>
            </w:pPr>
            <w:r>
              <w:rPr>
                <w:rFonts w:hint="eastAsia"/>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950" w:type="dxa"/>
            <w:vAlign w:val="top"/>
          </w:tcPr>
          <w:p>
            <w:pPr>
              <w:keepNext w:val="0"/>
              <w:keepLines w:val="0"/>
              <w:widowControl/>
              <w:suppressLineNumbers w:val="0"/>
              <w:jc w:val="center"/>
              <w:textAlignment w:val="top"/>
              <w:rPr>
                <w:rFonts w:hint="default" w:ascii="华文仿宋" w:hAnsi="华文仿宋" w:eastAsia="华文仿宋" w:cs="华文仿宋"/>
                <w:b w:val="0"/>
                <w:bCs w:val="0"/>
                <w:sz w:val="24"/>
                <w:szCs w:val="24"/>
                <w:lang w:val="en-US" w:eastAsia="zh-CN"/>
              </w:rPr>
            </w:pPr>
            <w:r>
              <w:rPr>
                <w:rFonts w:hint="eastAsia" w:ascii="华文仿宋" w:hAnsi="华文仿宋" w:eastAsia="华文仿宋" w:cs="华文仿宋"/>
                <w:b w:val="0"/>
                <w:bCs w:val="0"/>
                <w:sz w:val="24"/>
                <w:szCs w:val="24"/>
                <w:lang w:val="en-US" w:eastAsia="zh-CN"/>
              </w:rPr>
              <w:t>11</w:t>
            </w:r>
          </w:p>
        </w:tc>
        <w:tc>
          <w:tcPr>
            <w:tcW w:w="2687" w:type="dxa"/>
            <w:vAlign w:val="center"/>
          </w:tcPr>
          <w:p>
            <w:pPr>
              <w:keepNext w:val="0"/>
              <w:keepLines w:val="0"/>
              <w:widowControl/>
              <w:suppressLineNumbers w:val="0"/>
              <w:ind w:firstLine="210" w:firstLineChars="100"/>
              <w:jc w:val="center"/>
              <w:textAlignment w:val="center"/>
              <w:rPr>
                <w:rFonts w:hint="default"/>
                <w:lang w:val="en-US" w:eastAsia="zh-CN"/>
              </w:rPr>
            </w:pPr>
            <w:r>
              <w:rPr>
                <w:rFonts w:hint="eastAsia"/>
                <w:lang w:val="en-US" w:eastAsia="zh-CN"/>
              </w:rPr>
              <w:t>助手工作台</w:t>
            </w:r>
          </w:p>
        </w:tc>
        <w:tc>
          <w:tcPr>
            <w:tcW w:w="1747" w:type="dxa"/>
            <w:vAlign w:val="center"/>
          </w:tcPr>
          <w:p>
            <w:pPr>
              <w:keepNext w:val="0"/>
              <w:keepLines w:val="0"/>
              <w:widowControl/>
              <w:suppressLineNumbers w:val="0"/>
              <w:jc w:val="center"/>
              <w:textAlignment w:val="center"/>
              <w:rPr>
                <w:rFonts w:hint="eastAsia" w:ascii="华文仿宋" w:hAnsi="华文仿宋" w:eastAsia="华文仿宋" w:cs="华文仿宋"/>
                <w:b w:val="0"/>
                <w:bCs w:val="0"/>
                <w:sz w:val="24"/>
                <w:szCs w:val="24"/>
                <w:lang w:val="en-US" w:eastAsia="zh-CN"/>
              </w:rPr>
            </w:pPr>
            <w:r>
              <w:rPr>
                <w:rFonts w:hint="eastAsia"/>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950" w:type="dxa"/>
            <w:vAlign w:val="top"/>
          </w:tcPr>
          <w:p>
            <w:pPr>
              <w:keepNext w:val="0"/>
              <w:keepLines w:val="0"/>
              <w:widowControl/>
              <w:suppressLineNumbers w:val="0"/>
              <w:jc w:val="center"/>
              <w:textAlignment w:val="top"/>
              <w:rPr>
                <w:rFonts w:hint="default" w:ascii="华文仿宋" w:hAnsi="华文仿宋" w:eastAsia="华文仿宋" w:cs="华文仿宋"/>
                <w:b w:val="0"/>
                <w:bCs w:val="0"/>
                <w:sz w:val="24"/>
                <w:szCs w:val="24"/>
                <w:lang w:val="en-US" w:eastAsia="zh-CN"/>
              </w:rPr>
            </w:pPr>
            <w:r>
              <w:rPr>
                <w:rFonts w:hint="eastAsia" w:ascii="华文仿宋" w:hAnsi="华文仿宋" w:eastAsia="华文仿宋" w:cs="华文仿宋"/>
                <w:b w:val="0"/>
                <w:bCs w:val="0"/>
                <w:sz w:val="24"/>
                <w:szCs w:val="24"/>
                <w:lang w:val="en-US" w:eastAsia="zh-CN"/>
              </w:rPr>
              <w:t>12</w:t>
            </w:r>
          </w:p>
        </w:tc>
        <w:tc>
          <w:tcPr>
            <w:tcW w:w="2687" w:type="dxa"/>
            <w:vAlign w:val="center"/>
          </w:tcPr>
          <w:p>
            <w:pPr>
              <w:keepNext w:val="0"/>
              <w:keepLines w:val="0"/>
              <w:widowControl/>
              <w:suppressLineNumbers w:val="0"/>
              <w:ind w:firstLine="210" w:firstLineChars="100"/>
              <w:jc w:val="center"/>
              <w:textAlignment w:val="center"/>
              <w:rPr>
                <w:rFonts w:hint="default"/>
                <w:lang w:val="en-US" w:eastAsia="zh-CN"/>
              </w:rPr>
            </w:pPr>
            <w:r>
              <w:rPr>
                <w:rFonts w:hint="eastAsia"/>
                <w:lang w:val="en-US" w:eastAsia="zh-CN"/>
              </w:rPr>
              <w:t>器械臂及不锈钢器械盘</w:t>
            </w:r>
          </w:p>
        </w:tc>
        <w:tc>
          <w:tcPr>
            <w:tcW w:w="1747" w:type="dxa"/>
            <w:vAlign w:val="center"/>
          </w:tcPr>
          <w:p>
            <w:pPr>
              <w:keepNext w:val="0"/>
              <w:keepLines w:val="0"/>
              <w:widowControl/>
              <w:suppressLineNumbers w:val="0"/>
              <w:jc w:val="center"/>
              <w:textAlignment w:val="center"/>
              <w:rPr>
                <w:rFonts w:hint="eastAsia" w:ascii="华文仿宋" w:hAnsi="华文仿宋" w:cs="华文仿宋" w:eastAsiaTheme="minorEastAsia"/>
                <w:b w:val="0"/>
                <w:bCs w:val="0"/>
                <w:sz w:val="24"/>
                <w:szCs w:val="24"/>
                <w:lang w:val="en-US" w:eastAsia="zh-CN"/>
              </w:rPr>
            </w:pPr>
            <w:r>
              <w:rPr>
                <w:rFonts w:hint="eastAsia"/>
              </w:rPr>
              <w:t>1</w:t>
            </w:r>
            <w:r>
              <w:rPr>
                <w:rFonts w:hint="eastAsia"/>
                <w:lang w:val="en-US" w:eastAsia="zh-CN"/>
              </w:rPr>
              <w:t>套</w:t>
            </w:r>
          </w:p>
        </w:tc>
      </w:tr>
    </w:tbl>
    <w:p>
      <w:pPr>
        <w:pStyle w:val="2"/>
        <w:rPr>
          <w:rFonts w:hint="default" w:asciiTheme="minorEastAsia" w:hAnsiTheme="minorEastAsia" w:eastAsiaTheme="minorEastAsia" w:cstheme="minorEastAsia"/>
          <w:bCs/>
          <w:color w:val="FF0000"/>
          <w:kern w:val="0"/>
          <w:sz w:val="24"/>
          <w:szCs w:val="24"/>
          <w:lang w:val="en-US" w:eastAsia="zh-CN" w:bidi="ar-SA"/>
        </w:rPr>
      </w:pPr>
    </w:p>
    <w:p>
      <w:pPr>
        <w:pStyle w:val="3"/>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*1、运输、装卸、培训、安装调试：由中标人负责承担，最终通过使用科室、设备科及相关部门确认验收交付使用。</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*2、交货时间：按合同约定的送货日期内将设备运至娄底市中心医院指定交货地点，逾期按合同赔付。</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3、付款方式：设备验收合格后，供应商将发票交到娄底市中心医院后按程序支付货款90%（按医院财务制度一般情况下4个月内支付、特殊情况下最多不超过6个月），甲方在设备验收合格满2年后支付10%余款给乙方。</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*4、交货地点：娄底市中心医院。</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*5、质保与售后：整机保修2年，终身维修。出具原厂售后质保承诺书，质保期内每年巡检两次。质保期内出现故障，24小时响应，响应后4小时上门服务。</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*6、在投标文件中必须提供相关佐证资料（加盖原厂公章的技术参数、技术白皮书、说明书、彩页），并在响应表中备注该条参数响应或正偏离的佐证资料所在页码。</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24"/>
          <w:szCs w:val="24"/>
          <w:lang w:val="en-US" w:eastAsia="zh-CN"/>
        </w:rPr>
      </w:pPr>
      <w:r>
        <w:rPr>
          <w:rFonts w:hint="eastAsia" w:ascii="黑体" w:hAnsi="黑体" w:eastAsia="黑体" w:cs="黑体"/>
          <w:color w:val="auto"/>
          <w:sz w:val="44"/>
          <w:szCs w:val="44"/>
          <w:lang w:val="en-US" w:eastAsia="zh-CN"/>
        </w:rPr>
        <w:t>医疗设备采购合同</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甲方（采购方）：</w:t>
      </w:r>
      <w:r>
        <w:rPr>
          <w:rFonts w:hint="eastAsia" w:ascii="宋体" w:hAnsi="宋体" w:eastAsia="宋体" w:cs="宋体"/>
          <w:color w:val="auto"/>
          <w:sz w:val="24"/>
          <w:szCs w:val="24"/>
          <w:lang w:val="en-US" w:eastAsia="zh-CN"/>
        </w:rPr>
        <w:t>娄底市中心医院</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法定代表人：李红辉</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统一社会信用代码：12431300447162073W</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地址：湖南省娄底市娄星区长青中街51号</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联系人：朱振宇</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联系电话：15673845559</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乙方（供货方）：</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w:t>
      </w:r>
    </w:p>
    <w:p>
      <w:pPr>
        <w:keepNext w:val="0"/>
        <w:keepLines w:val="0"/>
        <w:pageBreakBefore w:val="0"/>
        <w:widowControl/>
        <w:kinsoku/>
        <w:wordWrap/>
        <w:overflowPunct/>
        <w:topLinePunct w:val="0"/>
        <w:autoSpaceDE/>
        <w:autoSpaceDN/>
        <w:bidi w:val="0"/>
        <w:adjustRightInd/>
        <w:snapToGrid/>
        <w:spacing w:line="480" w:lineRule="exact"/>
        <w:ind w:left="5040" w:hanging="4320" w:hangingChars="18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甲方通过</w:t>
      </w:r>
      <w:r>
        <w:rPr>
          <w:rFonts w:hint="eastAsia" w:ascii="宋体" w:hAnsi="宋体" w:eastAsia="宋体" w:cs="宋体"/>
          <w:color w:val="auto"/>
          <w:sz w:val="24"/>
          <w:szCs w:val="24"/>
          <w:u w:val="single"/>
          <w:lang w:val="en-US" w:eastAsia="zh-CN"/>
        </w:rPr>
        <w:t>院内议价</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u w:val="single"/>
          <w:lang w:val="en-US" w:eastAsia="zh-CN"/>
        </w:rPr>
        <w:t>牙科综合治疗台（种植）</w:t>
      </w:r>
      <w:r>
        <w:rPr>
          <w:rFonts w:hint="eastAsia" w:ascii="宋体" w:hAnsi="宋体" w:eastAsia="宋体" w:cs="宋体"/>
          <w:color w:val="auto"/>
          <w:sz w:val="24"/>
          <w:szCs w:val="24"/>
          <w:lang w:val="en-US" w:eastAsia="zh-CN"/>
        </w:rPr>
        <w:t>，乙方为成交供应商。根据《中华人民共和国民法典》《中华人民共和国政府采购法》等相关法律规定，甲乙双方在采购项目确定的基础上，就采购</w:t>
      </w:r>
      <w:r>
        <w:rPr>
          <w:rFonts w:hint="eastAsia" w:ascii="宋体" w:hAnsi="宋体" w:eastAsia="宋体" w:cs="宋体"/>
          <w:color w:val="auto"/>
          <w:sz w:val="24"/>
          <w:szCs w:val="24"/>
          <w:u w:val="single"/>
          <w:lang w:val="en-US" w:eastAsia="zh-CN"/>
        </w:rPr>
        <w:t>牙科综合治疗台（种植）</w:t>
      </w:r>
      <w:r>
        <w:rPr>
          <w:rFonts w:hint="eastAsia" w:ascii="宋体" w:hAnsi="宋体" w:eastAsia="宋体" w:cs="宋体"/>
          <w:color w:val="auto"/>
          <w:sz w:val="24"/>
          <w:szCs w:val="24"/>
          <w:lang w:val="en-US" w:eastAsia="zh-CN"/>
        </w:rPr>
        <w:t>事宜平等、自愿、公平、诚信协商，达成一致，特订立本合同，以资共同遵守。</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采购内容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  设备名称、品牌、型号、价格</w:t>
      </w:r>
    </w:p>
    <w:tbl>
      <w:tblPr>
        <w:tblStyle w:val="10"/>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6"/>
        <w:gridCol w:w="925"/>
        <w:gridCol w:w="1000"/>
        <w:gridCol w:w="1362"/>
        <w:gridCol w:w="875"/>
        <w:gridCol w:w="1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816"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设备</w:t>
            </w:r>
            <w:r>
              <w:rPr>
                <w:rFonts w:hint="eastAsia" w:ascii="宋体" w:hAnsi="宋体" w:eastAsia="宋体" w:cs="宋体"/>
                <w:color w:val="000000" w:themeColor="text1"/>
                <w:kern w:val="0"/>
                <w:sz w:val="24"/>
                <w:szCs w:val="24"/>
                <w14:textFill>
                  <w14:solidFill>
                    <w14:schemeClr w14:val="tx1"/>
                  </w14:solidFill>
                </w14:textFill>
              </w:rPr>
              <w:t>名称</w:t>
            </w:r>
          </w:p>
        </w:tc>
        <w:tc>
          <w:tcPr>
            <w:tcW w:w="925"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品牌</w:t>
            </w:r>
          </w:p>
        </w:tc>
        <w:tc>
          <w:tcPr>
            <w:tcW w:w="100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型号</w:t>
            </w:r>
          </w:p>
        </w:tc>
        <w:tc>
          <w:tcPr>
            <w:tcW w:w="1362"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单价（元）</w:t>
            </w:r>
          </w:p>
        </w:tc>
        <w:tc>
          <w:tcPr>
            <w:tcW w:w="875"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数量</w:t>
            </w:r>
          </w:p>
        </w:tc>
        <w:tc>
          <w:tcPr>
            <w:tcW w:w="1433"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816"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default" w:ascii="宋体" w:hAnsi="宋体" w:eastAsia="宋体" w:cs="宋体"/>
                <w:color w:val="000000" w:themeColor="text1"/>
                <w:kern w:val="0"/>
                <w:sz w:val="24"/>
                <w:szCs w:val="24"/>
                <w:lang w:val="en-US" w:eastAsia="zh-CN"/>
                <w14:textFill>
                  <w14:solidFill>
                    <w14:schemeClr w14:val="tx1"/>
                  </w14:solidFill>
                </w14:textFill>
              </w:rPr>
              <w:t>牙科综合治疗台（种植）</w:t>
            </w:r>
          </w:p>
        </w:tc>
        <w:tc>
          <w:tcPr>
            <w:tcW w:w="92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100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62"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875"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w:t>
            </w:r>
          </w:p>
        </w:tc>
        <w:tc>
          <w:tcPr>
            <w:tcW w:w="1433"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noWrap w:val="0"/>
            <w:vAlign w:val="top"/>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合计</w:t>
            </w:r>
            <w:r>
              <w:rPr>
                <w:rFonts w:hint="eastAsia" w:ascii="宋体" w:hAnsi="宋体" w:eastAsia="宋体" w:cs="宋体"/>
                <w:color w:val="000000" w:themeColor="text1"/>
                <w:kern w:val="0"/>
                <w:sz w:val="24"/>
                <w:szCs w:val="24"/>
                <w:lang w:eastAsia="zh-CN"/>
                <w14:textFill>
                  <w14:solidFill>
                    <w14:schemeClr w14:val="tx1"/>
                  </w14:solidFill>
                </w14:textFill>
              </w:rPr>
              <w:t>价款</w:t>
            </w:r>
            <w:r>
              <w:rPr>
                <w:rFonts w:hint="eastAsia" w:ascii="宋体" w:hAnsi="宋体" w:eastAsia="宋体" w:cs="宋体"/>
                <w:color w:val="000000" w:themeColor="text1"/>
                <w:kern w:val="0"/>
                <w:sz w:val="24"/>
                <w:szCs w:val="24"/>
                <w14:textFill>
                  <w14:solidFill>
                    <w14:schemeClr w14:val="tx1"/>
                  </w14:solidFill>
                </w14:textFill>
              </w:rPr>
              <w:t>金额（大写）：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eastAsia="zh-CN"/>
                <w14:textFill>
                  <w14:solidFill>
                    <w14:schemeClr w14:val="tx1"/>
                  </w14:solidFill>
                </w14:textFill>
              </w:rPr>
              <w:t>元</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14:textFill>
                  <w14:solidFill>
                    <w14:schemeClr w14:val="tx1"/>
                  </w14:solidFill>
                </w14:textFill>
              </w:rPr>
              <w:t>人民币（小写）：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14:textFill>
                  <w14:solidFill>
                    <w14:schemeClr w14:val="tx1"/>
                  </w14:solidFill>
                </w14:textFill>
              </w:rPr>
              <w:t>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  本合同约定价格为固定价格，不因物价、市场波动变更。</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1.3  本合同约定价格包括且不限于设计费、材料费、人工费、安装费、包装费、运输费、装卸费、调试费、检测、检验费、税费、保险费、售后服务费等在内所有费用。 </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auto"/>
          <w:sz w:val="24"/>
          <w:szCs w:val="24"/>
          <w:lang w:val="en-US" w:eastAsia="zh-CN"/>
        </w:rPr>
      </w:pPr>
      <w:r>
        <w:rPr>
          <w:rFonts w:hint="default" w:ascii="宋体" w:hAnsi="宋体" w:eastAsia="宋体" w:cs="宋体"/>
          <w:b/>
          <w:bCs/>
          <w:color w:val="auto"/>
          <w:sz w:val="24"/>
          <w:szCs w:val="24"/>
          <w:lang w:val="en-US" w:eastAsia="zh-CN"/>
        </w:rPr>
        <w:t>交货时间、地点、运输及装卸</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2.1  </w:t>
      </w:r>
      <w:r>
        <w:rPr>
          <w:rFonts w:hint="default" w:ascii="宋体" w:hAnsi="宋体" w:eastAsia="宋体" w:cs="宋体"/>
          <w:color w:val="auto"/>
          <w:sz w:val="24"/>
          <w:szCs w:val="24"/>
          <w:lang w:val="en-US" w:eastAsia="zh-CN"/>
        </w:rPr>
        <w:t>交货时间：乙方应在</w:t>
      </w:r>
      <w:r>
        <w:rPr>
          <w:rFonts w:hint="default"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日之前将设备运至</w:t>
      </w:r>
      <w:r>
        <w:rPr>
          <w:rFonts w:hint="eastAsia" w:ascii="宋体" w:hAnsi="宋体" w:eastAsia="宋体" w:cs="宋体"/>
          <w:color w:val="auto"/>
          <w:sz w:val="24"/>
          <w:szCs w:val="24"/>
          <w:lang w:val="en-US" w:eastAsia="zh-CN"/>
        </w:rPr>
        <w:t>甲方指定交货</w:t>
      </w:r>
      <w:r>
        <w:rPr>
          <w:rFonts w:hint="default" w:ascii="宋体" w:hAnsi="宋体" w:eastAsia="宋体" w:cs="宋体"/>
          <w:color w:val="auto"/>
          <w:sz w:val="24"/>
          <w:szCs w:val="24"/>
          <w:lang w:val="en-US" w:eastAsia="zh-CN"/>
        </w:rPr>
        <w:t>地点，并</w:t>
      </w:r>
      <w:r>
        <w:rPr>
          <w:rFonts w:hint="default"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日之前完成安装、调试，办理验收手续并交付甲方使用。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w:t>
      </w:r>
      <w:r>
        <w:rPr>
          <w:rFonts w:hint="eastAsia" w:ascii="宋体" w:hAnsi="宋体" w:eastAsia="宋体" w:cs="宋体"/>
          <w:color w:val="auto"/>
          <w:sz w:val="24"/>
          <w:szCs w:val="24"/>
          <w:lang w:val="en-US" w:eastAsia="zh-CN"/>
        </w:rPr>
        <w:t>.2  甲方指定</w:t>
      </w:r>
      <w:r>
        <w:rPr>
          <w:rFonts w:hint="default" w:ascii="宋体" w:hAnsi="宋体" w:eastAsia="宋体" w:cs="宋体"/>
          <w:color w:val="auto"/>
          <w:sz w:val="24"/>
          <w:szCs w:val="24"/>
          <w:lang w:val="en-US" w:eastAsia="zh-CN"/>
        </w:rPr>
        <w:t>交货地点：娄底市中心医院</w:t>
      </w:r>
      <w:r>
        <w:rPr>
          <w:rFonts w:hint="eastAsia" w:ascii="宋体" w:hAnsi="宋体" w:eastAsia="宋体" w:cs="宋体"/>
          <w:color w:val="auto"/>
          <w:sz w:val="24"/>
          <w:szCs w:val="24"/>
          <w:lang w:val="en-US" w:eastAsia="zh-CN"/>
        </w:rPr>
        <w:t>设备科</w:t>
      </w:r>
      <w:r>
        <w:rPr>
          <w:rFonts w:hint="default" w:ascii="宋体" w:hAnsi="宋体" w:eastAsia="宋体" w:cs="宋体"/>
          <w:color w:val="auto"/>
          <w:sz w:val="24"/>
          <w:szCs w:val="24"/>
          <w:lang w:val="en-US" w:eastAsia="zh-CN"/>
        </w:rPr>
        <w:t>（湖南省娄底市</w:t>
      </w:r>
      <w:r>
        <w:rPr>
          <w:rFonts w:hint="eastAsia" w:ascii="宋体" w:hAnsi="宋体" w:eastAsia="宋体" w:cs="宋体"/>
          <w:color w:val="auto"/>
          <w:sz w:val="24"/>
          <w:szCs w:val="24"/>
          <w:lang w:val="en-US" w:eastAsia="zh-CN"/>
        </w:rPr>
        <w:t>娄星区</w:t>
      </w:r>
      <w:r>
        <w:rPr>
          <w:rFonts w:hint="default" w:ascii="宋体" w:hAnsi="宋体" w:eastAsia="宋体" w:cs="宋体"/>
          <w:color w:val="auto"/>
          <w:sz w:val="24"/>
          <w:szCs w:val="24"/>
          <w:lang w:val="en-US" w:eastAsia="zh-CN"/>
        </w:rPr>
        <w:t xml:space="preserve">长青中街51号）。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default"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运输及装卸：由乙方自备交通运输工具将设备运至合同约定地点，并负责设备装卸</w:t>
      </w:r>
      <w:r>
        <w:rPr>
          <w:rFonts w:hint="eastAsia" w:ascii="宋体" w:hAnsi="宋体" w:eastAsia="宋体" w:cs="宋体"/>
          <w:color w:val="auto"/>
          <w:sz w:val="24"/>
          <w:szCs w:val="24"/>
          <w:lang w:val="en-US" w:eastAsia="zh-CN"/>
        </w:rPr>
        <w:t>的人工及费用</w:t>
      </w:r>
      <w:r>
        <w:rPr>
          <w:rFonts w:hint="default"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000000" w:themeColor="text1"/>
          <w:sz w:val="24"/>
          <w:szCs w:val="24"/>
          <w:lang w:val="en-US" w:eastAsia="zh-CN"/>
          <w14:textFill>
            <w14:solidFill>
              <w14:schemeClr w14:val="tx1"/>
            </w14:solidFill>
          </w14:textFill>
        </w:rPr>
        <w:t>第三条 质量标准、质量验收、包装要求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FF"/>
          <w:sz w:val="24"/>
          <w:szCs w:val="24"/>
          <w:lang w:val="en-US" w:eastAsia="zh-CN"/>
        </w:rPr>
      </w:pPr>
      <w:r>
        <w:rPr>
          <w:rFonts w:hint="eastAsia" w:ascii="宋体" w:hAnsi="宋体" w:eastAsia="宋体" w:cs="宋体"/>
          <w:color w:val="auto"/>
          <w:sz w:val="24"/>
          <w:szCs w:val="24"/>
          <w:lang w:val="en-US" w:eastAsia="zh-CN"/>
        </w:rPr>
        <w:t>3.1  质量标准：乙方提供设备的质量、安装应符合或优于国家标准；</w:t>
      </w:r>
      <w:r>
        <w:rPr>
          <w:rFonts w:hint="eastAsia" w:ascii="宋体" w:hAnsi="宋体" w:eastAsia="宋体" w:cs="宋体"/>
          <w:color w:val="0000FF"/>
          <w:sz w:val="24"/>
          <w:szCs w:val="24"/>
          <w:lang w:val="en-US" w:eastAsia="zh-CN"/>
        </w:rPr>
        <w:t>如响应文件中的技术参数和质量标准高于国家标准，则设备的技术参数和质量标准以响应文件为准。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3.2  质量验收：以本合同约定标准按以下方式进行验收：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到货验收：乙方将设备运至指定交货地点后，应通知甲方，并向甲方提供厂家标准资料文件（进口设备需提供真实有效的海关报关单，其他设备需提供产品合格证）。甲方自接到乙方通知之日起7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日内无条件予以更换。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（2）拆包、安装、调试、培训验收：乙方将设备全部拆包、安装、调试、培训后应及时通知甲方，甲方自接到乙方通知之日起7日内自行组织</w:t>
      </w:r>
      <w:r>
        <w:rPr>
          <w:rFonts w:hint="eastAsia" w:ascii="宋体" w:hAnsi="宋体" w:eastAsia="宋体" w:cs="宋体"/>
          <w:color w:val="FF0000"/>
          <w:sz w:val="24"/>
          <w:szCs w:val="24"/>
          <w:highlight w:val="none"/>
        </w:rPr>
        <w:t>使用科室、设备科及相关部门</w:t>
      </w:r>
      <w:r>
        <w:rPr>
          <w:rFonts w:hint="eastAsia" w:ascii="宋体" w:hAnsi="宋体" w:eastAsia="宋体" w:cs="宋体"/>
          <w:color w:val="auto"/>
          <w:sz w:val="24"/>
          <w:szCs w:val="24"/>
          <w:highlight w:val="none"/>
          <w:lang w:val="en-US" w:eastAsia="zh-CN"/>
        </w:rPr>
        <w:t>进行总体验收，验收合格后签署总体验收报告单。如经甲方验收不合格，乙方应在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日内无条件予以返工并承担所有费用。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  包装要求：乙方提供的设备必须为原厂包装，外包装到货时应保证完好无损，否则甲方有权拒绝收货，由此造成的延期交货违约责任和一切经济损失全部由乙方承担。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第四条 安装、培训、通知等事项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  甲方负责协调、处理与安装、调试有关事宜，为乙方创造良好的安装、调试环境。</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  甲方委派</w:t>
      </w:r>
      <w:r>
        <w:rPr>
          <w:rFonts w:hint="eastAsia" w:ascii="宋体" w:hAnsi="宋体" w:eastAsia="宋体" w:cs="宋体"/>
          <w:color w:val="auto"/>
          <w:sz w:val="24"/>
          <w:szCs w:val="24"/>
          <w:u w:val="single"/>
          <w:lang w:val="en-US" w:eastAsia="zh-CN"/>
        </w:rPr>
        <w:t xml:space="preserve">  杨娟  </w:t>
      </w:r>
      <w:r>
        <w:rPr>
          <w:rFonts w:hint="eastAsia" w:ascii="宋体" w:hAnsi="宋体" w:eastAsia="宋体" w:cs="宋体"/>
          <w:color w:val="auto"/>
          <w:sz w:val="24"/>
          <w:szCs w:val="24"/>
          <w:lang w:val="en-US" w:eastAsia="zh-CN"/>
        </w:rPr>
        <w:t>作为代表，跟踪、检查安装、调试现场。</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4.3  乙方负责对甲方的操作人员进行免费培训。</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4.4  乙方在安装、调试过程中应加强操作人员的安全教育，杜绝安全事故的发生。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4.5  本合同任何一方给另一方的通知，除合同另有约定外，都应以书面（包括手机短信、传真、特快专递、电子邮件、媒体公告等）形式发送，另一方应以书面形式确认。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4.6  双方确认的文书（包括法院的法律文书）送达地址：</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（1）甲方的文书送达地址：娄底市中心医院（湖南省娄底市娄星区长青中街51号）；联系人：朱振宇，联系电话：15673845559。</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lang w:val="en-US" w:eastAsia="zh-CN"/>
        </w:rPr>
        <w:t>（2）乙方的文书送达地址</w:t>
      </w:r>
      <w:r>
        <w:rPr>
          <w:rFonts w:hint="eastAsia" w:ascii="宋体" w:hAnsi="宋体" w:eastAsia="宋体" w:cs="宋体"/>
          <w:color w:val="auto"/>
          <w:sz w:val="24"/>
          <w:szCs w:val="24"/>
          <w:u w:val="none"/>
          <w:lang w:val="en-US" w:eastAsia="zh-CN"/>
        </w:rPr>
        <w:t>：</w:t>
      </w:r>
      <w:r>
        <w:rPr>
          <w:rFonts w:hint="eastAsia" w:cs="宋体"/>
          <w:color w:val="000000"/>
          <w:sz w:val="24"/>
          <w:szCs w:val="24"/>
          <w:u w:val="single"/>
          <w:lang w:val="en-US" w:eastAsia="zh-CN"/>
        </w:rPr>
        <w:t xml:space="preserve">       </w:t>
      </w:r>
      <w:r>
        <w:rPr>
          <w:rFonts w:hint="eastAsia" w:ascii="宋体" w:hAnsi="宋体" w:eastAsia="宋体" w:cs="宋体"/>
          <w:color w:val="auto"/>
          <w:sz w:val="24"/>
          <w:szCs w:val="24"/>
          <w:lang w:val="en-US" w:eastAsia="zh-CN"/>
        </w:rPr>
        <w:t>；联系人：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lang w:val="en-US" w:eastAsia="zh-CN"/>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（3）以上地址和联系方式如发生变化，应及时通知对方。如未及时通知，应承担相应的后果。</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第五条 售后服务</w:t>
      </w:r>
    </w:p>
    <w:p>
      <w:pPr>
        <w:keepNext w:val="0"/>
        <w:keepLines w:val="0"/>
        <w:pageBreakBefore w:val="0"/>
        <w:widowControl/>
        <w:numPr>
          <w:ilvl w:val="-1"/>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5.1  本合同设备质保期为</w:t>
      </w:r>
      <w:r>
        <w:rPr>
          <w:rFonts w:hint="eastAsia" w:ascii="宋体" w:hAnsi="宋体" w:eastAsia="宋体" w:cs="宋体"/>
          <w:color w:val="auto"/>
          <w:sz w:val="24"/>
          <w:szCs w:val="24"/>
          <w:u w:val="single"/>
          <w:lang w:val="en-US" w:eastAsia="zh-CN"/>
        </w:rPr>
        <w:t xml:space="preserve"> </w:t>
      </w:r>
      <w:r>
        <w:rPr>
          <w:rFonts w:hint="eastAsia" w:ascii="宋体" w:hAnsi="宋体" w:cs="宋体"/>
          <w:color w:val="0000FF"/>
          <w:sz w:val="24"/>
          <w:szCs w:val="24"/>
          <w:u w:val="single"/>
          <w:lang w:val="en-US" w:eastAsia="zh-CN"/>
        </w:rPr>
        <w:t xml:space="preserve"> </w:t>
      </w:r>
      <w:r>
        <w:rPr>
          <w:rFonts w:hint="eastAsia" w:ascii="宋体" w:hAnsi="宋体" w:eastAsia="宋体" w:cs="宋体"/>
          <w:color w:val="auto"/>
          <w:sz w:val="24"/>
          <w:szCs w:val="24"/>
          <w:lang w:val="en-US" w:eastAsia="zh-CN"/>
        </w:rPr>
        <w:t>年，自甲方在总体验收报告单上签字确认合格之日起算。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 xml:space="preserve">5.2  </w:t>
      </w:r>
      <w:r>
        <w:rPr>
          <w:rFonts w:hint="eastAsia" w:ascii="宋体" w:hAnsi="宋体" w:eastAsia="宋体" w:cs="宋体"/>
          <w:sz w:val="24"/>
        </w:rPr>
        <w:t>乙方在质保期内免费提供维修、更换、保养、咨询等服务</w:t>
      </w:r>
      <w:r>
        <w:rPr>
          <w:rFonts w:hint="eastAsia" w:ascii="宋体" w:hAnsi="宋体" w:eastAsia="宋体" w:cs="宋体"/>
          <w:color w:val="0000FF"/>
          <w:sz w:val="24"/>
          <w:lang w:val="en-US" w:eastAsia="zh-CN"/>
        </w:rPr>
        <w:t>并</w:t>
      </w:r>
      <w:r>
        <w:rPr>
          <w:rFonts w:hint="eastAsia" w:ascii="宋体" w:hAnsi="宋体" w:eastAsia="宋体" w:cs="宋体"/>
          <w:color w:val="0000FF"/>
          <w:sz w:val="24"/>
          <w:szCs w:val="24"/>
        </w:rPr>
        <w:t>出具原厂售后质保承诺书</w:t>
      </w:r>
      <w:r>
        <w:rPr>
          <w:rFonts w:hint="eastAsia" w:ascii="宋体" w:hAnsi="宋体" w:eastAsia="宋体" w:cs="宋体"/>
          <w:sz w:val="24"/>
        </w:rPr>
        <w:t>。</w:t>
      </w:r>
      <w:r>
        <w:rPr>
          <w:rFonts w:hint="eastAsia" w:ascii="宋体" w:hAnsi="宋体" w:eastAsia="宋体" w:cs="宋体"/>
          <w:color w:val="auto"/>
          <w:sz w:val="24"/>
          <w:szCs w:val="24"/>
          <w:lang w:val="en-US" w:eastAsia="zh-CN"/>
        </w:rPr>
        <w:t>如设备在</w:t>
      </w:r>
      <w:r>
        <w:rPr>
          <w:rFonts w:hint="eastAsia" w:ascii="宋体" w:hAnsi="宋体" w:eastAsia="宋体" w:cs="宋体"/>
          <w:sz w:val="24"/>
        </w:rPr>
        <w:t>质</w:t>
      </w:r>
      <w:r>
        <w:rPr>
          <w:rFonts w:hint="eastAsia" w:ascii="宋体" w:hAnsi="宋体" w:eastAsia="宋体" w:cs="宋体"/>
          <w:color w:val="auto"/>
          <w:sz w:val="24"/>
          <w:szCs w:val="24"/>
          <w:lang w:val="en-US" w:eastAsia="zh-CN"/>
        </w:rPr>
        <w:t>保期内出现质量问题，乙方应在接到甲方通知（包括电话通知）后</w:t>
      </w:r>
      <w:r>
        <w:rPr>
          <w:rFonts w:hint="eastAsia" w:ascii="宋体" w:hAnsi="宋体" w:eastAsia="宋体" w:cs="宋体"/>
          <w:color w:val="0000FF"/>
          <w:sz w:val="24"/>
          <w:szCs w:val="24"/>
          <w:highlight w:val="none"/>
          <w:lang w:val="en-US" w:eastAsia="zh-CN"/>
        </w:rPr>
        <w:t>24小时响应，响应后4小时上门服务</w:t>
      </w:r>
      <w:r>
        <w:rPr>
          <w:rFonts w:hint="eastAsia" w:ascii="宋体" w:hAnsi="宋体" w:eastAsia="宋体" w:cs="宋体"/>
          <w:color w:val="auto"/>
          <w:sz w:val="24"/>
          <w:szCs w:val="24"/>
          <w:lang w:val="en-US" w:eastAsia="zh-CN"/>
        </w:rPr>
        <w:t>，相关费用由乙方承担。如乙方不及时履行保修义务，甲方有权委托第三方进行维修，</w:t>
      </w:r>
      <w:r>
        <w:rPr>
          <w:rFonts w:hint="eastAsia" w:ascii="宋体" w:hAnsi="宋体" w:eastAsia="宋体" w:cs="宋体"/>
          <w:sz w:val="24"/>
          <w:szCs w:val="24"/>
          <w:lang w:val="en-US" w:eastAsia="zh-CN"/>
        </w:rPr>
        <w:t>由此产生的相关费用，在支付价款中予以扣除或要求乙方支付对应货物价款。</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5.3  质保期内，乙方每年至少对设备进行两次巡检并免费保养。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5.4  质保期届满后，如设备出现问题，乙方应在接到甲方通知（包括电话通知）24小时响应，响应后4小时上门服务，相关费用由甲方承担。</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auto"/>
          <w:sz w:val="24"/>
          <w:szCs w:val="24"/>
          <w:lang w:val="en-US" w:eastAsia="zh-CN"/>
        </w:rPr>
      </w:pP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 xml:space="preserve">5  </w:t>
      </w:r>
      <w:r>
        <w:rPr>
          <w:rFonts w:hint="eastAsia" w:ascii="宋体" w:hAnsi="宋体" w:eastAsia="宋体" w:cs="宋体"/>
          <w:color w:val="auto"/>
          <w:sz w:val="24"/>
          <w:szCs w:val="24"/>
        </w:rPr>
        <w:t>乙方须指派</w:t>
      </w:r>
      <w:r>
        <w:rPr>
          <w:rFonts w:hint="eastAsia" w:ascii="宋体" w:hAnsi="宋体" w:eastAsia="宋体" w:cs="宋体"/>
          <w:color w:val="auto"/>
          <w:sz w:val="24"/>
          <w:szCs w:val="24"/>
          <w:u w:val="non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专门负责与甲方联系售后服务事宜，如人员发生变动，应及时通知甲方。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第六条 结算、付款方式</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  甲方通过银行转账方式向乙方指定银行账户支付结算价款：自甲方在总体验收报告单上签字确认合格之日起4个月内，支付结算总价款的90%；自甲方在总体验收报告单上签字确认合格之日起满</w:t>
      </w:r>
      <w:r>
        <w:rPr>
          <w:rFonts w:hint="eastAsia" w:ascii="宋体" w:hAnsi="宋体" w:eastAsia="宋体" w:cs="宋体"/>
          <w:color w:val="auto"/>
          <w:sz w:val="24"/>
          <w:szCs w:val="24"/>
          <w:u w:val="single"/>
          <w:lang w:val="en-US" w:eastAsia="zh-CN"/>
        </w:rPr>
        <w:t xml:space="preserve"> </w:t>
      </w:r>
      <w:r>
        <w:rPr>
          <w:rFonts w:hint="eastAsia" w:ascii="宋体" w:hAnsi="宋体" w:cs="宋体"/>
          <w:color w:val="0000FF"/>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年的10个工作日内，</w:t>
      </w:r>
      <w:r>
        <w:rPr>
          <w:rFonts w:hint="eastAsia" w:ascii="宋体" w:hAnsi="宋体" w:eastAsia="宋体" w:cs="宋体"/>
          <w:color w:val="0000FF"/>
          <w:sz w:val="24"/>
          <w:szCs w:val="24"/>
          <w:lang w:val="en-US" w:eastAsia="zh-CN"/>
        </w:rPr>
        <w:t>免息</w:t>
      </w:r>
      <w:r>
        <w:rPr>
          <w:rFonts w:hint="eastAsia" w:ascii="宋体" w:hAnsi="宋体" w:eastAsia="宋体" w:cs="宋体"/>
          <w:color w:val="auto"/>
          <w:sz w:val="24"/>
          <w:szCs w:val="24"/>
          <w:lang w:val="en-US" w:eastAsia="zh-CN"/>
        </w:rPr>
        <w:t>支付结算总价款的10%。</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  乙方应在甲方首次付款前，提供以自己名义开具的与结算总价款对应的增值税普通发票送交甲方，如因未及时提供发票导致逾期付款，乙方自行承担相应责任。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  乙方开具的发票金额应与总体验收报告单内容一致，甲方不支付超出总体验收报告单内容以外的任何费用。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  乙方指定账户</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 xml:space="preserve">开户名：  </w:t>
      </w:r>
      <w:r>
        <w:rPr>
          <w:rFonts w:hint="eastAsia" w:ascii="宋体" w:hAnsi="宋体" w:eastAsia="宋体" w:cs="宋体"/>
          <w:color w:val="auto"/>
          <w:sz w:val="24"/>
          <w:szCs w:val="24"/>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sz w:val="24"/>
          <w:szCs w:val="24"/>
          <w:u w:val="none"/>
          <w:lang w:val="en-US" w:eastAsia="zh-CN"/>
        </w:rPr>
      </w:pPr>
      <w:r>
        <w:rPr>
          <w:rFonts w:hint="eastAsia" w:ascii="宋体" w:hAnsi="宋体" w:eastAsia="宋体" w:cs="宋体"/>
          <w:color w:val="auto"/>
          <w:sz w:val="24"/>
          <w:szCs w:val="24"/>
          <w:lang w:val="en-US" w:eastAsia="zh-CN"/>
        </w:rPr>
        <w:t>开户银行：</w:t>
      </w:r>
      <w:r>
        <w:rPr>
          <w:rFonts w:hint="eastAsia" w:ascii="宋体" w:hAnsi="宋体" w:eastAsia="宋体" w:cs="宋体"/>
          <w:color w:val="auto"/>
          <w:sz w:val="24"/>
          <w:szCs w:val="24"/>
          <w:u w:val="single"/>
          <w:lang w:val="en-US" w:eastAsia="zh-CN"/>
        </w:rPr>
        <w:t xml:space="preserve">                                </w:t>
      </w:r>
      <w:r>
        <w:rPr>
          <w:rFonts w:hint="eastAsia" w:ascii="宋体" w:hAnsi="宋体"/>
          <w:color w:val="000000"/>
          <w:sz w:val="24"/>
          <w:szCs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sz w:val="28"/>
          <w:szCs w:val="28"/>
          <w:u w:val="none"/>
          <w:lang w:val="en-US" w:eastAsia="zh-CN"/>
        </w:rPr>
      </w:pPr>
      <w:r>
        <w:rPr>
          <w:rFonts w:hint="eastAsia" w:ascii="宋体" w:hAnsi="宋体" w:eastAsia="宋体" w:cs="宋体"/>
          <w:color w:val="auto"/>
          <w:sz w:val="24"/>
          <w:szCs w:val="24"/>
          <w:lang w:val="en-US" w:eastAsia="zh-CN"/>
        </w:rPr>
        <w:t>账号：</w:t>
      </w:r>
      <w:r>
        <w:rPr>
          <w:rFonts w:hint="eastAsia" w:ascii="宋体" w:hAnsi="宋体"/>
          <w:color w:val="000000"/>
          <w:sz w:val="28"/>
          <w:szCs w:val="28"/>
          <w:u w:val="none"/>
          <w:lang w:val="en-US" w:eastAsia="zh-CN"/>
        </w:rPr>
        <w:t xml:space="preserve"> </w:t>
      </w:r>
      <w:r>
        <w:rPr>
          <w:rFonts w:hint="eastAsia" w:ascii="宋体" w:hAnsi="宋体"/>
          <w:color w:val="000000"/>
          <w:sz w:val="24"/>
          <w:szCs w:val="24"/>
          <w:u w:val="non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color w:val="000000"/>
          <w:sz w:val="28"/>
          <w:szCs w:val="28"/>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第七条 风险承担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  乙方履行本合同过程中发生事故，包括但不限于在运输、装卸、安装及调试过程中发生事故，给甲方、乙方或第三方人身、财产造成的所有损失，均由乙方负责处理和承担全部法律责任、经济赔偿。</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7.2  货物毁损、丢失的风险自甲方在总体验收报告单上签字确认合格后转移给甲方，此前货物的一切风险均由乙方承担。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第八条 违约责任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8.1  如乙方未在本合同约定时间内将验收合格的货物交付给甲方使用，除应赔偿甲方因此造成的损失外，每逾期一日，按本合同约定总价款的千分之一向甲方支付违约金，甲方可在约定应付价款中对该费用予以扣除。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  乙方出现以下违约情形之一的，甲方有权拒绝支付任何价款并解除合同</w:t>
      </w:r>
      <w:r>
        <w:rPr>
          <w:rFonts w:hint="eastAsia" w:ascii="宋体" w:hAnsi="宋体" w:eastAsia="宋体" w:cs="宋体"/>
          <w:sz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（1）乙方逾期</w:t>
      </w:r>
      <w:r>
        <w:rPr>
          <w:rFonts w:hint="eastAsia" w:ascii="宋体" w:hAnsi="宋体" w:eastAsia="宋体" w:cs="宋体"/>
          <w:color w:val="auto"/>
          <w:sz w:val="24"/>
          <w:szCs w:val="24"/>
          <w:u w:val="single"/>
          <w:lang w:val="en-US" w:eastAsia="zh-CN"/>
        </w:rPr>
        <w:t xml:space="preserve"> 30 </w:t>
      </w:r>
      <w:r>
        <w:rPr>
          <w:rFonts w:hint="eastAsia" w:ascii="宋体" w:hAnsi="宋体" w:eastAsia="宋体" w:cs="宋体"/>
          <w:color w:val="auto"/>
          <w:sz w:val="24"/>
          <w:szCs w:val="24"/>
          <w:lang w:val="en-US" w:eastAsia="zh-CN"/>
        </w:rPr>
        <w:t>日仍不能供货；</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（2）乙方提供的设备质量不符合国家标准、本合同标准或响应文件约定标准；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（3）乙方将订单转包、分包给第三方；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（4）其他根本违约的情形。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8.3 如乙方单方解除合同或甲方因乙方原因解除合同，乙方应赔偿给甲方造成的全部经济损失，并按本合同总价款 30%标准支付甲方违约金。</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第九条 争议解决</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本合同履行中发生争议，双方应先协商解决，协商解决不成的，由甲方所在地有管辖权的人民法院管辖。</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第十条 附则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10.1 本合同未尽事宜，双方另行协商签订补充协议。</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 本合同组成文件和优先解释顺序：本合同补充协议；本合同及附件；议价结果公示；响应文件；采购文件；其他与本合同有关的资料。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10.3 本合同一式五份，甲方执四份、乙方执一份，自双方签字并盖章之日起生效。</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甲方（盖章）：</w:t>
      </w:r>
      <w:r>
        <w:rPr>
          <w:rFonts w:hint="eastAsia" w:ascii="宋体" w:hAnsi="宋体" w:eastAsia="宋体" w:cs="宋体"/>
          <w:color w:val="auto"/>
          <w:sz w:val="24"/>
          <w:szCs w:val="24"/>
          <w:lang w:val="en-US" w:eastAsia="zh-CN"/>
        </w:rPr>
        <w:t>娄底市中心医院</w:t>
      </w:r>
      <w:r>
        <w:rPr>
          <w:rFonts w:hint="default"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乙方（盖章）</w:t>
      </w:r>
      <w:r>
        <w:rPr>
          <w:rFonts w:hint="eastAsia"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 xml:space="preserve">法定代表人（签字）：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法定代表人（签字）：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或</w:t>
      </w:r>
      <w:r>
        <w:rPr>
          <w:rFonts w:hint="default" w:ascii="宋体" w:hAnsi="宋体" w:eastAsia="宋体" w:cs="宋体"/>
          <w:color w:val="auto"/>
          <w:sz w:val="24"/>
          <w:szCs w:val="24"/>
          <w:lang w:val="en-US" w:eastAsia="zh-CN"/>
        </w:rPr>
        <w:t xml:space="preserve">委托代理人（签字）：        </w:t>
      </w:r>
      <w:r>
        <w:rPr>
          <w:rFonts w:hint="eastAsia" w:ascii="宋体" w:hAnsi="宋体" w:eastAsia="宋体" w:cs="宋体"/>
          <w:color w:val="auto"/>
          <w:sz w:val="24"/>
          <w:szCs w:val="24"/>
          <w:lang w:val="en-US" w:eastAsia="zh-CN"/>
        </w:rPr>
        <w:t xml:space="preserve">      或</w:t>
      </w:r>
      <w:r>
        <w:rPr>
          <w:rFonts w:hint="default" w:ascii="宋体" w:hAnsi="宋体" w:eastAsia="宋体" w:cs="宋体"/>
          <w:color w:val="auto"/>
          <w:sz w:val="24"/>
          <w:szCs w:val="24"/>
          <w:lang w:val="en-US" w:eastAsia="zh-CN"/>
        </w:rPr>
        <w:t>委托代理人（签字）：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pPr>
      <w:r>
        <w:rPr>
          <w:rFonts w:hint="default" w:ascii="宋体" w:hAnsi="宋体" w:eastAsia="宋体" w:cs="宋体"/>
          <w:color w:val="auto"/>
          <w:sz w:val="24"/>
          <w:szCs w:val="24"/>
          <w:lang w:val="en-US" w:eastAsia="zh-CN"/>
        </w:rPr>
        <w:t>合同签订地</w:t>
      </w:r>
      <w:r>
        <w:rPr>
          <w:rFonts w:hint="eastAsia" w:ascii="宋体" w:hAnsi="宋体" w:eastAsia="宋体" w:cs="宋体"/>
          <w:color w:val="auto"/>
          <w:sz w:val="24"/>
          <w:szCs w:val="24"/>
          <w:lang w:val="en-US" w:eastAsia="zh-CN"/>
        </w:rPr>
        <w:t>履行地</w:t>
      </w:r>
      <w:r>
        <w:rPr>
          <w:rFonts w:hint="default" w:ascii="宋体" w:hAnsi="宋体" w:eastAsia="宋体" w:cs="宋体"/>
          <w:color w:val="auto"/>
          <w:sz w:val="24"/>
          <w:szCs w:val="24"/>
          <w:lang w:val="en-US" w:eastAsia="zh-CN"/>
        </w:rPr>
        <w:t xml:space="preserve">：娄底市娄星区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签订时间：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日</w:t>
      </w:r>
    </w:p>
    <w:p>
      <w:pPr>
        <w:spacing w:line="360" w:lineRule="auto"/>
        <w:rPr>
          <w:rFonts w:hint="eastAsia" w:ascii="宋体" w:hAnsi="宋体" w:cs="宋体"/>
          <w:color w:val="auto"/>
          <w:sz w:val="44"/>
          <w:szCs w:val="44"/>
          <w:lang w:val="en-US" w:eastAsia="zh-CN"/>
        </w:rPr>
      </w:pPr>
    </w:p>
    <w:p>
      <w:pPr>
        <w:pStyle w:val="2"/>
        <w:rPr>
          <w:rFonts w:hint="eastAsia" w:ascii="宋体" w:hAnsi="宋体" w:cs="宋体"/>
          <w:color w:val="auto"/>
          <w:sz w:val="44"/>
          <w:szCs w:val="44"/>
          <w:lang w:val="en-US" w:eastAsia="zh-CN"/>
        </w:rPr>
      </w:pPr>
    </w:p>
    <w:p>
      <w:pPr>
        <w:pStyle w:val="2"/>
        <w:rPr>
          <w:rFonts w:hint="eastAsia" w:ascii="宋体" w:hAnsi="宋体" w:cs="宋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t>第三章</w:t>
      </w:r>
      <w:bookmarkStart w:id="1" w:name="_Toc16523573"/>
      <w:r>
        <w:rPr>
          <w:rFonts w:hint="eastAsia" w:ascii="宋体" w:hAnsi="宋体" w:cs="宋体"/>
          <w:color w:val="auto"/>
          <w:sz w:val="44"/>
          <w:szCs w:val="44"/>
          <w:lang w:val="en-US" w:eastAsia="zh-CN"/>
        </w:rPr>
        <w:t>评标方法及标准</w:t>
      </w:r>
      <w:bookmarkEnd w:id="1"/>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cs="宋体"/>
          <w:b/>
          <w:color w:val="auto"/>
          <w:sz w:val="32"/>
          <w:szCs w:val="32"/>
        </w:rPr>
      </w:pPr>
      <w:r>
        <w:rPr>
          <w:rFonts w:hint="eastAsia" w:ascii="宋体" w:hAnsi="宋体" w:cs="宋体"/>
          <w:b/>
          <w:color w:val="auto"/>
          <w:sz w:val="32"/>
          <w:szCs w:val="32"/>
        </w:rPr>
        <w:t>综合评分表</w:t>
      </w:r>
    </w:p>
    <w:tbl>
      <w:tblPr>
        <w:tblStyle w:val="10"/>
        <w:tblW w:w="4999"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685"/>
        <w:gridCol w:w="903"/>
        <w:gridCol w:w="1245"/>
        <w:gridCol w:w="6318"/>
        <w:gridCol w:w="80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5" w:hRule="atLeast"/>
          <w:jc w:val="center"/>
        </w:trPr>
        <w:tc>
          <w:tcPr>
            <w:tcW w:w="344" w:type="pc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序号</w:t>
            </w:r>
          </w:p>
        </w:tc>
        <w:tc>
          <w:tcPr>
            <w:tcW w:w="1078" w:type="pct"/>
            <w:gridSpan w:val="2"/>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评审项目</w:t>
            </w:r>
          </w:p>
        </w:tc>
        <w:tc>
          <w:tcPr>
            <w:tcW w:w="3171" w:type="pct"/>
            <w:noWrap w:val="0"/>
            <w:vAlign w:val="center"/>
          </w:tcPr>
          <w:p>
            <w:pPr>
              <w:ind w:left="480"/>
              <w:jc w:val="center"/>
              <w:rPr>
                <w:rFonts w:hint="eastAsia" w:ascii="宋体" w:hAnsi="宋体" w:cs="宋体"/>
                <w:color w:val="auto"/>
                <w:sz w:val="24"/>
                <w:szCs w:val="24"/>
              </w:rPr>
            </w:pPr>
            <w:r>
              <w:rPr>
                <w:rFonts w:hint="eastAsia" w:ascii="宋体" w:hAnsi="宋体" w:cs="宋体"/>
                <w:color w:val="auto"/>
                <w:sz w:val="24"/>
                <w:szCs w:val="24"/>
              </w:rPr>
              <w:t>评审标准</w:t>
            </w:r>
          </w:p>
        </w:tc>
        <w:tc>
          <w:tcPr>
            <w:tcW w:w="406" w:type="pc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分值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53" w:hRule="atLeast"/>
          <w:jc w:val="center"/>
        </w:trPr>
        <w:tc>
          <w:tcPr>
            <w:tcW w:w="344" w:type="pc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1</w:t>
            </w:r>
          </w:p>
        </w:tc>
        <w:tc>
          <w:tcPr>
            <w:tcW w:w="1078" w:type="pct"/>
            <w:gridSpan w:val="2"/>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价格</w:t>
            </w:r>
          </w:p>
          <w:p>
            <w:pPr>
              <w:jc w:val="center"/>
              <w:rPr>
                <w:rFonts w:hint="eastAsia"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4</w:t>
            </w:r>
            <w:r>
              <w:rPr>
                <w:rFonts w:hint="eastAsia" w:ascii="宋体" w:hAnsi="宋体" w:cs="宋体"/>
                <w:color w:val="auto"/>
                <w:sz w:val="24"/>
                <w:szCs w:val="24"/>
              </w:rPr>
              <w:t>0分）</w:t>
            </w:r>
          </w:p>
        </w:tc>
        <w:tc>
          <w:tcPr>
            <w:tcW w:w="3171" w:type="pct"/>
            <w:noWrap w:val="0"/>
            <w:vAlign w:val="center"/>
          </w:tcPr>
          <w:p>
            <w:pPr>
              <w:rPr>
                <w:rFonts w:hint="eastAsia" w:ascii="宋体" w:hAnsi="宋体" w:eastAsia="宋体" w:cs="Times New Roman"/>
                <w:color w:val="auto"/>
                <w:sz w:val="24"/>
                <w:szCs w:val="24"/>
              </w:rPr>
            </w:pPr>
            <w:r>
              <w:rPr>
                <w:rFonts w:hint="eastAsia" w:ascii="宋体" w:hAnsi="宋体" w:eastAsia="宋体" w:cs="Times New Roman"/>
                <w:color w:val="auto"/>
                <w:sz w:val="24"/>
                <w:szCs w:val="24"/>
              </w:rPr>
              <w:t>满足招标文件要求且最终投标价格最低的投标报价为评标基准价，其价格分为满分，其他有效投标人的价格分按照下列公式计算：投标报价得分=（评标基准价 ／最终投标报价）×</w:t>
            </w:r>
            <w:r>
              <w:rPr>
                <w:rFonts w:hint="eastAsia" w:ascii="宋体" w:hAnsi="宋体" w:cs="Times New Roman"/>
                <w:color w:val="auto"/>
                <w:sz w:val="24"/>
                <w:szCs w:val="24"/>
                <w:lang w:val="en-US" w:eastAsia="zh-CN"/>
              </w:rPr>
              <w:t>4</w:t>
            </w:r>
            <w:r>
              <w:rPr>
                <w:rFonts w:hint="eastAsia" w:ascii="宋体" w:hAnsi="宋体" w:eastAsia="宋体" w:cs="Times New Roman"/>
                <w:color w:val="auto"/>
                <w:sz w:val="24"/>
                <w:szCs w:val="24"/>
                <w:lang w:val="en-US" w:eastAsia="zh-CN"/>
              </w:rPr>
              <w:t>0</w:t>
            </w:r>
            <w:r>
              <w:rPr>
                <w:rFonts w:hint="eastAsia" w:ascii="宋体" w:hAnsi="宋体" w:eastAsia="宋体" w:cs="Times New Roman"/>
                <w:color w:val="auto"/>
                <w:sz w:val="24"/>
                <w:szCs w:val="24"/>
              </w:rPr>
              <w:t>。</w:t>
            </w:r>
          </w:p>
          <w:p>
            <w:pPr>
              <w:rPr>
                <w:rFonts w:hint="eastAsia"/>
                <w:color w:val="auto"/>
                <w:sz w:val="24"/>
                <w:szCs w:val="24"/>
              </w:rPr>
            </w:pPr>
            <w:r>
              <w:rPr>
                <w:rFonts w:hint="eastAsia" w:ascii="宋体" w:hAnsi="宋体" w:eastAsia="宋体" w:cs="Times New Roman"/>
                <w:color w:val="auto"/>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default" w:ascii="宋体" w:hAnsi="宋体" w:eastAsia="宋体" w:cs="Times New Roman"/>
                <w:color w:val="auto"/>
                <w:sz w:val="24"/>
                <w:szCs w:val="24"/>
              </w:rPr>
              <w:t>;</w:t>
            </w:r>
            <w:r>
              <w:rPr>
                <w:rFonts w:hint="eastAsia" w:ascii="宋体" w:hAnsi="宋体" w:eastAsia="宋体" w:cs="Times New Roman"/>
                <w:color w:val="auto"/>
                <w:sz w:val="24"/>
                <w:szCs w:val="24"/>
              </w:rPr>
              <w:t>投标人不能证明其报价合理性的，评标委员会应当将其作为无效投标处理。”</w:t>
            </w:r>
          </w:p>
        </w:tc>
        <w:tc>
          <w:tcPr>
            <w:tcW w:w="406" w:type="pc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0-</w:t>
            </w:r>
            <w:r>
              <w:rPr>
                <w:rFonts w:hint="eastAsia" w:ascii="宋体" w:hAnsi="宋体" w:cs="宋体"/>
                <w:color w:val="auto"/>
                <w:sz w:val="24"/>
                <w:szCs w:val="24"/>
                <w:lang w:val="en-US" w:eastAsia="zh-CN"/>
              </w:rPr>
              <w:t>4</w:t>
            </w:r>
            <w:r>
              <w:rPr>
                <w:rFonts w:hint="eastAsia" w:ascii="宋体" w:hAnsi="宋体" w:cs="宋体"/>
                <w:color w:val="auto"/>
                <w:sz w:val="24"/>
                <w:szCs w:val="24"/>
              </w:rPr>
              <w:t>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61" w:hRule="atLeast"/>
          <w:jc w:val="center"/>
        </w:trPr>
        <w:tc>
          <w:tcPr>
            <w:tcW w:w="344" w:type="pct"/>
            <w:vMerge w:val="restar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2</w:t>
            </w:r>
          </w:p>
        </w:tc>
        <w:tc>
          <w:tcPr>
            <w:tcW w:w="453" w:type="pct"/>
            <w:vMerge w:val="restar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lang w:eastAsia="zh-CN"/>
              </w:rPr>
              <w:t>招标文件响应程度及服务方案</w:t>
            </w:r>
            <w:r>
              <w:rPr>
                <w:rFonts w:hint="eastAsia" w:ascii="宋体" w:hAnsi="宋体" w:cs="宋体"/>
                <w:color w:val="auto"/>
                <w:sz w:val="24"/>
                <w:szCs w:val="24"/>
              </w:rPr>
              <w:t>（</w:t>
            </w:r>
            <w:r>
              <w:rPr>
                <w:rFonts w:hint="eastAsia" w:ascii="宋体" w:hAnsi="宋体" w:cs="宋体"/>
                <w:color w:val="auto"/>
                <w:sz w:val="24"/>
                <w:szCs w:val="24"/>
                <w:lang w:val="en-US" w:eastAsia="zh-CN"/>
              </w:rPr>
              <w:t>10</w:t>
            </w:r>
            <w:r>
              <w:rPr>
                <w:rFonts w:hint="eastAsia" w:ascii="宋体" w:hAnsi="宋体" w:cs="宋体"/>
                <w:color w:val="auto"/>
                <w:sz w:val="24"/>
                <w:szCs w:val="24"/>
              </w:rPr>
              <w:t>分）</w:t>
            </w:r>
          </w:p>
        </w:tc>
        <w:tc>
          <w:tcPr>
            <w:tcW w:w="625" w:type="pct"/>
            <w:noWrap w:val="0"/>
            <w:vAlign w:val="center"/>
          </w:tcPr>
          <w:p>
            <w:pPr>
              <w:jc w:val="center"/>
              <w:rPr>
                <w:rFonts w:hint="eastAsia" w:ascii="宋体" w:hAnsi="宋体" w:cs="宋体"/>
                <w:color w:val="auto"/>
                <w:sz w:val="24"/>
                <w:szCs w:val="24"/>
              </w:rPr>
            </w:pPr>
            <w:r>
              <w:rPr>
                <w:rFonts w:ascii="宋体" w:hAnsi="宋体"/>
                <w:color w:val="auto"/>
                <w:sz w:val="24"/>
                <w:szCs w:val="24"/>
              </w:rPr>
              <w:t>对招标文件的响应程度</w:t>
            </w:r>
          </w:p>
        </w:tc>
        <w:tc>
          <w:tcPr>
            <w:tcW w:w="3171" w:type="pct"/>
            <w:noWrap w:val="0"/>
            <w:vAlign w:val="center"/>
          </w:tcPr>
          <w:p>
            <w:pPr>
              <w:rPr>
                <w:rFonts w:hint="eastAsia" w:ascii="宋体" w:hAnsi="宋体" w:cs="宋体"/>
                <w:color w:val="auto"/>
                <w:sz w:val="24"/>
                <w:szCs w:val="24"/>
              </w:rPr>
            </w:pPr>
            <w:r>
              <w:rPr>
                <w:rFonts w:hint="eastAsia" w:ascii="宋体" w:hAnsi="宋体"/>
                <w:color w:val="auto"/>
                <w:sz w:val="24"/>
                <w:szCs w:val="24"/>
              </w:rPr>
              <w:t>以招标文件格式为基础，根据投标文件制作的优劣，专家酌情打分，每有一处细微偏差扣1分，扣分最多不超过</w:t>
            </w:r>
            <w:r>
              <w:rPr>
                <w:rFonts w:hint="eastAsia" w:ascii="宋体" w:hAnsi="宋体"/>
                <w:color w:val="auto"/>
                <w:sz w:val="24"/>
                <w:szCs w:val="24"/>
                <w:lang w:val="en-US" w:eastAsia="zh-CN"/>
              </w:rPr>
              <w:t>2</w:t>
            </w:r>
            <w:r>
              <w:rPr>
                <w:rFonts w:hint="eastAsia" w:ascii="宋体" w:hAnsi="宋体"/>
                <w:color w:val="auto"/>
                <w:sz w:val="24"/>
                <w:szCs w:val="24"/>
              </w:rPr>
              <w:t>分。</w:t>
            </w:r>
          </w:p>
        </w:tc>
        <w:tc>
          <w:tcPr>
            <w:tcW w:w="406" w:type="pct"/>
            <w:noWrap w:val="0"/>
            <w:vAlign w:val="center"/>
          </w:tcPr>
          <w:p>
            <w:pPr>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rPr>
              <w:t>0-</w:t>
            </w:r>
            <w:r>
              <w:rPr>
                <w:rFonts w:hint="eastAsia" w:ascii="宋体" w:hAnsi="宋体" w:cs="宋体"/>
                <w:color w:val="auto"/>
                <w:sz w:val="24"/>
                <w:szCs w:val="24"/>
                <w:lang w:val="en-US" w:eastAsia="zh-CN"/>
              </w:rPr>
              <w:t>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09" w:hRule="atLeast"/>
          <w:jc w:val="center"/>
        </w:trPr>
        <w:tc>
          <w:tcPr>
            <w:tcW w:w="344" w:type="pct"/>
            <w:vMerge w:val="continue"/>
            <w:noWrap w:val="0"/>
            <w:vAlign w:val="center"/>
          </w:tcPr>
          <w:p>
            <w:pPr>
              <w:jc w:val="center"/>
              <w:rPr>
                <w:rFonts w:hint="eastAsia" w:ascii="宋体" w:hAnsi="宋体" w:cs="宋体"/>
                <w:color w:val="auto"/>
                <w:sz w:val="24"/>
                <w:szCs w:val="24"/>
              </w:rPr>
            </w:pPr>
          </w:p>
        </w:tc>
        <w:tc>
          <w:tcPr>
            <w:tcW w:w="453" w:type="pct"/>
            <w:vMerge w:val="continue"/>
            <w:noWrap w:val="0"/>
            <w:vAlign w:val="center"/>
          </w:tcPr>
          <w:p>
            <w:pPr>
              <w:jc w:val="center"/>
              <w:rPr>
                <w:rFonts w:hint="eastAsia" w:ascii="宋体" w:hAnsi="宋体" w:cs="宋体"/>
                <w:color w:val="auto"/>
                <w:sz w:val="24"/>
                <w:szCs w:val="24"/>
              </w:rPr>
            </w:pPr>
          </w:p>
        </w:tc>
        <w:tc>
          <w:tcPr>
            <w:tcW w:w="625" w:type="pct"/>
            <w:noWrap w:val="0"/>
            <w:vAlign w:val="center"/>
          </w:tcPr>
          <w:p>
            <w:pPr>
              <w:jc w:val="cente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服务方案</w:t>
            </w:r>
          </w:p>
        </w:tc>
        <w:tc>
          <w:tcPr>
            <w:tcW w:w="3171" w:type="pct"/>
            <w:noWrap w:val="0"/>
            <w:vAlign w:val="center"/>
          </w:tcPr>
          <w:p>
            <w:pPr>
              <w:rPr>
                <w:rFonts w:hint="eastAsia" w:ascii="宋体" w:hAnsi="宋体" w:cs="Times New Roman"/>
                <w:color w:val="auto"/>
                <w:sz w:val="24"/>
                <w:szCs w:val="24"/>
              </w:rPr>
            </w:pPr>
            <w:r>
              <w:rPr>
                <w:rFonts w:hint="eastAsia" w:ascii="宋体" w:hAnsi="宋体" w:cs="Times New Roman"/>
                <w:color w:val="auto"/>
                <w:sz w:val="24"/>
                <w:szCs w:val="24"/>
                <w:lang w:val="en-US" w:eastAsia="zh-CN"/>
              </w:rPr>
              <w:t>1、</w:t>
            </w:r>
            <w:r>
              <w:rPr>
                <w:rFonts w:hint="eastAsia" w:ascii="宋体" w:hAnsi="宋体" w:cs="Times New Roman"/>
                <w:color w:val="auto"/>
                <w:sz w:val="24"/>
                <w:szCs w:val="24"/>
              </w:rPr>
              <w:t>能提供投标人</w:t>
            </w:r>
            <w:r>
              <w:rPr>
                <w:rFonts w:hint="eastAsia" w:ascii="宋体" w:hAnsi="宋体" w:cs="Times New Roman"/>
                <w:color w:val="auto"/>
                <w:sz w:val="24"/>
                <w:szCs w:val="24"/>
                <w:lang w:eastAsia="zh-CN"/>
              </w:rPr>
              <w:t>投标货物的</w:t>
            </w:r>
            <w:r>
              <w:rPr>
                <w:rFonts w:hint="eastAsia" w:ascii="宋体" w:hAnsi="宋体" w:cs="Times New Roman"/>
                <w:color w:val="auto"/>
                <w:sz w:val="24"/>
                <w:szCs w:val="24"/>
              </w:rPr>
              <w:t>同类型合作业绩，</w:t>
            </w:r>
            <w:r>
              <w:rPr>
                <w:rFonts w:hint="eastAsia" w:ascii="宋体" w:hAnsi="宋体" w:cs="Times New Roman"/>
                <w:color w:val="auto"/>
                <w:sz w:val="24"/>
                <w:szCs w:val="24"/>
                <w:lang w:eastAsia="zh-CN"/>
              </w:rPr>
              <w:t>（自开标开标之日止前五年）</w:t>
            </w:r>
            <w:r>
              <w:rPr>
                <w:rFonts w:hint="eastAsia" w:ascii="宋体" w:hAnsi="宋体" w:cs="Times New Roman"/>
                <w:color w:val="auto"/>
                <w:sz w:val="24"/>
                <w:szCs w:val="24"/>
              </w:rPr>
              <w:t>每个</w:t>
            </w:r>
            <w:r>
              <w:rPr>
                <w:rFonts w:hint="eastAsia" w:ascii="宋体" w:hAnsi="宋体" w:cs="Times New Roman"/>
                <w:color w:val="auto"/>
                <w:sz w:val="24"/>
                <w:szCs w:val="24"/>
                <w:lang w:val="en-US" w:eastAsia="zh-CN"/>
              </w:rPr>
              <w:t>业绩</w:t>
            </w:r>
            <w:r>
              <w:rPr>
                <w:rFonts w:hint="eastAsia" w:ascii="宋体" w:hAnsi="宋体" w:cs="Times New Roman"/>
                <w:color w:val="auto"/>
                <w:sz w:val="24"/>
                <w:szCs w:val="24"/>
              </w:rPr>
              <w:t>计</w:t>
            </w:r>
            <w:r>
              <w:rPr>
                <w:rFonts w:hint="eastAsia" w:ascii="宋体" w:hAnsi="宋体" w:cs="Times New Roman"/>
                <w:color w:val="auto"/>
                <w:sz w:val="24"/>
                <w:szCs w:val="24"/>
                <w:lang w:val="en-US" w:eastAsia="zh-CN"/>
              </w:rPr>
              <w:t>2</w:t>
            </w:r>
            <w:r>
              <w:rPr>
                <w:rFonts w:hint="eastAsia" w:ascii="宋体" w:hAnsi="宋体" w:cs="Times New Roman"/>
                <w:color w:val="auto"/>
                <w:sz w:val="24"/>
                <w:szCs w:val="24"/>
              </w:rPr>
              <w:t>分，最多计</w:t>
            </w:r>
            <w:r>
              <w:rPr>
                <w:rFonts w:hint="eastAsia" w:ascii="宋体" w:hAnsi="宋体" w:cs="Times New Roman"/>
                <w:color w:val="auto"/>
                <w:sz w:val="24"/>
                <w:szCs w:val="24"/>
                <w:lang w:val="en-US" w:eastAsia="zh-CN"/>
              </w:rPr>
              <w:t>4</w:t>
            </w:r>
            <w:r>
              <w:rPr>
                <w:rFonts w:hint="eastAsia" w:ascii="宋体" w:hAnsi="宋体" w:cs="Times New Roman"/>
                <w:color w:val="auto"/>
                <w:sz w:val="24"/>
                <w:szCs w:val="24"/>
              </w:rPr>
              <w:t>分（提供合作清单及联系人，并附合同或中标通知书复印件加盖投标人公章）。</w:t>
            </w:r>
          </w:p>
          <w:p>
            <w:pPr>
              <w:rPr>
                <w:rFonts w:hint="eastAsia"/>
                <w:sz w:val="24"/>
                <w:szCs w:val="24"/>
              </w:rPr>
            </w:pPr>
            <w:r>
              <w:rPr>
                <w:rFonts w:hint="eastAsia" w:ascii="宋体" w:hAnsi="宋体" w:cs="Times New Roman"/>
                <w:color w:val="auto"/>
                <w:sz w:val="24"/>
                <w:szCs w:val="24"/>
                <w:lang w:val="en-US" w:eastAsia="zh-CN"/>
              </w:rPr>
              <w:t>2、在上述技术及商务参数中要求的质保年限上，每增加一年计2分，最多计4分。</w:t>
            </w:r>
          </w:p>
        </w:tc>
        <w:tc>
          <w:tcPr>
            <w:tcW w:w="406" w:type="pct"/>
            <w:noWrap w:val="0"/>
            <w:vAlign w:val="center"/>
          </w:tcPr>
          <w:p>
            <w:pPr>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rPr>
              <w:t>0-</w:t>
            </w:r>
            <w:r>
              <w:rPr>
                <w:rFonts w:hint="eastAsia" w:ascii="宋体" w:hAnsi="宋体" w:cs="宋体"/>
                <w:color w:val="auto"/>
                <w:sz w:val="24"/>
                <w:szCs w:val="24"/>
                <w:lang w:val="en-US" w:eastAsia="zh-CN"/>
              </w:rPr>
              <w:t>8</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40" w:hRule="atLeast"/>
          <w:jc w:val="center"/>
        </w:trPr>
        <w:tc>
          <w:tcPr>
            <w:tcW w:w="344" w:type="pc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3</w:t>
            </w:r>
          </w:p>
        </w:tc>
        <w:tc>
          <w:tcPr>
            <w:tcW w:w="453" w:type="pct"/>
            <w:noWrap w:val="0"/>
            <w:vAlign w:val="center"/>
          </w:tcPr>
          <w:p>
            <w:pPr>
              <w:jc w:val="center"/>
              <w:rPr>
                <w:rFonts w:hint="eastAsia" w:ascii="宋体" w:hAnsi="宋体" w:cs="宋体"/>
                <w:color w:val="auto"/>
                <w:sz w:val="24"/>
                <w:szCs w:val="24"/>
              </w:rPr>
            </w:pPr>
            <w:r>
              <w:rPr>
                <w:rFonts w:hint="eastAsia" w:cs="Times New Roman"/>
                <w:bCs/>
                <w:sz w:val="24"/>
                <w:szCs w:val="24"/>
                <w:lang w:val="en-US" w:eastAsia="zh-CN"/>
              </w:rPr>
              <w:t>技术要求及商务要求</w:t>
            </w:r>
            <w:r>
              <w:rPr>
                <w:rFonts w:hint="eastAsia" w:ascii="宋体" w:hAnsi="宋体" w:cs="宋体"/>
                <w:color w:val="auto"/>
                <w:sz w:val="24"/>
                <w:szCs w:val="24"/>
              </w:rPr>
              <w:t>（</w:t>
            </w:r>
            <w:r>
              <w:rPr>
                <w:rFonts w:hint="eastAsia" w:ascii="宋体" w:hAnsi="宋体" w:cs="宋体"/>
                <w:color w:val="auto"/>
                <w:sz w:val="24"/>
                <w:szCs w:val="24"/>
                <w:lang w:val="en-US" w:eastAsia="zh-CN"/>
              </w:rPr>
              <w:t>5</w:t>
            </w:r>
            <w:r>
              <w:rPr>
                <w:rFonts w:hint="eastAsia" w:ascii="宋体" w:hAnsi="宋体" w:cs="宋体"/>
                <w:color w:val="auto"/>
                <w:sz w:val="24"/>
                <w:szCs w:val="24"/>
              </w:rPr>
              <w:t>0分）</w:t>
            </w:r>
          </w:p>
        </w:tc>
        <w:tc>
          <w:tcPr>
            <w:tcW w:w="625" w:type="pct"/>
            <w:noWrap w:val="0"/>
            <w:vAlign w:val="center"/>
          </w:tcPr>
          <w:p>
            <w:pPr>
              <w:jc w:val="center"/>
              <w:rPr>
                <w:rFonts w:hint="default" w:ascii="宋体" w:hAnsi="宋体" w:eastAsia="宋体"/>
                <w:color w:val="auto"/>
                <w:sz w:val="24"/>
                <w:szCs w:val="24"/>
                <w:lang w:val="en-US" w:eastAsia="zh-CN"/>
              </w:rPr>
            </w:pPr>
            <w:r>
              <w:rPr>
                <w:rFonts w:hint="eastAsia" w:cs="Times New Roman"/>
                <w:bCs/>
                <w:sz w:val="24"/>
                <w:szCs w:val="24"/>
                <w:lang w:val="en-US" w:eastAsia="zh-CN"/>
              </w:rPr>
              <w:t>技术要求及商务要求</w:t>
            </w:r>
          </w:p>
        </w:tc>
        <w:tc>
          <w:tcPr>
            <w:tcW w:w="3171" w:type="pct"/>
            <w:noWrap w:val="0"/>
            <w:vAlign w:val="top"/>
          </w:tcPr>
          <w:p>
            <w:pP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1、技术参数</w:t>
            </w:r>
            <w:r>
              <w:rPr>
                <w:rFonts w:hint="eastAsia" w:ascii="宋体" w:hAnsi="宋体" w:cs="Times New Roman"/>
                <w:color w:val="auto"/>
                <w:sz w:val="24"/>
                <w:szCs w:val="24"/>
                <w:lang w:val="en-US" w:eastAsia="zh-CN"/>
              </w:rPr>
              <w:t>及商务参数</w:t>
            </w:r>
            <w:r>
              <w:rPr>
                <w:rFonts w:hint="eastAsia" w:ascii="宋体" w:hAnsi="宋体" w:eastAsia="宋体" w:cs="Times New Roman"/>
                <w:color w:val="auto"/>
                <w:sz w:val="24"/>
                <w:szCs w:val="24"/>
                <w:lang w:val="en-US" w:eastAsia="zh-CN"/>
              </w:rPr>
              <w:t>完全符合招标文件要求的，计</w:t>
            </w:r>
            <w:r>
              <w:rPr>
                <w:rFonts w:hint="eastAsia" w:ascii="宋体" w:hAnsi="宋体" w:cs="Times New Roman"/>
                <w:color w:val="auto"/>
                <w:sz w:val="24"/>
                <w:szCs w:val="24"/>
                <w:lang w:val="en-US" w:eastAsia="zh-CN"/>
              </w:rPr>
              <w:t>5</w:t>
            </w:r>
            <w:r>
              <w:rPr>
                <w:rFonts w:hint="eastAsia" w:ascii="宋体" w:hAnsi="宋体" w:eastAsia="宋体" w:cs="Times New Roman"/>
                <w:color w:val="auto"/>
                <w:sz w:val="24"/>
                <w:szCs w:val="24"/>
                <w:lang w:val="en-US" w:eastAsia="zh-CN"/>
              </w:rPr>
              <w:t>0分，任何一条技术参数负偏离扣2分，扣完为止。</w:t>
            </w:r>
          </w:p>
          <w:p>
            <w:pP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rPr>
              <w:t>2、</w:t>
            </w:r>
            <w:r>
              <w:rPr>
                <w:rFonts w:hint="eastAsia" w:ascii="宋体" w:hAnsi="宋体" w:eastAsia="宋体" w:cs="Times New Roman"/>
                <w:color w:val="auto"/>
                <w:sz w:val="24"/>
                <w:szCs w:val="24"/>
                <w:lang w:val="en-US" w:eastAsia="zh-CN"/>
              </w:rPr>
              <w:t>带“ ★”“*”号参数为重要条款不允许偏离，否则视同无效投标。</w:t>
            </w:r>
          </w:p>
          <w:p>
            <w:pPr>
              <w:rPr>
                <w:rFonts w:hint="eastAsia" w:ascii="宋体" w:hAnsi="宋体" w:eastAsia="宋体" w:cs="Times New Roman"/>
                <w:color w:val="auto"/>
                <w:sz w:val="24"/>
                <w:szCs w:val="24"/>
              </w:rPr>
            </w:pPr>
            <w:r>
              <w:rPr>
                <w:rFonts w:hint="eastAsia" w:ascii="宋体" w:hAnsi="宋体" w:eastAsia="宋体" w:cs="Times New Roman"/>
                <w:color w:val="auto"/>
                <w:sz w:val="24"/>
                <w:szCs w:val="24"/>
              </w:rPr>
              <w:t>3、其它技术条款偏离项数之和大于5项将导致无效投标。</w:t>
            </w:r>
          </w:p>
          <w:p>
            <w:pPr>
              <w:rPr>
                <w:rFonts w:hint="eastAsia" w:ascii="宋体" w:hAnsi="宋体" w:eastAsia="宋体" w:cs="Times New Roman"/>
                <w:color w:val="auto"/>
                <w:sz w:val="24"/>
                <w:szCs w:val="24"/>
              </w:rPr>
            </w:pPr>
            <w:r>
              <w:rPr>
                <w:rFonts w:hint="eastAsia" w:ascii="宋体" w:hAnsi="宋体" w:eastAsia="宋体" w:cs="Times New Roman"/>
                <w:color w:val="auto"/>
                <w:sz w:val="24"/>
                <w:szCs w:val="24"/>
              </w:rPr>
              <w:t>说明：</w:t>
            </w:r>
          </w:p>
          <w:p>
            <w:pPr>
              <w:rPr>
                <w:rFonts w:hint="eastAsia" w:ascii="宋体" w:hAnsi="宋体" w:eastAsia="宋体" w:cs="Times New Roman"/>
                <w:color w:val="auto"/>
                <w:sz w:val="24"/>
                <w:szCs w:val="24"/>
              </w:rPr>
            </w:pPr>
            <w:r>
              <w:rPr>
                <w:rFonts w:hint="eastAsia" w:ascii="宋体" w:hAnsi="宋体" w:eastAsia="宋体" w:cs="Times New Roman"/>
                <w:color w:val="auto"/>
                <w:sz w:val="24"/>
                <w:szCs w:val="24"/>
              </w:rPr>
              <w:t>a、偏离：不满足招标参数要求，配置不详，缺漏项，技术参数表述不清的。</w:t>
            </w:r>
          </w:p>
          <w:p>
            <w:pPr>
              <w:rPr>
                <w:rFonts w:hint="default" w:eastAsia="宋体"/>
                <w:sz w:val="24"/>
                <w:szCs w:val="24"/>
                <w:lang w:val="en-US" w:eastAsia="zh-CN"/>
              </w:rPr>
            </w:pPr>
            <w:r>
              <w:rPr>
                <w:rFonts w:hint="eastAsia" w:ascii="宋体" w:hAnsi="宋体" w:eastAsia="宋体" w:cs="Times New Roman"/>
                <w:color w:val="auto"/>
                <w:sz w:val="24"/>
                <w:szCs w:val="24"/>
              </w:rPr>
              <w:t>b、条款数计算：招标文件中，凡编排有单独的中文序数或阿拉伯数字或英文字母序列号等字符的</w:t>
            </w:r>
            <w:r>
              <w:rPr>
                <w:rFonts w:ascii="宋体" w:hAnsi="宋体"/>
                <w:color w:val="000000" w:themeColor="text1"/>
                <w:sz w:val="24"/>
                <w:szCs w:val="24"/>
                <w14:textFill>
                  <w14:solidFill>
                    <w14:schemeClr w14:val="tx1"/>
                  </w14:solidFill>
                </w14:textFill>
              </w:rPr>
              <w:t>条款算一项技术要求项数</w:t>
            </w:r>
            <w:r>
              <w:rPr>
                <w:rFonts w:hint="eastAsia" w:ascii="宋体" w:hAnsi="宋体"/>
                <w:color w:val="000000" w:themeColor="text1"/>
                <w:sz w:val="24"/>
                <w:szCs w:val="24"/>
                <w14:textFill>
                  <w14:solidFill>
                    <w14:schemeClr w14:val="tx1"/>
                  </w14:solidFill>
                </w14:textFill>
              </w:rPr>
              <w:t>。</w:t>
            </w:r>
          </w:p>
        </w:tc>
        <w:tc>
          <w:tcPr>
            <w:tcW w:w="406" w:type="pct"/>
            <w:noWrap w:val="0"/>
            <w:vAlign w:val="center"/>
          </w:tcPr>
          <w:p>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rPr>
              <w:t>0-</w:t>
            </w:r>
            <w:r>
              <w:rPr>
                <w:rFonts w:hint="eastAsia" w:ascii="宋体" w:hAnsi="宋体" w:cs="宋体"/>
                <w:color w:val="auto"/>
                <w:sz w:val="24"/>
                <w:szCs w:val="24"/>
                <w:lang w:val="en-US" w:eastAsia="zh-CN"/>
              </w:rPr>
              <w:t>50</w:t>
            </w:r>
          </w:p>
        </w:tc>
      </w:tr>
    </w:tbl>
    <w:p>
      <w:pPr>
        <w:pStyle w:val="14"/>
        <w:rPr>
          <w:rFonts w:hint="eastAsia" w:ascii="宋体" w:hAnsi="宋体" w:cs="宋体"/>
          <w:color w:val="auto"/>
          <w:sz w:val="24"/>
          <w:szCs w:val="24"/>
        </w:rPr>
      </w:pPr>
    </w:p>
    <w:p>
      <w:pPr>
        <w:spacing w:before="120" w:beforeLines="50" w:after="120" w:afterLines="50" w:line="360" w:lineRule="auto"/>
        <w:rPr>
          <w:color w:val="auto"/>
        </w:rPr>
      </w:pPr>
      <w:r>
        <w:rPr>
          <w:rFonts w:hint="eastAsia" w:ascii="宋体" w:hAnsi="宋体" w:cs="宋体"/>
          <w:color w:val="auto"/>
          <w:sz w:val="24"/>
          <w:szCs w:val="24"/>
        </w:rPr>
        <w:t>注：（1）全体评标委员会对投标人评分的算数平均值即为该投标人的最终评标得分（不得去评分项目的最高得分和最低得分），评分分值计算保留小数点后两位，小数点后第三位“四舍五入”。</w:t>
      </w:r>
    </w:p>
    <w:p>
      <w:pPr>
        <w:rPr>
          <w:color w:val="auto"/>
        </w:rPr>
      </w:pPr>
      <w:r>
        <w:rPr>
          <w:color w:val="auto"/>
        </w:rPr>
        <w:br w:type="page"/>
      </w:r>
    </w:p>
    <w:p>
      <w:pPr>
        <w:pStyle w:val="14"/>
        <w:rPr>
          <w:color w:val="auto"/>
        </w:rPr>
      </w:pPr>
    </w:p>
    <w:p>
      <w:pPr>
        <w:pStyle w:val="14"/>
        <w:widowControl w:val="0"/>
        <w:numPr>
          <w:ilvl w:val="0"/>
          <w:numId w:val="0"/>
        </w:numPr>
        <w:jc w:val="both"/>
        <w:rPr>
          <w:color w:val="auto"/>
          <w:sz w:val="28"/>
          <w:szCs w:val="28"/>
        </w:rPr>
      </w:pPr>
    </w:p>
    <w:p>
      <w:pPr>
        <w:pStyle w:val="14"/>
        <w:widowControl w:val="0"/>
        <w:numPr>
          <w:ilvl w:val="0"/>
          <w:numId w:val="0"/>
        </w:numPr>
        <w:jc w:val="both"/>
        <w:rPr>
          <w:color w:val="auto"/>
          <w:sz w:val="28"/>
          <w:szCs w:val="28"/>
        </w:rPr>
      </w:pPr>
    </w:p>
    <w:p>
      <w:pPr>
        <w:pStyle w:val="3"/>
        <w:numPr>
          <w:ilvl w:val="0"/>
          <w:numId w:val="4"/>
        </w:numPr>
        <w:spacing w:line="240" w:lineRule="auto"/>
        <w:ind w:firstLine="2409" w:firstLineChars="800"/>
        <w:jc w:val="both"/>
        <w:rPr>
          <w:rFonts w:hint="eastAsia" w:ascii="宋体" w:hAnsi="宋体" w:cs="宋体"/>
          <w:color w:val="auto"/>
          <w:sz w:val="30"/>
          <w:szCs w:val="30"/>
        </w:rPr>
      </w:pPr>
      <w:bookmarkStart w:id="2" w:name="_Toc16523574"/>
      <w:r>
        <w:rPr>
          <w:rFonts w:hint="eastAsia" w:ascii="宋体" w:hAnsi="宋体" w:cs="宋体"/>
          <w:color w:val="auto"/>
          <w:sz w:val="30"/>
          <w:szCs w:val="30"/>
          <w:lang w:val="en-US" w:eastAsia="zh-CN"/>
        </w:rPr>
        <w:t xml:space="preserve">   </w:t>
      </w:r>
      <w:r>
        <w:rPr>
          <w:rFonts w:hint="eastAsia" w:ascii="宋体" w:hAnsi="宋体" w:cs="宋体"/>
          <w:color w:val="auto"/>
          <w:sz w:val="30"/>
          <w:szCs w:val="30"/>
        </w:rPr>
        <w:t>投标文件的格式</w:t>
      </w:r>
    </w:p>
    <w:p>
      <w:pPr>
        <w:pStyle w:val="3"/>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2"/>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pPr>
        <w:pStyle w:val="15"/>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4"/>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4"/>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footerReference r:id="rId5" w:type="default"/>
          <w:pgSz w:w="11906" w:h="16838"/>
          <w:pgMar w:top="1440" w:right="1080" w:bottom="1440" w:left="1080" w:header="567" w:footer="283" w:gutter="0"/>
          <w:pgNumType w:fmt="decimal" w:start="1"/>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3" w:name="_Toc476514128"/>
      <w:bookmarkStart w:id="4" w:name="_Toc486424819"/>
    </w:p>
    <w:p>
      <w:pPr>
        <w:pStyle w:val="14"/>
        <w:rPr>
          <w:rFonts w:hint="eastAsia"/>
          <w:lang w:eastAsia="zh-CN"/>
        </w:rPr>
      </w:pPr>
    </w:p>
    <w:p>
      <w:pPr>
        <w:spacing w:before="120" w:beforeLines="50" w:after="120" w:afterLines="50" w:line="276" w:lineRule="auto"/>
        <w:jc w:val="center"/>
        <w:rPr>
          <w:b/>
          <w:color w:val="auto"/>
          <w:sz w:val="24"/>
        </w:rPr>
      </w:pPr>
      <w:r>
        <w:rPr>
          <w:b/>
          <w:color w:val="auto"/>
          <w:sz w:val="24"/>
        </w:rPr>
        <w:t>采购需求响应/偏离表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0"/>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3"/>
    <w:bookmarkEnd w:id="4"/>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pPr>
        <w:adjustRightInd w:val="0"/>
        <w:snapToGrid w:val="0"/>
        <w:spacing w:before="50" w:line="360" w:lineRule="auto"/>
        <w:ind w:left="-88" w:leftChars="-42"/>
        <w:rPr>
          <w:color w:val="auto"/>
        </w:rPr>
      </w:pPr>
      <w:r>
        <w:rPr>
          <w:color w:val="auto"/>
          <w:sz w:val="24"/>
        </w:rPr>
        <w:t>（3）在招标人与中标人签订合同时，如中标人未在投标文件“采购需求偏离表”中列出偏离说明，无论已发生或即将发生任何情形，均视为完全符合招标文件要求，并写入合同。若中标人在合同签订前，以上述事项为借口而不履行合同签订手续及执行合同，则视作拒绝与招标人签订合同。</w:t>
      </w:r>
    </w:p>
    <w:p>
      <w:pPr>
        <w:pStyle w:val="15"/>
        <w:rPr>
          <w:color w:val="auto"/>
        </w:rPr>
      </w:pPr>
    </w:p>
    <w:p>
      <w:pPr>
        <w:pStyle w:val="16"/>
        <w:tabs>
          <w:tab w:val="left" w:pos="2312"/>
          <w:tab w:val="left" w:pos="2313"/>
        </w:tabs>
        <w:autoSpaceDE w:val="0"/>
        <w:autoSpaceDN w:val="0"/>
        <w:spacing w:before="43"/>
        <w:ind w:left="2312" w:firstLine="562"/>
        <w:rPr>
          <w:rFonts w:ascii="宋体" w:hAnsi="宋体" w:cs="宋体"/>
          <w:b/>
          <w:color w:val="auto"/>
          <w:sz w:val="28"/>
          <w:szCs w:val="28"/>
        </w:rPr>
      </w:pPr>
      <w:r>
        <w:rPr>
          <w:rFonts w:hint="eastAsia" w:ascii="Times New Roman" w:hAnsi="Times New Roman"/>
          <w:b/>
          <w:bCs/>
          <w:color w:val="auto"/>
          <w:sz w:val="28"/>
          <w:szCs w:val="28"/>
        </w:rPr>
        <w:t>第四部分、</w:t>
      </w:r>
      <w:r>
        <w:rPr>
          <w:rFonts w:hint="eastAsia" w:ascii="宋体" w:hAnsi="宋体" w:cs="宋体"/>
          <w:b/>
          <w:color w:val="auto"/>
          <w:sz w:val="28"/>
          <w:szCs w:val="28"/>
        </w:rPr>
        <w:t>同类项目业绩</w:t>
      </w:r>
    </w:p>
    <w:p>
      <w:pPr>
        <w:adjustRightInd w:val="0"/>
        <w:snapToGrid w:val="0"/>
        <w:spacing w:before="120" w:beforeLines="50" w:line="360" w:lineRule="auto"/>
        <w:jc w:val="center"/>
        <w:rPr>
          <w:rFonts w:ascii="宋体" w:hAnsi="宋体" w:cs="宋体"/>
          <w:color w:val="auto"/>
          <w:sz w:val="24"/>
        </w:rPr>
      </w:pPr>
      <w:r>
        <w:rPr>
          <w:rFonts w:hint="eastAsia" w:ascii="宋体" w:hAnsi="宋体" w:cs="宋体"/>
          <w:color w:val="auto"/>
          <w:sz w:val="24"/>
        </w:rPr>
        <w:t>备</w:t>
      </w:r>
      <w:r>
        <w:rPr>
          <w:rFonts w:ascii="宋体" w:hAnsi="宋体" w:cs="宋体"/>
          <w:color w:val="auto"/>
          <w:sz w:val="24"/>
        </w:rPr>
        <w:t>注：根据第</w:t>
      </w:r>
      <w:r>
        <w:rPr>
          <w:rFonts w:hint="eastAsia" w:ascii="宋体" w:hAnsi="宋体" w:cs="宋体"/>
          <w:color w:val="auto"/>
          <w:sz w:val="24"/>
          <w:lang w:val="en-US" w:eastAsia="zh-CN"/>
        </w:rPr>
        <w:t>三</w:t>
      </w:r>
      <w:r>
        <w:rPr>
          <w:rFonts w:ascii="宋体" w:hAnsi="宋体" w:cs="宋体"/>
          <w:color w:val="auto"/>
          <w:sz w:val="24"/>
        </w:rPr>
        <w:t>章《评标方法及标准》—综合评分表—记分因素</w:t>
      </w:r>
      <w:r>
        <w:rPr>
          <w:rFonts w:hint="eastAsia" w:ascii="宋体" w:hAnsi="宋体" w:cs="宋体"/>
          <w:color w:val="auto"/>
          <w:sz w:val="24"/>
        </w:rPr>
        <w:t>要求</w:t>
      </w:r>
      <w:r>
        <w:rPr>
          <w:rFonts w:ascii="宋体" w:hAnsi="宋体" w:cs="宋体"/>
          <w:color w:val="auto"/>
          <w:sz w:val="24"/>
        </w:rPr>
        <w:t>，提供材料，</w:t>
      </w:r>
    </w:p>
    <w:p>
      <w:pPr>
        <w:pStyle w:val="16"/>
        <w:tabs>
          <w:tab w:val="left" w:pos="2312"/>
          <w:tab w:val="left" w:pos="2313"/>
        </w:tabs>
        <w:autoSpaceDE w:val="0"/>
        <w:autoSpaceDN w:val="0"/>
        <w:spacing w:before="43"/>
        <w:ind w:left="2312" w:firstLine="0" w:firstLineChars="0"/>
        <w:rPr>
          <w:rFonts w:ascii="宋体" w:hAnsi="宋体" w:cs="宋体"/>
          <w:b/>
          <w:color w:val="auto"/>
          <w:sz w:val="28"/>
          <w:szCs w:val="28"/>
        </w:rPr>
      </w:pPr>
      <w:r>
        <w:rPr>
          <w:rFonts w:hint="eastAsia" w:ascii="Times New Roman" w:hAnsi="Times New Roman"/>
          <w:b/>
          <w:bCs/>
          <w:color w:val="auto"/>
          <w:sz w:val="28"/>
          <w:szCs w:val="28"/>
        </w:rPr>
        <w:t xml:space="preserve"> </w:t>
      </w:r>
      <w:r>
        <w:rPr>
          <w:rFonts w:ascii="Times New Roman" w:hAnsi="Times New Roman"/>
          <w:b/>
          <w:bCs/>
          <w:color w:val="auto"/>
          <w:sz w:val="28"/>
          <w:szCs w:val="28"/>
        </w:rPr>
        <w:t xml:space="preserve">  </w:t>
      </w:r>
      <w:r>
        <w:rPr>
          <w:rFonts w:hint="eastAsia" w:ascii="Times New Roman" w:hAnsi="Times New Roman"/>
          <w:b/>
          <w:bCs/>
          <w:color w:val="auto"/>
          <w:sz w:val="28"/>
          <w:szCs w:val="28"/>
        </w:rPr>
        <w:t>第五部分、</w:t>
      </w:r>
      <w:r>
        <w:rPr>
          <w:rFonts w:hint="eastAsia" w:ascii="Times New Roman" w:hAnsi="Times New Roman"/>
          <w:b/>
          <w:bCs/>
          <w:color w:val="auto"/>
          <w:sz w:val="28"/>
          <w:szCs w:val="28"/>
          <w:lang w:val="en-US" w:eastAsia="zh-CN"/>
        </w:rPr>
        <w:t>技术及</w:t>
      </w:r>
      <w:r>
        <w:rPr>
          <w:rFonts w:hint="eastAsia" w:ascii="宋体" w:hAnsi="宋体" w:cs="宋体"/>
          <w:b/>
          <w:color w:val="auto"/>
          <w:sz w:val="28"/>
          <w:szCs w:val="28"/>
        </w:rPr>
        <w:t>服务方案</w:t>
      </w:r>
    </w:p>
    <w:p>
      <w:pPr>
        <w:adjustRightInd w:val="0"/>
        <w:snapToGrid w:val="0"/>
        <w:spacing w:before="120" w:beforeLines="50" w:line="360" w:lineRule="auto"/>
        <w:jc w:val="center"/>
        <w:rPr>
          <w:rFonts w:hint="eastAsia" w:ascii="宋体" w:hAnsi="宋体" w:eastAsia="宋体" w:cs="宋体"/>
          <w:color w:val="auto"/>
          <w:sz w:val="24"/>
          <w:lang w:eastAsia="zh-CN"/>
        </w:rPr>
      </w:pPr>
      <w:r>
        <w:rPr>
          <w:rFonts w:hint="eastAsia" w:ascii="宋体" w:hAnsi="宋体" w:cs="宋体"/>
          <w:color w:val="auto"/>
          <w:sz w:val="24"/>
        </w:rPr>
        <w:t>备</w:t>
      </w:r>
      <w:r>
        <w:rPr>
          <w:rFonts w:ascii="宋体" w:hAnsi="宋体" w:cs="宋体"/>
          <w:color w:val="auto"/>
          <w:sz w:val="24"/>
        </w:rPr>
        <w:t>注：根据第</w:t>
      </w:r>
      <w:r>
        <w:rPr>
          <w:rFonts w:hint="eastAsia" w:ascii="宋体" w:hAnsi="宋体" w:cs="宋体"/>
          <w:color w:val="auto"/>
          <w:sz w:val="24"/>
          <w:lang w:val="en-US" w:eastAsia="zh-CN"/>
        </w:rPr>
        <w:t>三</w:t>
      </w:r>
      <w:r>
        <w:rPr>
          <w:rFonts w:ascii="宋体" w:hAnsi="宋体" w:cs="宋体"/>
          <w:color w:val="auto"/>
          <w:sz w:val="24"/>
        </w:rPr>
        <w:t>章《评标方法及标准》—综合评分表—记分因素</w:t>
      </w:r>
      <w:r>
        <w:rPr>
          <w:rFonts w:hint="eastAsia" w:ascii="宋体" w:hAnsi="宋体" w:cs="宋体"/>
          <w:color w:val="auto"/>
          <w:sz w:val="24"/>
        </w:rPr>
        <w:t>要求</w:t>
      </w:r>
      <w:r>
        <w:rPr>
          <w:rFonts w:ascii="宋体" w:hAnsi="宋体" w:cs="宋体"/>
          <w:color w:val="auto"/>
          <w:sz w:val="24"/>
        </w:rPr>
        <w:t>，提供材料，</w:t>
      </w:r>
    </w:p>
    <w:p>
      <w:pPr>
        <w:pStyle w:val="14"/>
        <w:rPr>
          <w:rFonts w:hint="eastAsia"/>
          <w:lang w:eastAsia="zh-CN"/>
        </w:rPr>
      </w:pPr>
    </w:p>
    <w:p>
      <w:pPr>
        <w:numPr>
          <w:ilvl w:val="0"/>
          <w:numId w:val="5"/>
        </w:numPr>
        <w:jc w:val="center"/>
        <w:rPr>
          <w:rFonts w:hint="eastAsia" w:ascii="Times New Roman" w:hAnsi="Times New Roman" w:eastAsia="宋体" w:cs="Times New Roman"/>
          <w:b/>
          <w:bCs/>
          <w:color w:val="auto"/>
          <w:kern w:val="2"/>
          <w:sz w:val="28"/>
          <w:szCs w:val="28"/>
          <w:lang w:val="en-US" w:eastAsia="zh-CN" w:bidi="ar-SA"/>
        </w:rPr>
      </w:pPr>
      <w:r>
        <w:rPr>
          <w:rFonts w:hint="eastAsia" w:ascii="Times New Roman" w:hAnsi="Times New Roman" w:eastAsia="宋体" w:cs="Times New Roman"/>
          <w:b/>
          <w:bCs/>
          <w:color w:val="auto"/>
          <w:kern w:val="2"/>
          <w:sz w:val="28"/>
          <w:szCs w:val="28"/>
          <w:lang w:val="en-US" w:eastAsia="zh-CN" w:bidi="ar-SA"/>
        </w:rPr>
        <w:t>质保及维护方案</w:t>
      </w:r>
    </w:p>
    <w:p>
      <w:pPr>
        <w:adjustRightInd w:val="0"/>
        <w:snapToGrid w:val="0"/>
        <w:spacing w:before="120" w:beforeLines="50" w:line="360" w:lineRule="auto"/>
        <w:jc w:val="center"/>
      </w:pPr>
      <w:r>
        <w:rPr>
          <w:rFonts w:hint="eastAsia" w:ascii="宋体" w:hAnsi="宋体" w:cs="宋体"/>
          <w:color w:val="auto"/>
          <w:sz w:val="24"/>
        </w:rPr>
        <w:t>备</w:t>
      </w:r>
      <w:r>
        <w:rPr>
          <w:rFonts w:ascii="宋体" w:hAnsi="宋体" w:cs="宋体"/>
          <w:color w:val="auto"/>
          <w:sz w:val="24"/>
        </w:rPr>
        <w:t>注：根据第</w:t>
      </w:r>
      <w:r>
        <w:rPr>
          <w:rFonts w:hint="eastAsia" w:ascii="宋体" w:hAnsi="宋体" w:cs="宋体"/>
          <w:color w:val="auto"/>
          <w:sz w:val="24"/>
          <w:lang w:val="en-US" w:eastAsia="zh-CN"/>
        </w:rPr>
        <w:t>三</w:t>
      </w:r>
      <w:r>
        <w:rPr>
          <w:rFonts w:ascii="宋体" w:hAnsi="宋体" w:cs="宋体"/>
          <w:color w:val="auto"/>
          <w:sz w:val="24"/>
        </w:rPr>
        <w:t>章《评标方法及标准》—综合评分表—记分因素</w:t>
      </w:r>
      <w:r>
        <w:rPr>
          <w:rFonts w:hint="eastAsia" w:ascii="宋体" w:hAnsi="宋体" w:cs="宋体"/>
          <w:color w:val="auto"/>
          <w:sz w:val="24"/>
        </w:rPr>
        <w:t>要求</w:t>
      </w:r>
      <w:r>
        <w:rPr>
          <w:rFonts w:ascii="宋体" w:hAnsi="宋体" w:cs="宋体"/>
          <w:color w:val="auto"/>
          <w:sz w:val="24"/>
        </w:rPr>
        <w:t>，提供材料</w:t>
      </w:r>
      <w:r>
        <w:rPr>
          <w:rFonts w:hint="eastAsia" w:ascii="宋体" w:hAnsi="宋体" w:cs="宋体"/>
          <w:color w:val="auto"/>
          <w:sz w:val="24"/>
          <w:lang w:eastAsia="zh-CN"/>
        </w:rPr>
        <w:t>。</w:t>
      </w:r>
    </w:p>
    <w:p/>
    <w:sectPr>
      <w:footerReference r:id="rId6"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宋体"/>
    <w:panose1 w:val="02010601030101010101"/>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仿宋_GB2312" w:eastAsia="仿宋_GB2312"/>
        <w:bCs/>
        <w:u w:val="single"/>
      </w:rPr>
    </w:pP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EE324B"/>
    <w:multiLevelType w:val="singleLevel"/>
    <w:tmpl w:val="B6EE324B"/>
    <w:lvl w:ilvl="0" w:tentative="0">
      <w:start w:val="4"/>
      <w:numFmt w:val="chineseCounting"/>
      <w:suff w:val="space"/>
      <w:lvlText w:val="第%1章"/>
      <w:lvlJc w:val="left"/>
      <w:rPr>
        <w:rFonts w:hint="eastAsia"/>
      </w:rPr>
    </w:lvl>
  </w:abstractNum>
  <w:abstractNum w:abstractNumId="1">
    <w:nsid w:val="BB68914C"/>
    <w:multiLevelType w:val="singleLevel"/>
    <w:tmpl w:val="BB68914C"/>
    <w:lvl w:ilvl="0" w:tentative="0">
      <w:start w:val="2"/>
      <w:numFmt w:val="chineseCounting"/>
      <w:suff w:val="nothing"/>
      <w:lvlText w:val="%1、"/>
      <w:lvlJc w:val="left"/>
      <w:rPr>
        <w:rFonts w:hint="eastAsia"/>
      </w:rPr>
    </w:lvl>
  </w:abstractNum>
  <w:abstractNum w:abstractNumId="2">
    <w:nsid w:val="DFCC3393"/>
    <w:multiLevelType w:val="singleLevel"/>
    <w:tmpl w:val="DFCC3393"/>
    <w:lvl w:ilvl="0" w:tentative="0">
      <w:start w:val="6"/>
      <w:numFmt w:val="chineseCounting"/>
      <w:suff w:val="nothing"/>
      <w:lvlText w:val="第%1部分、"/>
      <w:lvlJc w:val="left"/>
      <w:rPr>
        <w:rFonts w:hint="eastAsia"/>
      </w:rPr>
    </w:lvl>
  </w:abstractNum>
  <w:abstractNum w:abstractNumId="3">
    <w:nsid w:val="F22833F1"/>
    <w:multiLevelType w:val="singleLevel"/>
    <w:tmpl w:val="F22833F1"/>
    <w:lvl w:ilvl="0" w:tentative="0">
      <w:start w:val="1"/>
      <w:numFmt w:val="decimal"/>
      <w:suff w:val="nothing"/>
      <w:lvlText w:val="%1、"/>
      <w:lvlJc w:val="left"/>
    </w:lvl>
  </w:abstractNum>
  <w:abstractNum w:abstractNumId="4">
    <w:nsid w:val="1E6DDE31"/>
    <w:multiLevelType w:val="singleLevel"/>
    <w:tmpl w:val="1E6DDE31"/>
    <w:lvl w:ilvl="0" w:tentative="0">
      <w:start w:val="1"/>
      <w:numFmt w:val="chineseCounting"/>
      <w:suff w:val="space"/>
      <w:lvlText w:val="第%1条"/>
      <w:lvlJc w:val="left"/>
      <w:rPr>
        <w:rFonts w:hint="eastAsia"/>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6E91EC4"/>
    <w:rsid w:val="12994AC5"/>
    <w:rsid w:val="1AF56B46"/>
    <w:rsid w:val="1FE73549"/>
    <w:rsid w:val="20B41DA7"/>
    <w:rsid w:val="23D826F9"/>
    <w:rsid w:val="28E81B29"/>
    <w:rsid w:val="2C7642D0"/>
    <w:rsid w:val="2EAC037F"/>
    <w:rsid w:val="2EB67A5C"/>
    <w:rsid w:val="302741D2"/>
    <w:rsid w:val="308B184D"/>
    <w:rsid w:val="340F06E9"/>
    <w:rsid w:val="3B3B544D"/>
    <w:rsid w:val="3B654F2B"/>
    <w:rsid w:val="429A4992"/>
    <w:rsid w:val="43B25DAC"/>
    <w:rsid w:val="4DCD6AB3"/>
    <w:rsid w:val="50433432"/>
    <w:rsid w:val="50540C20"/>
    <w:rsid w:val="512A3701"/>
    <w:rsid w:val="51AC28BD"/>
    <w:rsid w:val="611B6B1B"/>
    <w:rsid w:val="64133D6A"/>
    <w:rsid w:val="6DE375E4"/>
    <w:rsid w:val="72D33D5F"/>
    <w:rsid w:val="735759D3"/>
    <w:rsid w:val="7B0D1444"/>
    <w:rsid w:val="7BBF44BB"/>
    <w:rsid w:val="7BF15CE4"/>
    <w:rsid w:val="7E996A44"/>
    <w:rsid w:val="7EA804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4">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正文格式"/>
    <w:basedOn w:val="1"/>
    <w:qFormat/>
    <w:uiPriority w:val="0"/>
    <w:pPr>
      <w:widowControl/>
      <w:adjustRightInd w:val="0"/>
      <w:snapToGrid w:val="0"/>
      <w:spacing w:line="400" w:lineRule="atLeast"/>
      <w:ind w:firstLine="482"/>
      <w:textAlignment w:val="baseline"/>
    </w:pPr>
    <w:rPr>
      <w:kern w:val="0"/>
      <w:sz w:val="24"/>
    </w:rPr>
  </w:style>
  <w:style w:type="paragraph" w:styleId="5">
    <w:name w:val="Body Text Indent"/>
    <w:basedOn w:val="1"/>
    <w:next w:val="6"/>
    <w:qFormat/>
    <w:uiPriority w:val="99"/>
    <w:pPr>
      <w:spacing w:line="400" w:lineRule="exact"/>
      <w:ind w:left="630"/>
    </w:pPr>
    <w:rPr>
      <w:rFonts w:ascii="楷体_GB2312"/>
      <w:sz w:val="30"/>
      <w:szCs w:val="30"/>
    </w:rPr>
  </w:style>
  <w:style w:type="paragraph" w:styleId="6">
    <w:name w:val="Body Text First Indent 2"/>
    <w:basedOn w:val="5"/>
    <w:next w:val="1"/>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7">
    <w:name w:val="footer"/>
    <w:basedOn w:val="1"/>
    <w:qFormat/>
    <w:uiPriority w:val="0"/>
    <w:pPr>
      <w:tabs>
        <w:tab w:val="center" w:pos="4153"/>
        <w:tab w:val="right" w:pos="8306"/>
      </w:tabs>
      <w:snapToGrid w:val="0"/>
      <w:jc w:val="left"/>
    </w:pPr>
    <w:rPr>
      <w:kern w:val="0"/>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rPr>
      <w:sz w:val="24"/>
    </w:rPr>
  </w:style>
  <w:style w:type="paragraph" w:customStyle="1" w:styleId="12">
    <w:name w:val="Default"/>
    <w:next w:val="13"/>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
    <w:name w:val="大标题"/>
    <w:basedOn w:val="1"/>
    <w:next w:val="6"/>
    <w:qFormat/>
    <w:uiPriority w:val="0"/>
    <w:pPr>
      <w:jc w:val="center"/>
    </w:pPr>
    <w:rPr>
      <w:rFonts w:ascii="Arial" w:hAnsi="Arial" w:eastAsia="宋体"/>
      <w:b/>
      <w:sz w:val="28"/>
      <w:szCs w:val="24"/>
    </w:rPr>
  </w:style>
  <w:style w:type="paragraph" w:customStyle="1" w:styleId="14">
    <w:name w:val="列出段落1"/>
    <w:basedOn w:val="1"/>
    <w:qFormat/>
    <w:uiPriority w:val="99"/>
    <w:pPr>
      <w:ind w:firstLine="420" w:firstLineChars="200"/>
    </w:pPr>
  </w:style>
  <w:style w:type="paragraph" w:customStyle="1" w:styleId="15">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8885</Words>
  <Characters>9336</Characters>
  <Lines>0</Lines>
  <Paragraphs>0</Paragraphs>
  <TotalTime>0</TotalTime>
  <ScaleCrop>false</ScaleCrop>
  <LinksUpToDate>false</LinksUpToDate>
  <CharactersWithSpaces>10257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2023-07-31T00:38:40Z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3505A2AB25E048A4A9B0E6A6741CA1BA_11</vt:lpwstr>
  </property>
</Properties>
</file>