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（裂隙灯显微镜检测仪</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bookmarkStart w:id="5" w:name="_GoBack"/>
      <w:bookmarkEnd w:id="5"/>
      <w:r>
        <w:rPr>
          <w:rFonts w:hint="eastAsia" w:ascii="Times New Roman" w:hAnsi="Times New Roman" w:eastAsia="宋体" w:cs="Times New Roman"/>
          <w:b/>
          <w:bCs/>
          <w:kern w:val="44"/>
          <w:sz w:val="32"/>
          <w:szCs w:val="32"/>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八</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ascii="宋体" w:hAnsi="宋体" w:cs="宋体"/>
          <w:color w:val="auto"/>
          <w:sz w:val="44"/>
          <w:szCs w:val="44"/>
          <w:lang w:val="en-US" w:eastAsia="zh-CN"/>
        </w:rPr>
        <w:sectPr>
          <w:headerReference r:id="rId3" w:type="default"/>
          <w:footerReference r:id="rId4" w:type="default"/>
          <w:pgSz w:w="11906" w:h="16838"/>
          <w:pgMar w:top="1440" w:right="1080" w:bottom="1440" w:left="1080" w:header="567" w:footer="283" w:gutter="0"/>
          <w:cols w:space="720" w:num="1"/>
          <w:docGrid w:linePitch="312" w:charSpace="0"/>
        </w:sectPr>
      </w:pPr>
    </w:p>
    <w:p>
      <w:pPr>
        <w:rPr>
          <w:rFonts w:hint="eastAsia"/>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裂隙灯显微镜检测仪</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裂隙灯显微镜检测仪</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2"/>
        <w:rPr>
          <w:rFonts w:hint="eastAsia"/>
          <w:lang w:val="en-US" w:eastAsia="zh-CN"/>
        </w:rPr>
      </w:pPr>
    </w:p>
    <w:p>
      <w:pPr>
        <w:pStyle w:val="3"/>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裂隙灯显微镜检测仪</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8.4</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22" w:firstLineChars="200"/>
        <w:rPr>
          <w:rFonts w:hint="eastAsia"/>
          <w:b/>
          <w:bCs/>
          <w:lang w:val="en-US" w:eastAsia="zh-CN"/>
        </w:rPr>
      </w:pPr>
      <w:r>
        <w:rPr>
          <w:rFonts w:hint="eastAsia"/>
          <w:b/>
          <w:bCs/>
          <w:lang w:val="en-US" w:eastAsia="zh-CN"/>
        </w:rPr>
        <w:t>技术参数：</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1、显微镜系统性能参数</w:t>
      </w:r>
      <w:r>
        <w:rPr>
          <w:rFonts w:hint="eastAsia" w:asciiTheme="minorEastAsia" w:hAnsiTheme="minorEastAsia" w:eastAsiaTheme="minorEastAsia" w:cstheme="minorEastAsia"/>
          <w:bCs/>
          <w:color w:val="auto"/>
          <w:kern w:val="0"/>
          <w:sz w:val="24"/>
          <w:szCs w:val="24"/>
          <w:lang w:val="en-US" w:eastAsia="zh-CN" w:bidi="ar-SA"/>
        </w:rPr>
        <w:t>:</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1.1显微镜类型          伽利略平行夹角式（内置黄色滤光片）</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1.2变倍方式            5档转鼓变倍式</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 xml:space="preserve">1.3放大倍率            6.3X、10X、16X、25X、40X </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1.4目镜倍率            12.5X</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1.5目镜夹角            10°</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 xml:space="preserve">1.6瞳距调节范围        52mm~80mm </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1.7屈光度调节          -8D~+8D</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1.8视场直径           36.2mm、 22.3mm、 14mm、 8.9mm、 5.7mm</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2、照明系统性能参数</w:t>
      </w:r>
      <w:r>
        <w:rPr>
          <w:rFonts w:hint="eastAsia" w:asciiTheme="minorEastAsia" w:hAnsiTheme="minorEastAsia" w:eastAsiaTheme="minorEastAsia" w:cstheme="minorEastAsia"/>
          <w:bCs/>
          <w:color w:val="auto"/>
          <w:kern w:val="0"/>
          <w:sz w:val="24"/>
          <w:szCs w:val="24"/>
          <w:lang w:val="en-US" w:eastAsia="zh-CN" w:bidi="ar-SA"/>
        </w:rPr>
        <w:t>:</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 xml:space="preserve">2.1裂隙宽度            0-14mm 连续可调（在 14mm 时，裂隙呈圆形） </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2.2裂隙长度            1-14mm 连续可调</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2.3光    源            LED</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2.4裂隙角度            0°~180°由垂直到水平方向连续可调</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2.5滤 色 片            隔热片、无赤片、钴蓝片</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2.6光阑大小            14mm、8mm、3.5mm、0.2mm</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2.7照</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 xml:space="preserve">  度             ≥150klx                                                                 </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3、运动底座</w:t>
      </w:r>
      <w:r>
        <w:rPr>
          <w:rFonts w:hint="eastAsia" w:asciiTheme="minorEastAsia" w:hAnsiTheme="minorEastAsia" w:eastAsiaTheme="minorEastAsia" w:cstheme="minorEastAsia"/>
          <w:bCs/>
          <w:color w:val="auto"/>
          <w:kern w:val="0"/>
          <w:sz w:val="24"/>
          <w:szCs w:val="24"/>
          <w:lang w:val="en-US" w:eastAsia="zh-CN" w:bidi="ar-SA"/>
        </w:rPr>
        <w:t>:</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3.1 前后移动           ≥ 115mm</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3.2 左右移动           ≥ 110mm</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3.3 上下移动           ≥30mm</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4、颚托支架</w:t>
      </w:r>
      <w:r>
        <w:rPr>
          <w:rFonts w:hint="eastAsia" w:asciiTheme="minorEastAsia" w:hAnsiTheme="minorEastAsia" w:eastAsiaTheme="minorEastAsia" w:cstheme="minorEastAsia"/>
          <w:bCs/>
          <w:color w:val="auto"/>
          <w:kern w:val="0"/>
          <w:sz w:val="24"/>
          <w:szCs w:val="24"/>
          <w:lang w:val="en-US" w:eastAsia="zh-CN" w:bidi="ar-SA"/>
        </w:rPr>
        <w:t>:</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4.1上下移动           ≥80mm</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5、电箱</w:t>
      </w:r>
      <w:r>
        <w:rPr>
          <w:rFonts w:hint="eastAsia" w:asciiTheme="minorEastAsia" w:hAnsiTheme="minorEastAsia" w:eastAsiaTheme="minorEastAsia" w:cstheme="minorEastAsia"/>
          <w:bCs/>
          <w:color w:val="auto"/>
          <w:kern w:val="0"/>
          <w:sz w:val="24"/>
          <w:szCs w:val="24"/>
          <w:lang w:val="en-US" w:eastAsia="zh-CN" w:bidi="ar-SA"/>
        </w:rPr>
        <w:t>:</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5.1 输入电压           ～100-240V</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5.2 输入频率           50Hz/60Hz</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5.3 输入功率           1.2A</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5.4 输出电压           照明灯</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3V （连续可调）</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5.5 固视灯</w:t>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ab/>
      </w:r>
      <w:r>
        <w:rPr>
          <w:rFonts w:hint="default" w:asciiTheme="minorEastAsia" w:hAnsiTheme="minorEastAsia" w:eastAsiaTheme="minorEastAsia" w:cstheme="minorEastAsia"/>
          <w:bCs/>
          <w:color w:val="auto"/>
          <w:kern w:val="0"/>
          <w:sz w:val="24"/>
          <w:szCs w:val="24"/>
          <w:lang w:val="en-US" w:eastAsia="zh-CN" w:bidi="ar-SA"/>
        </w:rPr>
        <w:t xml:space="preserve">       15V</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 使用环境</w:t>
      </w:r>
      <w:r>
        <w:rPr>
          <w:rFonts w:hint="eastAsia" w:asciiTheme="minorEastAsia" w:hAnsiTheme="minorEastAsia" w:eastAsiaTheme="minorEastAsia" w:cstheme="minorEastAsia"/>
          <w:bCs/>
          <w:color w:val="auto"/>
          <w:kern w:val="0"/>
          <w:sz w:val="24"/>
          <w:szCs w:val="24"/>
          <w:lang w:val="en-US" w:eastAsia="zh-CN" w:bidi="ar-SA"/>
        </w:rPr>
        <w:t>:</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6.1 温    度          +5℃～+40℃</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6.2 相对湿度          ≤90%</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6.3 大 气 压          860hPa～1060hPa</w:t>
      </w:r>
    </w:p>
    <w:p>
      <w:pPr>
        <w:pStyle w:val="2"/>
        <w:rPr>
          <w:rFonts w:hint="default" w:asciiTheme="minorEastAsia" w:hAnsiTheme="minorEastAsia" w:eastAsiaTheme="minorEastAsia" w:cstheme="minorEastAsia"/>
          <w:bCs/>
          <w:color w:val="FF0000"/>
          <w:kern w:val="0"/>
          <w:sz w:val="24"/>
          <w:szCs w:val="24"/>
          <w:lang w:val="en-US" w:eastAsia="zh-CN" w:bidi="ar-SA"/>
        </w:rPr>
      </w:pPr>
    </w:p>
    <w:p>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*1、运输、装卸、培训、安装调试：由中标人负责承担，最终通过使用科室、设备科及相关部门确认验收交付使用。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*2、交货时间：按合同约定的送货日期内将设备运至娄底市中心医院指定交货地点，逾期按合同赔付。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FF0000"/>
          <w:kern w:val="0"/>
          <w:sz w:val="24"/>
          <w:szCs w:val="24"/>
          <w:lang w:val="en-US" w:eastAsia="zh-CN" w:bidi="ar-SA"/>
        </w:rPr>
      </w:pPr>
      <w:r>
        <w:rPr>
          <w:rFonts w:hint="default" w:asciiTheme="minorEastAsia" w:hAnsiTheme="minorEastAsia" w:eastAsiaTheme="minorEastAsia" w:cstheme="minorEastAsia"/>
          <w:bCs/>
          <w:color w:val="FF0000"/>
          <w:kern w:val="0"/>
          <w:sz w:val="24"/>
          <w:szCs w:val="24"/>
          <w:lang w:val="en-US" w:eastAsia="zh-CN" w:bidi="ar-SA"/>
        </w:rPr>
        <w:t>*3、付款方式：设备验收合格后，供应商将发票交到娄底市中心医院后按程序支付货款90%（按医院财务制度一般情况下4个月内支付、特殊情况下最多不超过6个月），甲方在设备</w:t>
      </w:r>
      <w:r>
        <w:rPr>
          <w:rFonts w:hint="default" w:asciiTheme="minorEastAsia" w:hAnsiTheme="minorEastAsia" w:eastAsiaTheme="minorEastAsia" w:cstheme="minorEastAsia"/>
          <w:bCs/>
          <w:color w:val="auto"/>
          <w:kern w:val="0"/>
          <w:sz w:val="24"/>
          <w:szCs w:val="24"/>
          <w:lang w:val="en-US" w:eastAsia="zh-CN" w:bidi="ar-SA"/>
        </w:rPr>
        <w:t>验收合格满2年后</w:t>
      </w:r>
      <w:r>
        <w:rPr>
          <w:rFonts w:hint="default" w:asciiTheme="minorEastAsia" w:hAnsiTheme="minorEastAsia" w:eastAsiaTheme="minorEastAsia" w:cstheme="minorEastAsia"/>
          <w:bCs/>
          <w:color w:val="FF0000"/>
          <w:kern w:val="0"/>
          <w:sz w:val="24"/>
          <w:szCs w:val="24"/>
          <w:lang w:val="en-US" w:eastAsia="zh-CN" w:bidi="ar-SA"/>
        </w:rPr>
        <w:t>支付10%余款给乙方。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*4、交货地点：娄底市中心医院。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*5、质保与售后：整机保修2年，终身维修。出具原厂售后质保承诺书，质保期内每年巡检两次。质保期内出现故障，24小时响应，响应后4小时上门服务。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*6、在投标文件中必须提供相关佐证资料（加盖原厂公章的技术参数、技术白皮书、说明书、彩页），并在响应表中备注该条参数响应或正偏离的佐证资料所在页码。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法定代表人：李红辉</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裂隙灯显微镜检测仪</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 裂隙灯显微镜检测仪</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裂隙灯显微镜检测仪</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本合同约定价格包括且不限于设计费、材料费、人工费、安装费、包装费、运输费、装卸费、调试费、检测、检验费、税费、保险费、售后服务费等在内所有费用。</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FF"/>
          <w:sz w:val="24"/>
          <w:szCs w:val="24"/>
          <w:lang w:val="en-US" w:eastAsia="zh-CN"/>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w:t>
      </w:r>
      <w:r>
        <w:rPr>
          <w:rFonts w:hint="eastAsia" w:ascii="宋体" w:hAnsi="宋体" w:eastAsia="宋体" w:cs="宋体"/>
          <w:color w:val="FF0000"/>
          <w:sz w:val="24"/>
          <w:szCs w:val="24"/>
          <w:highlight w:val="none"/>
        </w:rPr>
        <w:t>使用科室、设备科及相关部门</w:t>
      </w:r>
      <w:r>
        <w:rPr>
          <w:rFonts w:hint="eastAsia" w:ascii="宋体" w:hAnsi="宋体" w:eastAsia="宋体" w:cs="宋体"/>
          <w:color w:val="auto"/>
          <w:sz w:val="24"/>
          <w:szCs w:val="24"/>
          <w:highlight w:val="none"/>
          <w:lang w:val="en-US" w:eastAsia="zh-CN"/>
        </w:rPr>
        <w:t>进行总体验收，验收合格后签署总体验收报告单。如经甲方验收不合格，乙方应在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0000FF"/>
          <w:sz w:val="24"/>
          <w:lang w:val="en-US" w:eastAsia="zh-CN"/>
        </w:rPr>
        <w:t>并</w:t>
      </w:r>
      <w:r>
        <w:rPr>
          <w:rFonts w:hint="eastAsia" w:ascii="宋体" w:hAnsi="宋体" w:eastAsia="宋体" w:cs="宋体"/>
          <w:color w:val="0000FF"/>
          <w:sz w:val="24"/>
          <w:szCs w:val="24"/>
        </w:rPr>
        <w:t>出具原厂售后质保承诺书</w:t>
      </w:r>
      <w:r>
        <w:rPr>
          <w:rFonts w:hint="eastAsia" w:ascii="宋体" w:hAnsi="宋体" w:eastAsia="宋体" w:cs="宋体"/>
          <w:sz w:val="24"/>
        </w:rPr>
        <w:t>。</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24小时响应，响应后4小时上门服务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质保期内，乙方每年至少对设备进行两次巡检并免费保养。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cs="宋体"/>
          <w:color w:val="auto"/>
          <w:sz w:val="44"/>
          <w:szCs w:val="4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0"/>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903"/>
        <w:gridCol w:w="1245"/>
        <w:gridCol w:w="6318"/>
        <w:gridCol w:w="8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w:t>
            </w:r>
            <w:r>
              <w:rPr>
                <w:rFonts w:hint="eastAsia" w:ascii="宋体" w:hAnsi="宋体" w:cs="Times New Roman"/>
                <w:color w:val="auto"/>
                <w:sz w:val="24"/>
                <w:szCs w:val="24"/>
                <w:lang w:eastAsia="zh-CN"/>
              </w:rPr>
              <w:t>投标货物的</w:t>
            </w:r>
            <w:r>
              <w:rPr>
                <w:rFonts w:hint="eastAsia" w:ascii="宋体" w:hAnsi="宋体" w:cs="Times New Roman"/>
                <w:color w:val="auto"/>
                <w:sz w:val="24"/>
                <w:szCs w:val="24"/>
              </w:rPr>
              <w:t>同类型合作业绩，</w:t>
            </w:r>
            <w:r>
              <w:rPr>
                <w:rFonts w:hint="eastAsia" w:ascii="宋体" w:hAnsi="宋体" w:cs="Times New Roman"/>
                <w:color w:val="auto"/>
                <w:sz w:val="24"/>
                <w:szCs w:val="24"/>
                <w:lang w:eastAsia="zh-CN"/>
              </w:rPr>
              <w:t>（自开标开标之日止前五年）</w:t>
            </w:r>
            <w:r>
              <w:rPr>
                <w:rFonts w:hint="eastAsia" w:ascii="宋体" w:hAnsi="宋体" w:cs="Times New Roman"/>
                <w:color w:val="auto"/>
                <w:sz w:val="24"/>
                <w:szCs w:val="24"/>
              </w:rPr>
              <w:t>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sz w:val="24"/>
                <w:szCs w:val="24"/>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4"/>
                <w:szCs w:val="24"/>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4"/>
                <w:szCs w:val="24"/>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w:t>
            </w:r>
            <w:r>
              <w:rPr>
                <w:rFonts w:hint="eastAsia" w:ascii="宋体" w:hAnsi="宋体" w:cs="Times New Roman"/>
                <w:color w:val="auto"/>
                <w:sz w:val="24"/>
                <w:szCs w:val="24"/>
                <w:lang w:val="en-US" w:eastAsia="zh-CN"/>
              </w:rPr>
              <w:t>及商务参数</w:t>
            </w:r>
            <w:r>
              <w:rPr>
                <w:rFonts w:hint="eastAsia" w:ascii="宋体" w:hAnsi="宋体" w:eastAsia="宋体" w:cs="Times New Roman"/>
                <w:color w:val="auto"/>
                <w:sz w:val="24"/>
                <w:szCs w:val="24"/>
                <w:lang w:val="en-US" w:eastAsia="zh-CN"/>
              </w:rPr>
              <w:t>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3、其它技术条款偏离项数之和大于5项将导致无效投标。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sz w:val="24"/>
                <w:szCs w:val="24"/>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szCs w:val="24"/>
                <w14:textFill>
                  <w14:solidFill>
                    <w14:schemeClr w14:val="tx1"/>
                  </w14:solidFill>
                </w14:textFill>
              </w:rPr>
              <w:t>条款算一项技术要求项数</w:t>
            </w:r>
            <w:r>
              <w:rPr>
                <w:rFonts w:hint="eastAsia" w:ascii="宋体" w:hAnsi="宋体"/>
                <w:color w:val="000000" w:themeColor="text1"/>
                <w:sz w:val="24"/>
                <w:szCs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4"/>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14"/>
        <w:rPr>
          <w:color w:val="auto"/>
        </w:rPr>
      </w:pPr>
    </w:p>
    <w:p>
      <w:pPr>
        <w:pStyle w:val="14"/>
        <w:widowControl w:val="0"/>
        <w:numPr>
          <w:ilvl w:val="0"/>
          <w:numId w:val="0"/>
        </w:numPr>
        <w:jc w:val="both"/>
        <w:rPr>
          <w:color w:val="auto"/>
          <w:sz w:val="28"/>
          <w:szCs w:val="28"/>
        </w:rPr>
      </w:pPr>
    </w:p>
    <w:p>
      <w:pPr>
        <w:pStyle w:val="14"/>
        <w:widowControl w:val="0"/>
        <w:numPr>
          <w:ilvl w:val="0"/>
          <w:numId w:val="0"/>
        </w:numPr>
        <w:jc w:val="both"/>
        <w:rPr>
          <w:color w:val="auto"/>
          <w:sz w:val="28"/>
          <w:szCs w:val="28"/>
        </w:rPr>
      </w:pPr>
    </w:p>
    <w:p>
      <w:pPr>
        <w:pStyle w:val="3"/>
        <w:numPr>
          <w:ilvl w:val="0"/>
          <w:numId w:val="4"/>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5"/>
        <w:rPr>
          <w:color w:val="auto"/>
        </w:rPr>
      </w:pPr>
    </w:p>
    <w:p>
      <w:pPr>
        <w:pStyle w:val="16"/>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6"/>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4"/>
        <w:rPr>
          <w:rFonts w:hint="eastAsia"/>
          <w:lang w:eastAsia="zh-CN"/>
        </w:rPr>
      </w:pPr>
    </w:p>
    <w:p>
      <w:pPr>
        <w:numPr>
          <w:ilvl w:val="0"/>
          <w:numId w:val="5"/>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6E91EC4"/>
    <w:rsid w:val="10E01E5B"/>
    <w:rsid w:val="12994AC5"/>
    <w:rsid w:val="1A724682"/>
    <w:rsid w:val="1AF56B46"/>
    <w:rsid w:val="1FE73549"/>
    <w:rsid w:val="20B41DA7"/>
    <w:rsid w:val="28E81B29"/>
    <w:rsid w:val="2C7642D0"/>
    <w:rsid w:val="2EAC037F"/>
    <w:rsid w:val="2EB67A5C"/>
    <w:rsid w:val="302741D2"/>
    <w:rsid w:val="308B184D"/>
    <w:rsid w:val="340F06E9"/>
    <w:rsid w:val="347D49F7"/>
    <w:rsid w:val="3B3B544D"/>
    <w:rsid w:val="3B654F2B"/>
    <w:rsid w:val="423E47D4"/>
    <w:rsid w:val="429A4992"/>
    <w:rsid w:val="439A410B"/>
    <w:rsid w:val="43B25DAC"/>
    <w:rsid w:val="4DCD6AB3"/>
    <w:rsid w:val="4EB800D9"/>
    <w:rsid w:val="50540C20"/>
    <w:rsid w:val="51AC28BD"/>
    <w:rsid w:val="611B6B1B"/>
    <w:rsid w:val="64133D6A"/>
    <w:rsid w:val="6DE375E4"/>
    <w:rsid w:val="72D33D5F"/>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5">
    <w:name w:val="Body Text Indent"/>
    <w:basedOn w:val="1"/>
    <w:next w:val="6"/>
    <w:qFormat/>
    <w:uiPriority w:val="99"/>
    <w:pPr>
      <w:spacing w:line="400" w:lineRule="exact"/>
      <w:ind w:left="630"/>
    </w:pPr>
    <w:rPr>
      <w:rFonts w:ascii="楷体_GB2312"/>
      <w:sz w:val="30"/>
      <w:szCs w:val="30"/>
    </w:rPr>
  </w:style>
  <w:style w:type="paragraph" w:styleId="6">
    <w:name w:val="Body Text First Indent 2"/>
    <w:basedOn w:val="5"/>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6"/>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7435</Words>
  <Characters>7852</Characters>
  <Lines>0</Lines>
  <Paragraphs>0</Paragraphs>
  <TotalTime>0</TotalTime>
  <ScaleCrop>false</ScaleCrop>
  <LinksUpToDate>false</LinksUpToDate>
  <CharactersWithSpaces>9174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2023-07-31T00:38:13Z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3505A2AB25E048A4A9B0E6A6741CA1BA_11</vt:lpwstr>
  </property>
</Properties>
</file>