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（医用超声雾化器</w:t>
      </w:r>
      <w:r>
        <w:rPr>
          <w:rFonts w:hint="eastAsia" w:ascii="Times New Roman" w:hAnsi="Times New Roman" w:eastAsia="宋体" w:cs="Times New Roman"/>
          <w:b/>
          <w:bCs/>
          <w:kern w:val="44"/>
          <w:sz w:val="32"/>
          <w:szCs w:val="32"/>
          <w:lang w:val="en-US" w:eastAsia="zh-CN" w:bidi="ar-SA"/>
        </w:rPr>
        <w:t>院内</w:t>
      </w:r>
      <w:r>
        <w:rPr>
          <w:rFonts w:hint="eastAsia" w:cs="Times New Roman"/>
          <w:b/>
          <w:bCs/>
          <w:kern w:val="44"/>
          <w:sz w:val="32"/>
          <w:szCs w:val="32"/>
          <w:lang w:val="en-US" w:eastAsia="zh-CN" w:bidi="ar-SA"/>
        </w:rPr>
        <w:t>议价</w:t>
      </w:r>
      <w:r>
        <w:rPr>
          <w:rFonts w:hint="eastAsia" w:ascii="Times New Roman" w:hAnsi="Times New Roman" w:eastAsia="宋体" w:cs="Times New Roman"/>
          <w:b/>
          <w:bCs/>
          <w:kern w:val="44"/>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三</w:t>
      </w:r>
      <w:r>
        <w:rPr>
          <w:rFonts w:hint="eastAsia" w:ascii="宋体" w:hAnsi="宋体" w:cs="宋体"/>
          <w:bCs/>
          <w:sz w:val="32"/>
          <w:szCs w:val="32"/>
        </w:rPr>
        <w:t>年</w:t>
      </w:r>
      <w:r>
        <w:rPr>
          <w:rFonts w:hint="eastAsia" w:ascii="宋体" w:hAnsi="宋体" w:cs="宋体"/>
          <w:bCs/>
          <w:sz w:val="32"/>
          <w:szCs w:val="32"/>
          <w:lang w:val="en-US" w:eastAsia="zh-CN"/>
        </w:rPr>
        <w:t>八</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sectPr>
          <w:headerReference r:id="rId3" w:type="default"/>
          <w:footerReference r:id="rId4" w:type="default"/>
          <w:pgSz w:w="11906" w:h="16838"/>
          <w:pgMar w:top="1440" w:right="1080" w:bottom="1440" w:left="1080" w:header="567" w:footer="283" w:gutter="0"/>
          <w:cols w:space="720" w:num="1"/>
          <w:docGrid w:linePitch="312" w:charSpace="0"/>
        </w:sectPr>
      </w:pPr>
    </w:p>
    <w:p>
      <w:pPr>
        <w:rPr>
          <w:rFonts w:hint="eastAsia"/>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医用超声雾化器</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医用超声雾化器</w:t>
      </w:r>
      <w:r>
        <w:rPr>
          <w:rFonts w:hint="eastAsia" w:asciiTheme="minorEastAsia" w:hAnsiTheme="minorEastAsia" w:eastAsiaTheme="minorEastAsia" w:cstheme="minorEastAsia"/>
          <w:b w:val="0"/>
          <w:bCs/>
          <w:color w:val="auto"/>
          <w:sz w:val="24"/>
          <w:szCs w:val="24"/>
          <w:lang w:val="en-US" w:eastAsia="zh-CN"/>
        </w:rPr>
        <w:t>采购项目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院内议价，按招标文件评分规则进行评审，以评审结果排序，综合评分得分相同的，按投标报价由低到高顺序排列，得分且投标报价相同的，按技术指标优劣顺序排列。</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1、具有独立法人地位，营业执照具有相应的经营范围；</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6、投标人具备湖南省政府采购电子卖场资格，中标人在议价公示后三个工作日内需配合医院完成湖南省政府采购电子卖场直购程序。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1、投标截止时间、开标时间：具体时间电话通知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6"/>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2"/>
        <w:rPr>
          <w:rFonts w:hint="eastAsia"/>
          <w:lang w:val="en-US" w:eastAsia="zh-CN"/>
        </w:rPr>
      </w:pPr>
    </w:p>
    <w:p>
      <w:pPr>
        <w:pStyle w:val="3"/>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1721"/>
        <w:gridCol w:w="1710"/>
        <w:gridCol w:w="2134"/>
        <w:gridCol w:w="278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05"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172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71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134"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3" w:hRule="atLeast"/>
          <w:jc w:val="center"/>
        </w:trPr>
        <w:tc>
          <w:tcPr>
            <w:tcW w:w="958"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1721"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医用超声雾化器</w:t>
            </w:r>
          </w:p>
        </w:tc>
        <w:tc>
          <w:tcPr>
            <w:tcW w:w="1710"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134" w:type="dxa"/>
            <w:tcBorders>
              <w:top w:val="single" w:color="000000" w:sz="6" w:space="0"/>
              <w:left w:val="single" w:color="000000" w:sz="6" w:space="0"/>
              <w:bottom w:val="single" w:color="auto" w:sz="4"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7.6</w:t>
            </w:r>
          </w:p>
        </w:tc>
        <w:tc>
          <w:tcPr>
            <w:tcW w:w="2786" w:type="dxa"/>
            <w:tcBorders>
              <w:top w:val="single" w:color="000000" w:sz="6" w:space="0"/>
              <w:left w:val="single" w:color="000000" w:sz="6" w:space="0"/>
              <w:bottom w:val="single" w:color="auto" w:sz="4"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lang w:val="en-US" w:eastAsia="zh-CN"/>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pPr>
        <w:spacing w:line="360" w:lineRule="auto"/>
        <w:ind w:firstLine="482" w:firstLineChars="200"/>
        <w:rPr>
          <w:rFonts w:hint="eastAsia"/>
          <w:b/>
          <w:bCs/>
          <w:sz w:val="24"/>
          <w:szCs w:val="24"/>
          <w:lang w:val="en-US" w:eastAsia="zh-CN"/>
        </w:rPr>
      </w:pPr>
      <w:r>
        <w:rPr>
          <w:rFonts w:hint="eastAsia"/>
          <w:b/>
          <w:bCs/>
          <w:sz w:val="24"/>
          <w:szCs w:val="24"/>
          <w:lang w:val="en-US" w:eastAsia="zh-CN"/>
        </w:rPr>
        <w:t>技术参数：</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（一）专业用途：用于干眼雾化治疗，适用于行动不便的患者以及干眼患者，超声雾化器也有美容、缓解干眼症等作用。</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二）、超声雾化器工作原理和机制:主要利用超声波定向压强，超声波能量在常温下使得水溶性药物能够雾化成为微小的颗粒物，并且通过水的配合作用，形成喷雾状通过内部风机的作用，将喷雾状的药物拍入患者眼部，使患者更容易吸收水分及药物的药性，从而达到治疗的作用。</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（三）、搭载冷热雾化双模式；具有中药雾化功能，熬煮雾化一机完成，无需辅助其他方式</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（四）、参数记忆模式，初始参数设置好之后，后续操作一键启动即工作。可实时个性化设置调整治疗参数</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1、电源：~220V±22V 50Hz± 1Hz</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2、加热功率：≥700VA</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3、超声振荡频率：2.0MHz ±10%</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4、雾化率：≥180ml/h；大功率雾化技术，出雾稳定雾量大，治疗感受更佳</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5、加热温度：85°C±10%，步进10°C，操作设置有语音提示；</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内置智能变频温控系统，无需外接加热、温控模块，设备稳定性好，治疗过程中实时监测，低于设置目标温度即可启动加热，控温准</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6、加热锅装水量：≥800ml</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7、过滤网直径：≤75um，防止药渣进入机器内部，避免药渣堵塞引起的机器故障</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8、正常工作时整机噪声：≤50dB（A计权）</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9、治疗时间：5-60分钟，可调，步进5分钟，操作设置有语音提示；一键暂停功能，治疗过程中可一键暂停，恢复治疗点击雾化即可继续工作</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10、低水位提示装置：当雾化器水槽内无水时，机器可自动停机</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11、连续工作时间：在常温下采用交流电源供电时，可连续工作4小时</w:t>
      </w:r>
    </w:p>
    <w:p>
      <w:pPr>
        <w:pStyle w:val="2"/>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12、等效提及粒径分布：直径1um-8um的雾粒所占比例≥50%</w:t>
      </w:r>
    </w:p>
    <w:p>
      <w:pPr>
        <w:pStyle w:val="2"/>
        <w:rPr>
          <w:rFonts w:hint="default" w:asciiTheme="minorEastAsia" w:hAnsiTheme="minorEastAsia" w:eastAsiaTheme="minorEastAsia" w:cstheme="minorEastAsia"/>
          <w:bCs/>
          <w:color w:val="FF0000"/>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13、中位粒径：雾粒的中位粒径为6.5um，误差≤±25%。</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1主机                  1台</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2主机电源线            1根</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3药杯                  5个</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4加热连接线            1根</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5加热管路              2根</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6温度传感器线          1根</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7保险丝                2只</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8说明书 (含保修卡 ）   1本</w:t>
      </w:r>
    </w:p>
    <w:p>
      <w:pPr>
        <w:pStyle w:val="2"/>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9合格证                1张</w:t>
      </w:r>
    </w:p>
    <w:p>
      <w:pPr>
        <w:pStyle w:val="3"/>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rPr>
          <w:rFonts w:hint="eastAsia"/>
          <w:lang w:val="en-US" w:eastAsia="zh-CN"/>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*1、运输、装卸、培训、安装调试：由中标人负责承担，最终通过使用科室、设备科及相关部门确认验收交付使用。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*2、交货时间：按合同约定的送货日期内将设备运至娄底市中心医院指定交货地点，逾期按合同赔付。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*3、付款方式：设备验收合格后，供应商将发票交到娄底市中心医院后按程序支付货款90%（按医院财务制度一般情况下4个月内支付、特殊情况下最多不超过6个月），甲方在设备验收合格满2年后</w:t>
      </w:r>
      <w:bookmarkStart w:id="5" w:name="_GoBack"/>
      <w:bookmarkEnd w:id="5"/>
      <w:r>
        <w:rPr>
          <w:rFonts w:hint="default" w:asciiTheme="minorEastAsia" w:hAnsiTheme="minorEastAsia" w:eastAsiaTheme="minorEastAsia" w:cstheme="minorEastAsia"/>
          <w:bCs/>
          <w:color w:val="auto"/>
          <w:kern w:val="0"/>
          <w:sz w:val="24"/>
          <w:szCs w:val="24"/>
          <w:lang w:val="en-US" w:eastAsia="zh-CN" w:bidi="ar-SA"/>
        </w:rPr>
        <w:t>支付10%余款给乙方。</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*4、交货地点：娄底市中心医院。</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*5、质保与售后：整机保修2年，终身维修。出具原厂售后质保承诺书，质保期内每年巡检两次。质保期内出现故障，24小时响应，响应后4小时上门服务。</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default" w:asciiTheme="minorEastAsia" w:hAnsiTheme="minorEastAsia" w:eastAsiaTheme="minorEastAsia" w:cstheme="minorEastAsia"/>
          <w:bCs/>
          <w:color w:val="auto"/>
          <w:kern w:val="0"/>
          <w:sz w:val="24"/>
          <w:szCs w:val="24"/>
          <w:lang w:val="en-US" w:eastAsia="zh-CN" w:bidi="ar-SA"/>
        </w:rPr>
        <w:t>*6、在投标文件中必须提供相关佐证资料（加盖原厂公章的技术参数、技术白皮书、说明书、彩页），并在响应表中备注该条参数响应或正偏离的佐证资料所在页码。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spacing w:line="360" w:lineRule="auto"/>
        <w:ind w:firstLine="480" w:firstLineChars="200"/>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法定代表人：李红辉</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院内议价</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u w:val="single"/>
          <w:lang w:val="en-US" w:eastAsia="zh-CN"/>
        </w:rPr>
        <w:t xml:space="preserve"> 医用超声雾化器</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eastAsia="宋体" w:cs="宋体"/>
          <w:color w:val="auto"/>
          <w:sz w:val="24"/>
          <w:szCs w:val="24"/>
          <w:u w:val="single"/>
          <w:lang w:val="en-US" w:eastAsia="zh-CN"/>
        </w:rPr>
        <w:t xml:space="preserve">医用超声雾化器 </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default" w:ascii="宋体" w:hAnsi="宋体" w:eastAsia="宋体" w:cs="宋体"/>
                <w:color w:val="000000" w:themeColor="text1"/>
                <w:kern w:val="0"/>
                <w:sz w:val="24"/>
                <w:szCs w:val="24"/>
                <w:lang w:val="en-US" w:eastAsia="zh-CN"/>
                <w14:textFill>
                  <w14:solidFill>
                    <w14:schemeClr w14:val="tx1"/>
                  </w14:solidFill>
                </w14:textFill>
              </w:rPr>
              <w:t>医用超声雾化器</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2台</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本合同约定价格包括且不限于设计费、材料费、人工费、安装费、包装费、运输费、装卸费、调试费、检测、检验费、税费、保险费、售后服务费等在内所有费用。</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default"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lang w:val="en-US" w:eastAsia="zh-CN"/>
        </w:rPr>
        <w:t>日之前完成安装、调试，办理验收手续并交付甲方使用。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FF"/>
          <w:sz w:val="24"/>
          <w:szCs w:val="24"/>
          <w:lang w:val="en-US" w:eastAsia="zh-CN"/>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FF"/>
          <w:sz w:val="24"/>
          <w:szCs w:val="24"/>
          <w:lang w:val="en-US" w:eastAsia="zh-CN"/>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到货验收：乙方将设备运至指定交货地点后，应通知甲方，并向甲方提供厂家标准资料文件（进口设备需提供真实有效的海关报关单，其他设备需提供产品合格证）。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（2）拆包、安装、调试、培训验收：乙方将设备全部拆包、安装、调试、培训后应及时通知甲方，甲方自接到乙方通知之日起7日内自行组织</w:t>
      </w:r>
      <w:r>
        <w:rPr>
          <w:rFonts w:hint="eastAsia" w:ascii="宋体" w:hAnsi="宋体" w:eastAsia="宋体" w:cs="宋体"/>
          <w:color w:val="FF0000"/>
          <w:sz w:val="24"/>
          <w:szCs w:val="24"/>
          <w:highlight w:val="none"/>
        </w:rPr>
        <w:t>使用科室、设备科及相关部门</w:t>
      </w:r>
      <w:r>
        <w:rPr>
          <w:rFonts w:hint="eastAsia" w:ascii="宋体" w:hAnsi="宋体" w:eastAsia="宋体" w:cs="宋体"/>
          <w:color w:val="auto"/>
          <w:sz w:val="24"/>
          <w:szCs w:val="24"/>
          <w:highlight w:val="none"/>
          <w:lang w:val="en-US" w:eastAsia="zh-CN"/>
        </w:rPr>
        <w:t>进行总体验收，验收合格后签署总体验收报告单。如经甲方验收不合格，乙方应在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（1）甲方的文书送达地址：娄底市中心医院（湖南省娄底市娄星区长青中街51号）；联系人：朱振宇，联系电话：15673845559。</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（2）乙方的文书送达地址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 xml:space="preserve"> </w:t>
      </w:r>
      <w:r>
        <w:rPr>
          <w:rFonts w:hint="eastAsia" w:ascii="宋体" w:hAnsi="宋体" w:cs="宋体"/>
          <w:color w:val="0000FF"/>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0000FF"/>
          <w:sz w:val="24"/>
          <w:lang w:val="en-US" w:eastAsia="zh-CN"/>
        </w:rPr>
        <w:t>并</w:t>
      </w:r>
      <w:r>
        <w:rPr>
          <w:rFonts w:hint="eastAsia" w:ascii="宋体" w:hAnsi="宋体" w:eastAsia="宋体" w:cs="宋体"/>
          <w:color w:val="0000FF"/>
          <w:sz w:val="24"/>
          <w:szCs w:val="24"/>
        </w:rPr>
        <w:t>出具原厂售后质保承诺书</w:t>
      </w:r>
      <w:r>
        <w:rPr>
          <w:rFonts w:hint="eastAsia" w:ascii="宋体" w:hAnsi="宋体" w:eastAsia="宋体" w:cs="宋体"/>
          <w:sz w:val="24"/>
        </w:rPr>
        <w:t>。</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24小时响应，响应后4小时上门服务</w:t>
      </w:r>
      <w:r>
        <w:rPr>
          <w:rFonts w:hint="eastAsia" w:ascii="宋体" w:hAnsi="宋体" w:eastAsia="宋体" w:cs="宋体"/>
          <w:color w:val="auto"/>
          <w:sz w:val="24"/>
          <w:szCs w:val="24"/>
          <w:lang w:val="en-US" w:eastAsia="zh-CN"/>
        </w:rPr>
        <w:t>，相关费用由乙方承担。如乙方不及时履行保修义务，甲方有权委托第三方进行维修，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质保期内，乙方每年至少对设备进行两次巡检并免费保养。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质保期届满后，如设备出现问题，乙方应在接到甲方通知（包括电话通知）24小时响应，响应后4小时上门服务，相关费用由甲方承担。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 xml:space="preserve"> </w:t>
      </w:r>
      <w:r>
        <w:rPr>
          <w:rFonts w:hint="eastAsia" w:ascii="宋体" w:hAnsi="宋体" w:cs="宋体"/>
          <w:color w:val="0000FF"/>
          <w:sz w:val="24"/>
          <w:szCs w:val="24"/>
          <w:u w:val="single"/>
          <w:lang w:val="en-US" w:eastAsia="zh-CN"/>
        </w:rPr>
        <w:t xml:space="preserve">  </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FF"/>
          <w:sz w:val="24"/>
          <w:szCs w:val="24"/>
          <w:lang w:val="en-US" w:eastAsia="zh-CN"/>
        </w:rPr>
        <w:t>免息</w:t>
      </w:r>
      <w:r>
        <w:rPr>
          <w:rFonts w:hint="eastAsia" w:ascii="宋体" w:hAnsi="宋体" w:eastAsia="宋体" w:cs="宋体"/>
          <w:color w:val="auto"/>
          <w:sz w:val="24"/>
          <w:szCs w:val="24"/>
          <w:lang w:val="en-US" w:eastAsia="zh-CN"/>
        </w:rPr>
        <w:t>支付结算总价款的10%。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（1）乙方逾期</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本合同一式五份，甲方执四份、乙方执一份，自双方签字并盖章之日起生效。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rPr>
      </w:pPr>
      <w:r>
        <w:rPr>
          <w:rFonts w:hint="eastAsia" w:ascii="宋体" w:hAnsi="宋体" w:cs="宋体"/>
          <w:b/>
          <w:color w:val="auto"/>
          <w:sz w:val="32"/>
          <w:szCs w:val="32"/>
        </w:rPr>
        <w:t>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5"/>
        <w:gridCol w:w="903"/>
        <w:gridCol w:w="1245"/>
        <w:gridCol w:w="6318"/>
        <w:gridCol w:w="80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sz w:val="24"/>
                <w:szCs w:val="24"/>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w:t>
            </w:r>
            <w:r>
              <w:rPr>
                <w:rFonts w:hint="eastAsia" w:ascii="宋体" w:hAnsi="宋体" w:cs="Times New Roman"/>
                <w:color w:val="auto"/>
                <w:sz w:val="24"/>
                <w:szCs w:val="24"/>
                <w:lang w:eastAsia="zh-CN"/>
              </w:rPr>
              <w:t>投标货物的</w:t>
            </w:r>
            <w:r>
              <w:rPr>
                <w:rFonts w:hint="eastAsia" w:ascii="宋体" w:hAnsi="宋体" w:cs="Times New Roman"/>
                <w:color w:val="auto"/>
                <w:sz w:val="24"/>
                <w:szCs w:val="24"/>
              </w:rPr>
              <w:t>同类型合作业绩，</w:t>
            </w:r>
            <w:r>
              <w:rPr>
                <w:rFonts w:hint="eastAsia" w:ascii="宋体" w:hAnsi="宋体" w:cs="Times New Roman"/>
                <w:color w:val="auto"/>
                <w:sz w:val="24"/>
                <w:szCs w:val="24"/>
                <w:lang w:eastAsia="zh-CN"/>
              </w:rPr>
              <w:t>（自开标开标之日止前五年）</w:t>
            </w:r>
            <w:r>
              <w:rPr>
                <w:rFonts w:hint="eastAsia" w:ascii="宋体" w:hAnsi="宋体" w:cs="Times New Roman"/>
                <w:color w:val="auto"/>
                <w:sz w:val="24"/>
                <w:szCs w:val="24"/>
              </w:rPr>
              <w:t>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sz w:val="24"/>
                <w:szCs w:val="24"/>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4"/>
                <w:szCs w:val="24"/>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4"/>
                <w:szCs w:val="24"/>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w:t>
            </w:r>
            <w:r>
              <w:rPr>
                <w:rFonts w:hint="eastAsia" w:ascii="宋体" w:hAnsi="宋体" w:cs="Times New Roman"/>
                <w:color w:val="auto"/>
                <w:sz w:val="24"/>
                <w:szCs w:val="24"/>
                <w:lang w:val="en-US" w:eastAsia="zh-CN"/>
              </w:rPr>
              <w:t>及商务参数</w:t>
            </w:r>
            <w:r>
              <w:rPr>
                <w:rFonts w:hint="eastAsia" w:ascii="宋体" w:hAnsi="宋体" w:eastAsia="宋体" w:cs="Times New Roman"/>
                <w:color w:val="auto"/>
                <w:sz w:val="24"/>
                <w:szCs w:val="24"/>
                <w:lang w:val="en-US" w:eastAsia="zh-CN"/>
              </w:rPr>
              <w:t>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sz w:val="24"/>
                <w:szCs w:val="24"/>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szCs w:val="24"/>
                <w14:textFill>
                  <w14:solidFill>
                    <w14:schemeClr w14:val="tx1"/>
                  </w14:solidFill>
                </w14:textFill>
              </w:rPr>
              <w:t>条款算一项技术要求项数</w:t>
            </w:r>
            <w:r>
              <w:rPr>
                <w:rFonts w:hint="eastAsia" w:ascii="宋体" w:hAnsi="宋体"/>
                <w:color w:val="000000" w:themeColor="text1"/>
                <w:sz w:val="24"/>
                <w:szCs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4"/>
        <w:rPr>
          <w:rFonts w:hint="eastAsia" w:ascii="宋体" w:hAnsi="宋体" w:cs="宋体"/>
          <w:color w:val="auto"/>
          <w:sz w:val="24"/>
          <w:szCs w:val="24"/>
        </w:rPr>
      </w:pPr>
    </w:p>
    <w:p>
      <w:pPr>
        <w:spacing w:before="120" w:beforeLines="50" w:after="120" w:afterLines="50" w:line="360" w:lineRule="auto"/>
        <w:rPr>
          <w:color w:val="auto"/>
        </w:rPr>
      </w:pPr>
      <w:r>
        <w:rPr>
          <w:rFonts w:hint="eastAsia" w:ascii="宋体" w:hAnsi="宋体" w:cs="宋体"/>
          <w:color w:val="auto"/>
          <w:sz w:val="24"/>
          <w:szCs w:val="24"/>
        </w:rPr>
        <w:t>注：（1）全体评标委员会对投标人评分的算数平均值即为该投标人的最终评标得分（不得去评分项目的最高得分和最低得分），评分分值计算保留小数点后两位，小数点后第三位“四舍五入”。</w:t>
      </w:r>
    </w:p>
    <w:p>
      <w:pPr>
        <w:rPr>
          <w:color w:val="auto"/>
        </w:rPr>
      </w:pPr>
      <w:r>
        <w:rPr>
          <w:color w:val="auto"/>
        </w:rPr>
        <w:br w:type="page"/>
      </w:r>
    </w:p>
    <w:p>
      <w:pPr>
        <w:pStyle w:val="3"/>
        <w:numPr>
          <w:ilvl w:val="0"/>
          <w:numId w:val="4"/>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color w:val="auto"/>
        </w:rPr>
      </w:pPr>
      <w:r>
        <w:rPr>
          <w:color w:val="auto"/>
          <w:sz w:val="24"/>
        </w:rPr>
        <w:t>（3）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p>
      <w:pPr>
        <w:pStyle w:val="15"/>
        <w:rPr>
          <w:color w:val="auto"/>
        </w:rPr>
      </w:pPr>
    </w:p>
    <w:p>
      <w:pPr>
        <w:pStyle w:val="16"/>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6"/>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4"/>
        <w:rPr>
          <w:rFonts w:hint="eastAsia"/>
          <w:lang w:eastAsia="zh-CN"/>
        </w:rPr>
      </w:pPr>
    </w:p>
    <w:p>
      <w:pPr>
        <w:numPr>
          <w:ilvl w:val="0"/>
          <w:numId w:val="5"/>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r>
        <w:rPr>
          <w:rFonts w:hint="eastAsia" w:ascii="宋体" w:hAnsi="宋体" w:cs="宋体"/>
          <w:color w:val="auto"/>
          <w:sz w:val="24"/>
          <w:lang w:eastAsia="zh-CN"/>
        </w:rPr>
        <w:t>。</w:t>
      </w: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F22833F1"/>
    <w:multiLevelType w:val="singleLevel"/>
    <w:tmpl w:val="F22833F1"/>
    <w:lvl w:ilvl="0" w:tentative="0">
      <w:start w:val="1"/>
      <w:numFmt w:val="decimal"/>
      <w:suff w:val="nothing"/>
      <w:lvlText w:val="%1、"/>
      <w:lvlJc w:val="left"/>
    </w:lvl>
  </w:abstractNum>
  <w:abstractNum w:abstractNumId="4">
    <w:nsid w:val="1E6DDE31"/>
    <w:multiLevelType w:val="singleLevel"/>
    <w:tmpl w:val="1E6DDE31"/>
    <w:lvl w:ilvl="0" w:tentative="0">
      <w:start w:val="1"/>
      <w:numFmt w:val="chineseCounting"/>
      <w:suff w:val="space"/>
      <w:lvlText w:val="第%1条"/>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6E91EC4"/>
    <w:rsid w:val="08C1114D"/>
    <w:rsid w:val="12994AC5"/>
    <w:rsid w:val="1AF56B46"/>
    <w:rsid w:val="1FE73549"/>
    <w:rsid w:val="20B41DA7"/>
    <w:rsid w:val="22112D2D"/>
    <w:rsid w:val="28E81B29"/>
    <w:rsid w:val="2C7642D0"/>
    <w:rsid w:val="2EAC037F"/>
    <w:rsid w:val="2EB67A5C"/>
    <w:rsid w:val="302741D2"/>
    <w:rsid w:val="308B184D"/>
    <w:rsid w:val="340F06E9"/>
    <w:rsid w:val="3B3B544D"/>
    <w:rsid w:val="3B654F2B"/>
    <w:rsid w:val="423E47D4"/>
    <w:rsid w:val="429A4992"/>
    <w:rsid w:val="439A410B"/>
    <w:rsid w:val="43B25DAC"/>
    <w:rsid w:val="4DCD6AB3"/>
    <w:rsid w:val="504F64BB"/>
    <w:rsid w:val="50540C20"/>
    <w:rsid w:val="51AC28BD"/>
    <w:rsid w:val="611B6B1B"/>
    <w:rsid w:val="64133D6A"/>
    <w:rsid w:val="6DE375E4"/>
    <w:rsid w:val="72D33D5F"/>
    <w:rsid w:val="733F2A48"/>
    <w:rsid w:val="779B057A"/>
    <w:rsid w:val="7BBF44BB"/>
    <w:rsid w:val="7BF15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Body Text Indent"/>
    <w:basedOn w:val="1"/>
    <w:next w:val="6"/>
    <w:qFormat/>
    <w:uiPriority w:val="99"/>
    <w:pPr>
      <w:spacing w:line="400" w:lineRule="exact"/>
      <w:ind w:left="630"/>
    </w:pPr>
    <w:rPr>
      <w:rFonts w:ascii="楷体_GB2312"/>
      <w:sz w:val="30"/>
      <w:szCs w:val="30"/>
    </w:rPr>
  </w:style>
  <w:style w:type="paragraph" w:styleId="6">
    <w:name w:val="Body Text First Indent 2"/>
    <w:basedOn w:val="5"/>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6"/>
    <w:qFormat/>
    <w:uiPriority w:val="0"/>
    <w:pPr>
      <w:jc w:val="center"/>
    </w:pPr>
    <w:rPr>
      <w:rFonts w:ascii="Arial" w:hAnsi="Arial" w:eastAsia="宋体"/>
      <w:b/>
      <w:sz w:val="28"/>
      <w:szCs w:val="24"/>
    </w:rPr>
  </w:style>
  <w:style w:type="paragraph" w:customStyle="1" w:styleId="14">
    <w:name w:val="列出段落1"/>
    <w:basedOn w:val="1"/>
    <w:qFormat/>
    <w:uiPriority w:val="99"/>
    <w:pPr>
      <w:ind w:firstLine="420" w:firstLineChars="200"/>
    </w:p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7826</Words>
  <Characters>8114</Characters>
  <Lines>0</Lines>
  <Paragraphs>0</Paragraphs>
  <TotalTime>0</TotalTime>
  <ScaleCrop>false</ScaleCrop>
  <LinksUpToDate>false</LinksUpToDate>
  <CharactersWithSpaces>9154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2023-07-31T00:37:50Z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3505A2AB25E048A4A9B0E6A6741CA1BA_11</vt:lpwstr>
  </property>
</Properties>
</file>