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0" w:name="_Toc16523570"/>
    </w:p>
    <w:p>
      <w:pPr>
        <w:pStyle w:val="13"/>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eastAsia"/>
          <w:bCs/>
          <w:sz w:val="32"/>
          <w:szCs w:val="32"/>
        </w:rPr>
      </w:pPr>
      <w:r>
        <w:rPr>
          <w:rFonts w:hint="eastAsia" w:cs="Times New Roman"/>
          <w:b/>
          <w:bCs/>
          <w:kern w:val="44"/>
          <w:sz w:val="32"/>
          <w:szCs w:val="32"/>
          <w:lang w:val="en-US" w:eastAsia="zh-CN" w:bidi="ar-SA"/>
        </w:rPr>
        <w:t>（口腔X射线</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议价</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口腔X射线</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口腔X射线</w:t>
      </w:r>
      <w:r>
        <w:rPr>
          <w:rFonts w:hint="eastAsia" w:asciiTheme="minorEastAsia" w:hAnsiTheme="minorEastAsia" w:eastAsiaTheme="minorEastAsia" w:cstheme="minorEastAsia"/>
          <w:b w:val="0"/>
          <w:bCs/>
          <w:color w:val="auto"/>
          <w:sz w:val="24"/>
          <w:szCs w:val="24"/>
          <w:lang w:val="en-US" w:eastAsia="zh-CN"/>
        </w:rPr>
        <w:t>采购项目</w:t>
      </w:r>
    </w:p>
    <w:p>
      <w:pPr>
        <w:pStyle w:val="13"/>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3"/>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院内议价，按招标文件评分规则进行评审，以评审结果排序，综合评分得分相同的，按投标报价由低到高顺序排列，得分且投标报价相同的，按技术指标优劣顺序排列。</w:t>
      </w:r>
    </w:p>
    <w:bookmarkEnd w:id="0"/>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6、投标人具备湖南省政府采购电子卖场资格，中标人在议价公示后三个工作日内需配合医院完成湖南省政府采购电子卖场直购程序。</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1、投标截止时间、开标时间：具体时间电话通知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4"/>
        <w:rPr>
          <w:rFonts w:hint="eastAsia"/>
          <w:lang w:val="en-US" w:eastAsia="zh-CN"/>
        </w:rPr>
      </w:pPr>
    </w:p>
    <w:p>
      <w:pPr>
        <w:pStyle w:val="14"/>
        <w:jc w:val="both"/>
        <w:rPr>
          <w:rFonts w:hint="default"/>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4"/>
        <w:rPr>
          <w:rFonts w:hint="eastAsia" w:ascii="宋体" w:hAnsi="宋体" w:cs="宋体"/>
          <w:b/>
          <w:bCs/>
          <w:color w:val="auto"/>
          <w:sz w:val="44"/>
          <w:szCs w:val="44"/>
          <w:lang w:val="en-US" w:eastAsia="zh-CN"/>
        </w:rPr>
      </w:pPr>
    </w:p>
    <w:p>
      <w:pPr>
        <w:pStyle w:val="6"/>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2"/>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0"/>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口腔X射线</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2.8</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422" w:firstLineChars="200"/>
        <w:rPr>
          <w:rFonts w:hint="eastAsia"/>
          <w:b/>
          <w:bCs/>
          <w:lang w:val="en-US" w:eastAsia="zh-CN"/>
        </w:rPr>
      </w:pPr>
      <w:r>
        <w:rPr>
          <w:rFonts w:hint="eastAsia"/>
          <w:b/>
          <w:bCs/>
          <w:lang w:val="en-US" w:eastAsia="zh-CN"/>
        </w:rPr>
        <w:t>技术参数：</w:t>
      </w:r>
    </w:p>
    <w:p>
      <w:pPr>
        <w:pStyle w:val="17"/>
        <w:numPr>
          <w:ilvl w:val="0"/>
          <w:numId w:val="3"/>
        </w:numPr>
        <w:spacing w:line="420" w:lineRule="auto"/>
        <w:ind w:firstLineChars="0"/>
        <w:rPr>
          <w:sz w:val="24"/>
          <w:szCs w:val="24"/>
        </w:rPr>
      </w:pPr>
      <w:r>
        <w:rPr>
          <w:rFonts w:hint="eastAsia"/>
          <w:sz w:val="24"/>
          <w:szCs w:val="24"/>
        </w:rPr>
        <w:t>电源要求：</w:t>
      </w:r>
    </w:p>
    <w:p>
      <w:pPr>
        <w:spacing w:line="420" w:lineRule="auto"/>
        <w:ind w:left="420" w:leftChars="200"/>
        <w:rPr>
          <w:sz w:val="24"/>
          <w:szCs w:val="24"/>
        </w:rPr>
      </w:pPr>
      <w:r>
        <w:rPr>
          <w:rFonts w:hint="eastAsia"/>
          <w:sz w:val="24"/>
          <w:szCs w:val="24"/>
          <w:lang w:val="en-US" w:eastAsia="zh-CN"/>
        </w:rPr>
        <w:t xml:space="preserve">1.1、 </w:t>
      </w:r>
      <w:r>
        <w:rPr>
          <w:sz w:val="24"/>
          <w:szCs w:val="24"/>
        </w:rPr>
        <w:t>电源电压：220V</w:t>
      </w:r>
    </w:p>
    <w:p>
      <w:pPr>
        <w:spacing w:line="420" w:lineRule="auto"/>
        <w:ind w:left="420" w:leftChars="200"/>
        <w:rPr>
          <w:sz w:val="24"/>
          <w:szCs w:val="24"/>
        </w:rPr>
      </w:pPr>
      <w:r>
        <w:rPr>
          <w:rFonts w:hint="eastAsia"/>
          <w:sz w:val="24"/>
          <w:szCs w:val="24"/>
          <w:lang w:val="en-US" w:eastAsia="zh-CN"/>
        </w:rPr>
        <w:t>1.2 、</w:t>
      </w:r>
      <w:r>
        <w:rPr>
          <w:sz w:val="24"/>
          <w:szCs w:val="24"/>
        </w:rPr>
        <w:t>频    率：50Hz</w:t>
      </w:r>
    </w:p>
    <w:p>
      <w:pPr>
        <w:spacing w:line="420" w:lineRule="auto"/>
        <w:ind w:left="420" w:leftChars="200"/>
        <w:rPr>
          <w:sz w:val="24"/>
          <w:szCs w:val="24"/>
        </w:rPr>
      </w:pPr>
      <w:r>
        <w:rPr>
          <w:rFonts w:hint="eastAsia"/>
          <w:sz w:val="24"/>
          <w:szCs w:val="24"/>
          <w:lang w:val="en-US" w:eastAsia="zh-CN"/>
        </w:rPr>
        <w:t xml:space="preserve">1.3、 </w:t>
      </w:r>
      <w:r>
        <w:rPr>
          <w:sz w:val="24"/>
          <w:szCs w:val="24"/>
        </w:rPr>
        <w:t>最大功率：≤1100VA</w:t>
      </w:r>
    </w:p>
    <w:p>
      <w:pPr>
        <w:pStyle w:val="17"/>
        <w:numPr>
          <w:ilvl w:val="0"/>
          <w:numId w:val="3"/>
        </w:numPr>
        <w:spacing w:line="420" w:lineRule="auto"/>
        <w:ind w:firstLineChars="0"/>
        <w:rPr>
          <w:sz w:val="24"/>
          <w:szCs w:val="24"/>
        </w:rPr>
      </w:pPr>
      <w:r>
        <w:rPr>
          <w:rFonts w:hint="eastAsia"/>
          <w:sz w:val="24"/>
          <w:szCs w:val="24"/>
        </w:rPr>
        <w:t>基础参数</w:t>
      </w:r>
    </w:p>
    <w:p>
      <w:pPr>
        <w:pStyle w:val="17"/>
        <w:spacing w:line="420" w:lineRule="auto"/>
        <w:ind w:left="360" w:firstLine="0" w:firstLineChars="0"/>
        <w:rPr>
          <w:sz w:val="24"/>
          <w:szCs w:val="24"/>
        </w:rPr>
      </w:pPr>
      <w:r>
        <w:rPr>
          <w:rFonts w:hint="eastAsia"/>
          <w:sz w:val="24"/>
          <w:szCs w:val="24"/>
          <w:lang w:val="en-US" w:eastAsia="zh-CN"/>
        </w:rPr>
        <w:t>2.1、</w:t>
      </w:r>
      <w:r>
        <w:rPr>
          <w:sz w:val="24"/>
          <w:szCs w:val="24"/>
        </w:rPr>
        <w:t>射线焦点：≤0.4mm</w:t>
      </w:r>
    </w:p>
    <w:p>
      <w:pPr>
        <w:pStyle w:val="17"/>
        <w:spacing w:line="420" w:lineRule="auto"/>
        <w:ind w:left="360" w:firstLine="0" w:firstLineChars="0"/>
        <w:rPr>
          <w:sz w:val="24"/>
          <w:szCs w:val="24"/>
        </w:rPr>
      </w:pPr>
      <w:r>
        <w:rPr>
          <w:rFonts w:hint="eastAsia"/>
          <w:sz w:val="24"/>
          <w:szCs w:val="24"/>
          <w:lang w:val="en-US" w:eastAsia="zh-CN"/>
        </w:rPr>
        <w:t>2.2、</w:t>
      </w:r>
      <w:r>
        <w:rPr>
          <w:sz w:val="24"/>
          <w:szCs w:val="24"/>
        </w:rPr>
        <w:t>管 电 压：≤65KV</w:t>
      </w:r>
      <w:r>
        <w:rPr>
          <w:rFonts w:hint="eastAsia"/>
          <w:sz w:val="24"/>
          <w:szCs w:val="24"/>
        </w:rPr>
        <w:t>±1</w:t>
      </w:r>
      <w:r>
        <w:rPr>
          <w:sz w:val="24"/>
          <w:szCs w:val="24"/>
        </w:rPr>
        <w:t>0%</w:t>
      </w:r>
    </w:p>
    <w:p>
      <w:pPr>
        <w:pStyle w:val="17"/>
        <w:spacing w:line="420" w:lineRule="auto"/>
        <w:ind w:left="360" w:firstLine="0" w:firstLineChars="0"/>
        <w:rPr>
          <w:sz w:val="24"/>
          <w:szCs w:val="24"/>
        </w:rPr>
      </w:pPr>
      <w:r>
        <w:rPr>
          <w:rFonts w:hint="eastAsia"/>
          <w:sz w:val="24"/>
          <w:szCs w:val="24"/>
          <w:lang w:val="en-US" w:eastAsia="zh-CN"/>
        </w:rPr>
        <w:t>2.3、</w:t>
      </w:r>
      <w:r>
        <w:rPr>
          <w:sz w:val="24"/>
          <w:szCs w:val="24"/>
        </w:rPr>
        <w:t>管 电 流：≤7mA</w:t>
      </w:r>
      <w:r>
        <w:rPr>
          <w:rFonts w:hint="eastAsia"/>
          <w:sz w:val="24"/>
          <w:szCs w:val="24"/>
        </w:rPr>
        <w:t>±2</w:t>
      </w:r>
      <w:r>
        <w:rPr>
          <w:sz w:val="24"/>
          <w:szCs w:val="24"/>
        </w:rPr>
        <w:t>0%</w:t>
      </w:r>
    </w:p>
    <w:p>
      <w:pPr>
        <w:pStyle w:val="17"/>
        <w:spacing w:line="420" w:lineRule="auto"/>
        <w:ind w:left="360" w:firstLine="0" w:firstLineChars="0"/>
        <w:rPr>
          <w:sz w:val="24"/>
          <w:szCs w:val="24"/>
        </w:rPr>
      </w:pPr>
      <w:r>
        <w:rPr>
          <w:rFonts w:hint="eastAsia"/>
          <w:sz w:val="24"/>
          <w:szCs w:val="24"/>
          <w:lang w:val="en-US" w:eastAsia="zh-CN"/>
        </w:rPr>
        <w:t>2.4、</w:t>
      </w:r>
      <w:r>
        <w:rPr>
          <w:sz w:val="24"/>
          <w:szCs w:val="24"/>
        </w:rPr>
        <w:t>剂 量 率：≤6mGy/s</w:t>
      </w:r>
    </w:p>
    <w:p>
      <w:pPr>
        <w:pStyle w:val="17"/>
        <w:spacing w:line="420" w:lineRule="auto"/>
        <w:ind w:left="360" w:firstLine="0" w:firstLineChars="0"/>
        <w:rPr>
          <w:sz w:val="24"/>
          <w:szCs w:val="24"/>
        </w:rPr>
      </w:pPr>
      <w:r>
        <w:rPr>
          <w:rFonts w:hint="eastAsia"/>
          <w:sz w:val="24"/>
          <w:szCs w:val="24"/>
          <w:lang w:val="en-US" w:eastAsia="zh-CN"/>
        </w:rPr>
        <w:t>2.5、</w:t>
      </w:r>
      <w:r>
        <w:rPr>
          <w:sz w:val="24"/>
          <w:szCs w:val="24"/>
        </w:rPr>
        <w:t>负载循环：1/30</w:t>
      </w:r>
    </w:p>
    <w:p>
      <w:pPr>
        <w:pStyle w:val="17"/>
        <w:spacing w:line="420" w:lineRule="auto"/>
        <w:ind w:left="360" w:firstLine="0" w:firstLineChars="0"/>
        <w:rPr>
          <w:sz w:val="24"/>
          <w:szCs w:val="24"/>
        </w:rPr>
      </w:pPr>
      <w:r>
        <w:rPr>
          <w:rFonts w:hint="eastAsia"/>
          <w:sz w:val="24"/>
          <w:szCs w:val="24"/>
          <w:lang w:val="en-US" w:eastAsia="zh-CN"/>
        </w:rPr>
        <w:t>2.6、</w:t>
      </w:r>
      <w:r>
        <w:rPr>
          <w:rFonts w:hint="eastAsia"/>
          <w:sz w:val="24"/>
          <w:szCs w:val="24"/>
        </w:rPr>
        <w:t>球馆组件重量：≤4Kg</w:t>
      </w:r>
    </w:p>
    <w:p>
      <w:pPr>
        <w:pStyle w:val="17"/>
        <w:spacing w:line="420" w:lineRule="auto"/>
        <w:ind w:left="360" w:firstLine="0" w:firstLineChars="0"/>
        <w:rPr>
          <w:sz w:val="24"/>
          <w:szCs w:val="24"/>
        </w:rPr>
      </w:pPr>
      <w:r>
        <w:rPr>
          <w:rFonts w:hint="eastAsia"/>
          <w:sz w:val="24"/>
          <w:szCs w:val="24"/>
          <w:lang w:val="en-US" w:eastAsia="zh-CN"/>
        </w:rPr>
        <w:t>2.7、</w:t>
      </w:r>
      <w:r>
        <w:rPr>
          <w:rFonts w:hint="eastAsia"/>
          <w:sz w:val="24"/>
          <w:szCs w:val="24"/>
        </w:rPr>
        <w:t>漏辐射率：1米处≤0</w:t>
      </w:r>
      <w:r>
        <w:rPr>
          <w:sz w:val="24"/>
          <w:szCs w:val="24"/>
        </w:rPr>
        <w:t>.1</w:t>
      </w:r>
      <w:r>
        <w:rPr>
          <w:rFonts w:hint="eastAsia"/>
          <w:sz w:val="24"/>
          <w:szCs w:val="24"/>
        </w:rPr>
        <w:t>mGy</w:t>
      </w:r>
      <w:r>
        <w:rPr>
          <w:sz w:val="24"/>
          <w:szCs w:val="24"/>
        </w:rPr>
        <w:t>/h(65KV ,7mA</w:t>
      </w:r>
      <w:r>
        <w:rPr>
          <w:rFonts w:hint="eastAsia"/>
          <w:sz w:val="24"/>
          <w:szCs w:val="24"/>
        </w:rPr>
        <w:t>，1S，加载间隔1S/3</w:t>
      </w:r>
      <w:r>
        <w:rPr>
          <w:sz w:val="24"/>
          <w:szCs w:val="24"/>
        </w:rPr>
        <w:t>0</w:t>
      </w:r>
      <w:r>
        <w:rPr>
          <w:rFonts w:hint="eastAsia"/>
          <w:sz w:val="24"/>
          <w:szCs w:val="24"/>
        </w:rPr>
        <w:t>S</w:t>
      </w:r>
      <w:r>
        <w:rPr>
          <w:sz w:val="24"/>
          <w:szCs w:val="24"/>
        </w:rPr>
        <w:t>)</w:t>
      </w:r>
    </w:p>
    <w:p>
      <w:pPr>
        <w:pStyle w:val="17"/>
        <w:numPr>
          <w:ilvl w:val="0"/>
          <w:numId w:val="3"/>
        </w:numPr>
        <w:spacing w:line="420" w:lineRule="auto"/>
        <w:ind w:firstLineChars="0"/>
        <w:rPr>
          <w:sz w:val="24"/>
          <w:szCs w:val="24"/>
        </w:rPr>
      </w:pPr>
      <w:r>
        <w:rPr>
          <w:rFonts w:hint="eastAsia"/>
          <w:color w:val="000000"/>
          <w:lang w:val="en-US" w:eastAsia="zh-CN"/>
        </w:rPr>
        <w:t>*</w:t>
      </w:r>
      <w:r>
        <w:rPr>
          <w:rFonts w:hint="eastAsia"/>
          <w:sz w:val="24"/>
          <w:szCs w:val="24"/>
        </w:rPr>
        <w:t>采用</w:t>
      </w:r>
      <w:r>
        <w:rPr>
          <w:rFonts w:hint="eastAsia"/>
          <w:sz w:val="24"/>
          <w:szCs w:val="24"/>
          <w:lang w:eastAsia="zh-CN"/>
        </w:rPr>
        <w:t>进口</w:t>
      </w:r>
      <w:r>
        <w:rPr>
          <w:sz w:val="24"/>
          <w:szCs w:val="24"/>
        </w:rPr>
        <w:t>射线发射器（需提</w:t>
      </w:r>
      <w:r>
        <w:rPr>
          <w:rFonts w:hint="eastAsia"/>
          <w:sz w:val="24"/>
          <w:szCs w:val="24"/>
        </w:rPr>
        <w:t>供≤3个月有效期</w:t>
      </w:r>
      <w:r>
        <w:rPr>
          <w:sz w:val="24"/>
          <w:szCs w:val="24"/>
        </w:rPr>
        <w:t>报关单）</w:t>
      </w:r>
    </w:p>
    <w:p>
      <w:pPr>
        <w:pStyle w:val="17"/>
        <w:numPr>
          <w:ilvl w:val="0"/>
          <w:numId w:val="3"/>
        </w:numPr>
        <w:spacing w:line="420" w:lineRule="auto"/>
        <w:ind w:firstLineChars="0"/>
        <w:rPr>
          <w:sz w:val="24"/>
          <w:szCs w:val="24"/>
        </w:rPr>
      </w:pPr>
      <w:r>
        <w:rPr>
          <w:rFonts w:hint="eastAsia"/>
          <w:sz w:val="24"/>
          <w:szCs w:val="24"/>
        </w:rPr>
        <w:t>技术模式：采用高频直流技术，逆变频率6</w:t>
      </w:r>
      <w:r>
        <w:rPr>
          <w:sz w:val="24"/>
          <w:szCs w:val="24"/>
        </w:rPr>
        <w:t>0</w:t>
      </w:r>
      <w:r>
        <w:rPr>
          <w:rFonts w:hint="eastAsia"/>
          <w:sz w:val="24"/>
          <w:szCs w:val="24"/>
        </w:rPr>
        <w:t>KHz</w:t>
      </w:r>
      <w:r>
        <w:rPr>
          <w:sz w:val="24"/>
          <w:szCs w:val="24"/>
        </w:rPr>
        <w:t>—150</w:t>
      </w:r>
      <w:r>
        <w:rPr>
          <w:rFonts w:hint="eastAsia"/>
          <w:sz w:val="24"/>
          <w:szCs w:val="24"/>
        </w:rPr>
        <w:t>KHz。</w:t>
      </w:r>
    </w:p>
    <w:p>
      <w:pPr>
        <w:pStyle w:val="17"/>
        <w:numPr>
          <w:ilvl w:val="0"/>
          <w:numId w:val="3"/>
        </w:numPr>
        <w:spacing w:line="420" w:lineRule="auto"/>
        <w:ind w:firstLineChars="0"/>
        <w:rPr>
          <w:sz w:val="24"/>
          <w:szCs w:val="24"/>
        </w:rPr>
      </w:pPr>
      <w:r>
        <w:rPr>
          <w:sz w:val="24"/>
          <w:szCs w:val="24"/>
        </w:rPr>
        <w:t>曝光时间调节范围：</w:t>
      </w:r>
      <w:r>
        <w:rPr>
          <w:rFonts w:hint="eastAsia"/>
          <w:sz w:val="24"/>
          <w:szCs w:val="24"/>
        </w:rPr>
        <w:t>最低单次曝光时间≤0</w:t>
      </w:r>
      <w:r>
        <w:rPr>
          <w:sz w:val="24"/>
          <w:szCs w:val="24"/>
        </w:rPr>
        <w:t>.04</w:t>
      </w:r>
      <w:r>
        <w:rPr>
          <w:rFonts w:hint="eastAsia"/>
          <w:sz w:val="24"/>
          <w:szCs w:val="24"/>
        </w:rPr>
        <w:t>S，最大单次曝光时间≥2S。</w:t>
      </w:r>
    </w:p>
    <w:p>
      <w:pPr>
        <w:pStyle w:val="17"/>
        <w:numPr>
          <w:ilvl w:val="0"/>
          <w:numId w:val="3"/>
        </w:numPr>
        <w:spacing w:line="420" w:lineRule="auto"/>
        <w:ind w:firstLineChars="0"/>
        <w:rPr>
          <w:sz w:val="24"/>
          <w:szCs w:val="24"/>
        </w:rPr>
      </w:pPr>
      <w:r>
        <w:rPr>
          <w:sz w:val="24"/>
          <w:szCs w:val="24"/>
        </w:rPr>
        <w:t>报警功能：具有故障自动检测，故障代码显示功能。</w:t>
      </w:r>
    </w:p>
    <w:p>
      <w:pPr>
        <w:pStyle w:val="17"/>
        <w:numPr>
          <w:ilvl w:val="0"/>
          <w:numId w:val="3"/>
        </w:numPr>
        <w:spacing w:line="420" w:lineRule="auto"/>
        <w:ind w:firstLineChars="0"/>
        <w:rPr>
          <w:sz w:val="24"/>
          <w:szCs w:val="24"/>
        </w:rPr>
      </w:pPr>
      <w:r>
        <w:rPr>
          <w:sz w:val="24"/>
          <w:szCs w:val="24"/>
        </w:rPr>
        <w:t>拍摄模式：胶片，扫描仪，传感器三种拍摄模式。</w:t>
      </w:r>
      <w:r>
        <w:rPr>
          <w:rFonts w:hint="eastAsia"/>
          <w:sz w:val="24"/>
          <w:szCs w:val="24"/>
        </w:rPr>
        <w:t>可以根据人群选择儿童或者成人模式拍摄</w:t>
      </w:r>
    </w:p>
    <w:p>
      <w:pPr>
        <w:pStyle w:val="17"/>
        <w:numPr>
          <w:ilvl w:val="0"/>
          <w:numId w:val="3"/>
        </w:numPr>
        <w:spacing w:line="420" w:lineRule="auto"/>
        <w:ind w:firstLineChars="0"/>
        <w:rPr>
          <w:sz w:val="24"/>
          <w:szCs w:val="24"/>
        </w:rPr>
      </w:pPr>
      <w:r>
        <w:rPr>
          <w:rFonts w:hint="eastAsia"/>
          <w:sz w:val="24"/>
          <w:szCs w:val="24"/>
        </w:rPr>
        <w:t>曝光时间设定：≥</w:t>
      </w:r>
      <w:r>
        <w:rPr>
          <w:sz w:val="24"/>
          <w:szCs w:val="24"/>
        </w:rPr>
        <w:t>6</w:t>
      </w:r>
      <w:r>
        <w:rPr>
          <w:rFonts w:hint="eastAsia"/>
          <w:sz w:val="24"/>
          <w:szCs w:val="24"/>
        </w:rPr>
        <w:t>组不同牙位拍摄模式，每组牙位可以分别选择前牙、磨牙、后磨牙。不同的牙位曝光时间可以单独设定。</w:t>
      </w:r>
    </w:p>
    <w:p>
      <w:pPr>
        <w:pStyle w:val="17"/>
        <w:numPr>
          <w:ilvl w:val="0"/>
          <w:numId w:val="3"/>
        </w:numPr>
        <w:spacing w:line="420" w:lineRule="auto"/>
        <w:ind w:firstLineChars="0"/>
        <w:rPr>
          <w:sz w:val="24"/>
          <w:szCs w:val="24"/>
        </w:rPr>
      </w:pPr>
      <w:r>
        <w:rPr>
          <w:rFonts w:hint="eastAsia"/>
          <w:sz w:val="24"/>
          <w:szCs w:val="24"/>
        </w:rPr>
        <w:t>曝光方式：每次拍摄，需要在手控板上按一下曝光键，留有≥6</w:t>
      </w:r>
      <w:r>
        <w:rPr>
          <w:sz w:val="24"/>
          <w:szCs w:val="24"/>
        </w:rPr>
        <w:t>0</w:t>
      </w:r>
      <w:r>
        <w:rPr>
          <w:rFonts w:hint="eastAsia"/>
          <w:sz w:val="24"/>
          <w:szCs w:val="24"/>
        </w:rPr>
        <w:t>秒的准备时间，在该时间之内可以通过无线遥控曝光器，在铅房外曝光。</w:t>
      </w:r>
    </w:p>
    <w:p>
      <w:pPr>
        <w:rPr>
          <w:rFonts w:hint="eastAsia"/>
          <w:lang w:val="en-US" w:eastAsia="zh-CN"/>
        </w:rPr>
      </w:pPr>
    </w:p>
    <w:p>
      <w:pPr>
        <w:ind w:firstLine="482" w:firstLineChars="200"/>
        <w:rPr>
          <w:rFonts w:hint="eastAsia"/>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*1、运输、装卸、培训、安装调试：由中标人负责承担，最终通过使用科室、设备科及相关部门确认验收交付使用。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*2、交货时间：按合同约定的日期交货。</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*3、交货地点：娄底市中心医院指定地点。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付款方式：设备验收合格后，供应商将发票交到娄底市中心医院后按程序支付货款90%（按医院财务制度一般情况下4个月内支付、特殊情况下最多不超过6个月），甲方在设备验收合格满3年后支付10%余款给乙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*5、质保与售后：整机保修3年，终身维修。验收时出具原厂售后质保承诺书，质保期内每年巡检一次，并提交巡检记录。质保期内出现故障，24小时响应，响应后4小时上门服务。</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*6、在投标文件中必须提供相关佐证资料（加盖原厂公章的技术参数、技术白皮书、说明书、彩页），并在响应表中备注该条参数响应或正偏离的佐证资料所在页码。</w:t>
      </w:r>
    </w:p>
    <w:p>
      <w:pPr>
        <w:keepNext w:val="0"/>
        <w:keepLines w:val="0"/>
        <w:pageBreakBefore w:val="0"/>
        <w:tabs>
          <w:tab w:val="left" w:pos="567"/>
        </w:tabs>
        <w:kinsoku/>
        <w:wordWrap/>
        <w:overflowPunct/>
        <w:topLinePunct w:val="0"/>
        <w:autoSpaceDE w:val="0"/>
        <w:autoSpaceDN w:val="0"/>
        <w:bidi w:val="0"/>
        <w:adjustRightInd/>
        <w:snapToGrid/>
        <w:spacing w:line="240" w:lineRule="auto"/>
        <w:ind w:right="0" w:rightChars="0" w:firstLine="480" w:firstLineChars="200"/>
        <w:textAlignment w:val="bottom"/>
        <w:outlineLvl w:val="0"/>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r>
        <w:rPr>
          <w:rFonts w:hint="eastAsia" w:ascii="宋体" w:hAnsi="宋体" w:eastAsia="宋体" w:cs="宋体"/>
          <w:sz w:val="24"/>
          <w:szCs w:val="24"/>
          <w:lang w:val="en-US" w:eastAsia="zh-CN"/>
        </w:rPr>
        <w:t>连接我院</w:t>
      </w:r>
      <w:r>
        <w:rPr>
          <w:rFonts w:hint="eastAsia" w:ascii="宋体" w:hAnsi="宋体" w:eastAsia="宋体" w:cs="宋体"/>
          <w:sz w:val="24"/>
          <w:szCs w:val="24"/>
          <w:lang w:bidi="ar"/>
        </w:rPr>
        <w:t>PACS系统</w:t>
      </w: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接口费由经销商承担。</w:t>
      </w:r>
      <w:bookmarkStart w:id="5" w:name="_GoBack"/>
      <w:bookmarkEnd w:id="5"/>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6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口腔X射线机</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口腔X射线机</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4"/>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4"/>
        <w:gridCol w:w="1053"/>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684"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053"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684" w:type="dxa"/>
            <w:noWrap w:val="0"/>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1"/>
                <w:szCs w:val="21"/>
                <w:lang w:val="en-US" w:eastAsia="zh-CN"/>
                <w14:textFill>
                  <w14:solidFill>
                    <w14:schemeClr w14:val="tx1"/>
                  </w14:solidFill>
                </w14:textFill>
              </w:rPr>
            </w:pPr>
            <w:r>
              <w:rPr>
                <w:rFonts w:hint="default" w:ascii="宋体" w:hAnsi="宋体" w:eastAsia="宋体" w:cs="宋体"/>
                <w:color w:val="000000" w:themeColor="text1"/>
                <w:kern w:val="0"/>
                <w:sz w:val="21"/>
                <w:szCs w:val="21"/>
                <w:lang w:val="en-US" w:eastAsia="zh-CN"/>
                <w14:textFill>
                  <w14:solidFill>
                    <w14:schemeClr w14:val="tx1"/>
                  </w14:solidFill>
                </w14:textFill>
              </w:rPr>
              <w:t>口腔X射线机</w:t>
            </w:r>
          </w:p>
        </w:tc>
        <w:tc>
          <w:tcPr>
            <w:tcW w:w="1053" w:type="dxa"/>
            <w:noWrap w:val="0"/>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1760" w:type="dxa"/>
            <w:noWrap w:val="0"/>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1"/>
                <w:szCs w:val="21"/>
                <w:lang w:val="en-US" w:eastAsia="zh-CN"/>
                <w14:textFill>
                  <w14:solidFill>
                    <w14:schemeClr w14:val="tx1"/>
                  </w14:solidFill>
                </w14:textFill>
              </w:rPr>
            </w:pPr>
          </w:p>
        </w:tc>
        <w:tc>
          <w:tcPr>
            <w:tcW w:w="1320" w:type="dxa"/>
            <w:noWrap w:val="0"/>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940" w:type="dxa"/>
            <w:noWrap w:val="0"/>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1台</w:t>
            </w:r>
          </w:p>
        </w:tc>
        <w:tc>
          <w:tcPr>
            <w:tcW w:w="1654" w:type="dxa"/>
            <w:noWrap w:val="0"/>
            <w:vAlign w:val="center"/>
          </w:tcPr>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宋体" w:hAnsi="宋体" w:eastAsia="宋体" w:cs="宋体"/>
                <w:color w:val="000000" w:themeColor="text1"/>
                <w:kern w:val="0"/>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default"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合计</w:t>
            </w:r>
            <w:r>
              <w:rPr>
                <w:rFonts w:hint="eastAsia" w:ascii="宋体" w:hAnsi="宋体" w:eastAsia="宋体" w:cs="宋体"/>
                <w:color w:val="000000" w:themeColor="text1"/>
                <w:kern w:val="0"/>
                <w:sz w:val="21"/>
                <w:szCs w:val="21"/>
                <w:lang w:eastAsia="zh-CN"/>
                <w14:textFill>
                  <w14:solidFill>
                    <w14:schemeClr w14:val="tx1"/>
                  </w14:solidFill>
                </w14:textFill>
              </w:rPr>
              <w:t>价款</w:t>
            </w:r>
            <w:r>
              <w:rPr>
                <w:rFonts w:hint="eastAsia" w:ascii="宋体" w:hAnsi="宋体" w:eastAsia="宋体" w:cs="宋体"/>
                <w:color w:val="000000" w:themeColor="text1"/>
                <w:kern w:val="0"/>
                <w:sz w:val="21"/>
                <w:szCs w:val="21"/>
                <w14:textFill>
                  <w14:solidFill>
                    <w14:schemeClr w14:val="tx1"/>
                  </w14:solidFill>
                </w14:textFill>
              </w:rPr>
              <w:t>金额（大写）：</w:t>
            </w:r>
            <w:r>
              <w:rPr>
                <w:rFonts w:hint="eastAsia" w:ascii="宋体" w:hAnsi="宋体" w:eastAsia="宋体" w:cs="宋体"/>
                <w:color w:val="000000" w:themeColor="text1"/>
                <w:kern w:val="0"/>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lang w:eastAsia="zh-CN"/>
                <w14:textFill>
                  <w14:solidFill>
                    <w14:schemeClr w14:val="tx1"/>
                  </w14:solidFill>
                </w14:textFill>
              </w:rPr>
              <w:t>元</w:t>
            </w: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整      </w:t>
            </w:r>
            <w:r>
              <w:rPr>
                <w:rFonts w:hint="eastAsia" w:ascii="宋体" w:hAnsi="宋体" w:eastAsia="宋体" w:cs="宋体"/>
                <w:color w:val="000000" w:themeColor="text1"/>
                <w:kern w:val="0"/>
                <w:sz w:val="21"/>
                <w:szCs w:val="21"/>
                <w14:textFill>
                  <w14:solidFill>
                    <w14:schemeClr w14:val="tx1"/>
                  </w14:solidFill>
                </w14:textFill>
              </w:rPr>
              <w:t>人民币（小写）：</w:t>
            </w:r>
            <w:r>
              <w:rPr>
                <w:rFonts w:hint="eastAsia" w:ascii="宋体" w:hAnsi="宋体" w:eastAsia="宋体" w:cs="宋体"/>
                <w:color w:val="000000" w:themeColor="text1"/>
                <w:kern w:val="0"/>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 xml:space="preserve">1.4  </w:t>
      </w:r>
      <w:r>
        <w:rPr>
          <w:rFonts w:hint="eastAsia" w:ascii="宋体" w:hAnsi="宋体" w:eastAsia="宋体" w:cs="宋体"/>
          <w:color w:val="auto"/>
          <w:sz w:val="24"/>
          <w:szCs w:val="24"/>
          <w:highlight w:val="none"/>
        </w:rPr>
        <w:t>运输、装卸、培训、安装调试由</w:t>
      </w:r>
      <w:r>
        <w:rPr>
          <w:rFonts w:hint="eastAsia" w:ascii="宋体" w:hAnsi="宋体" w:eastAsia="宋体" w:cs="宋体"/>
          <w:color w:val="0000FF"/>
          <w:sz w:val="24"/>
          <w:szCs w:val="24"/>
          <w:highlight w:val="none"/>
          <w:lang w:val="en-US" w:eastAsia="zh-CN"/>
        </w:rPr>
        <w:t>乙方</w:t>
      </w:r>
      <w:r>
        <w:rPr>
          <w:rFonts w:hint="eastAsia" w:ascii="宋体" w:hAnsi="宋体" w:eastAsia="宋体" w:cs="宋体"/>
          <w:color w:val="auto"/>
          <w:sz w:val="24"/>
          <w:szCs w:val="24"/>
          <w:highlight w:val="none"/>
        </w:rPr>
        <w:t>负责承担，最终通过使用科室、设备科及相关部门确认验收交付使用。</w:t>
      </w:r>
      <w:r>
        <w:rPr>
          <w:rFonts w:hint="eastAsia" w:ascii="宋体" w:hAnsi="宋体" w:eastAsia="宋体" w:cs="宋体"/>
          <w:color w:val="auto"/>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FF0000"/>
          <w:sz w:val="24"/>
          <w:szCs w:val="24"/>
          <w:highlight w:val="none"/>
          <w:lang w:val="en-US" w:eastAsia="zh-CN"/>
        </w:rPr>
      </w:pPr>
      <w:r>
        <w:rPr>
          <w:rFonts w:hint="eastAsia" w:ascii="宋体" w:hAnsi="宋体" w:eastAsia="宋体" w:cs="宋体"/>
          <w:color w:val="FF0000"/>
          <w:sz w:val="24"/>
          <w:szCs w:val="24"/>
          <w:highlight w:val="none"/>
          <w:lang w:val="en-US" w:eastAsia="zh-CN"/>
        </w:rPr>
        <w:t>1.5 因本设备接入甲方PACS系统所产生的全部接口费用（包括但不限于本设备软件商和PACS系统软件商收取的接口费）均由乙方承担。</w:t>
      </w:r>
    </w:p>
    <w:p>
      <w:pPr>
        <w:keepNext w:val="0"/>
        <w:keepLines w:val="0"/>
        <w:pageBreakBefore w:val="0"/>
        <w:widowControl w:val="0"/>
        <w:numPr>
          <w:ilvl w:val="0"/>
          <w:numId w:val="4"/>
        </w:numPr>
        <w:kinsoku/>
        <w:wordWrap/>
        <w:overflowPunct/>
        <w:topLinePunct w:val="0"/>
        <w:autoSpaceDE/>
        <w:autoSpaceDN/>
        <w:bidi w:val="0"/>
        <w:adjustRightInd/>
        <w:snapToGrid/>
        <w:spacing w:line="46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r>
        <w:rPr>
          <w:rFonts w:hint="eastAsia" w:ascii="宋体" w:hAnsi="宋体" w:cs="宋体"/>
          <w:color w:val="0000FF"/>
          <w:sz w:val="24"/>
          <w:szCs w:val="24"/>
          <w:lang w:val="en-US" w:eastAsia="zh-CN"/>
        </w:rPr>
        <w:t>一</w:t>
      </w:r>
      <w:r>
        <w:rPr>
          <w:rFonts w:hint="eastAsia" w:ascii="宋体" w:hAnsi="宋体" w:eastAsia="宋体" w:cs="宋体"/>
          <w:color w:val="auto"/>
          <w:sz w:val="24"/>
          <w:szCs w:val="24"/>
          <w:lang w:val="en-US" w:eastAsia="zh-CN"/>
        </w:rPr>
        <w:t>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color w:val="auto"/>
          <w:sz w:val="32"/>
          <w:szCs w:val="32"/>
        </w:rPr>
      </w:pPr>
      <w:r>
        <w:rPr>
          <w:rFonts w:hint="eastAsia" w:ascii="宋体" w:hAnsi="宋体" w:cs="宋体"/>
          <w:b/>
          <w:color w:val="auto"/>
          <w:sz w:val="32"/>
          <w:szCs w:val="32"/>
        </w:rPr>
        <w:t>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5"/>
        <w:gridCol w:w="903"/>
        <w:gridCol w:w="1245"/>
        <w:gridCol w:w="6318"/>
        <w:gridCol w:w="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1"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价格</w:t>
            </w:r>
          </w:p>
          <w:p>
            <w:pPr>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0分）</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0</w:t>
            </w:r>
            <w:r>
              <w:rPr>
                <w:rFonts w:hint="eastAsia" w:ascii="宋体" w:hAnsi="宋体" w:eastAsia="宋体" w:cs="Times New Roman"/>
                <w:color w:val="auto"/>
                <w:sz w:val="24"/>
                <w:szCs w:val="24"/>
              </w:rPr>
              <w:t>。</w:t>
            </w:r>
          </w:p>
          <w:p>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0-</w:t>
            </w:r>
            <w:r>
              <w:rPr>
                <w:rFonts w:hint="eastAsia" w:ascii="宋体" w:hAnsi="宋体" w:cs="宋体"/>
                <w:color w:val="auto"/>
                <w:sz w:val="24"/>
                <w:szCs w:val="24"/>
                <w:lang w:val="en-US" w:eastAsia="zh-CN"/>
              </w:rPr>
              <w:t>4</w:t>
            </w:r>
            <w:r>
              <w:rPr>
                <w:rFonts w:hint="eastAsia" w:ascii="宋体" w:hAnsi="宋体" w:cs="宋体"/>
                <w:color w:val="auto"/>
                <w:sz w:val="24"/>
                <w:szCs w:val="24"/>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2</w:t>
            </w:r>
          </w:p>
        </w:tc>
        <w:tc>
          <w:tcPr>
            <w:tcW w:w="453"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lang w:eastAsia="zh-CN"/>
              </w:rPr>
              <w:t>招标文件响应程度及服务方案</w:t>
            </w:r>
            <w:r>
              <w:rPr>
                <w:rFonts w:hint="eastAsia" w:ascii="宋体" w:hAnsi="宋体" w:cs="宋体"/>
                <w:color w:val="auto"/>
                <w:sz w:val="24"/>
                <w:szCs w:val="24"/>
              </w:rPr>
              <w:t>（</w:t>
            </w:r>
            <w:r>
              <w:rPr>
                <w:rFonts w:hint="eastAsia" w:ascii="宋体" w:hAnsi="宋体" w:cs="宋体"/>
                <w:color w:val="auto"/>
                <w:sz w:val="24"/>
                <w:szCs w:val="24"/>
                <w:lang w:val="en-US" w:eastAsia="zh-CN"/>
              </w:rPr>
              <w:t>10</w:t>
            </w:r>
            <w:r>
              <w:rPr>
                <w:rFonts w:hint="eastAsia" w:ascii="宋体" w:hAnsi="宋体" w:cs="宋体"/>
                <w:color w:val="auto"/>
                <w:sz w:val="24"/>
                <w:szCs w:val="24"/>
              </w:rPr>
              <w:t>分）</w:t>
            </w:r>
          </w:p>
        </w:tc>
        <w:tc>
          <w:tcPr>
            <w:tcW w:w="625" w:type="pct"/>
            <w:noWrap w:val="0"/>
            <w:vAlign w:val="center"/>
          </w:tcPr>
          <w:p>
            <w:pPr>
              <w:jc w:val="center"/>
              <w:rPr>
                <w:rFonts w:hint="eastAsia" w:ascii="宋体" w:hAnsi="宋体" w:cs="宋体"/>
                <w:color w:val="auto"/>
                <w:sz w:val="24"/>
                <w:szCs w:val="24"/>
              </w:rPr>
            </w:pPr>
            <w:r>
              <w:rPr>
                <w:rFonts w:ascii="宋体" w:hAnsi="宋体"/>
                <w:color w:val="auto"/>
                <w:sz w:val="24"/>
                <w:szCs w:val="24"/>
              </w:rPr>
              <w:t>对招标文件的响应程度</w:t>
            </w:r>
          </w:p>
        </w:tc>
        <w:tc>
          <w:tcPr>
            <w:tcW w:w="3171" w:type="pct"/>
            <w:noWrap w:val="0"/>
            <w:vAlign w:val="center"/>
          </w:tcPr>
          <w:p>
            <w:pPr>
              <w:rPr>
                <w:rFonts w:hint="eastAsia" w:ascii="宋体" w:hAnsi="宋体" w:cs="宋体"/>
                <w:color w:val="auto"/>
                <w:sz w:val="24"/>
                <w:szCs w:val="24"/>
              </w:rPr>
            </w:pPr>
            <w:r>
              <w:rPr>
                <w:rFonts w:hint="eastAsia" w:ascii="宋体" w:hAnsi="宋体"/>
                <w:color w:val="auto"/>
                <w:sz w:val="24"/>
                <w:szCs w:val="24"/>
              </w:rPr>
              <w:t>以招标文件格式为基础，根据投标文件制作的优劣，专家酌情打分，每有一处细微偏差扣1分，扣分最多不超过</w:t>
            </w:r>
            <w:r>
              <w:rPr>
                <w:rFonts w:hint="eastAsia" w:ascii="宋体" w:hAnsi="宋体"/>
                <w:color w:val="auto"/>
                <w:sz w:val="24"/>
                <w:szCs w:val="24"/>
                <w:lang w:val="en-US" w:eastAsia="zh-CN"/>
              </w:rPr>
              <w:t>2</w:t>
            </w:r>
            <w:r>
              <w:rPr>
                <w:rFonts w:hint="eastAsia" w:ascii="宋体" w:hAnsi="宋体"/>
                <w:color w:val="auto"/>
                <w:sz w:val="24"/>
                <w:szCs w:val="24"/>
              </w:rPr>
              <w:t>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4"/>
                <w:szCs w:val="24"/>
              </w:rPr>
            </w:pPr>
          </w:p>
        </w:tc>
        <w:tc>
          <w:tcPr>
            <w:tcW w:w="453" w:type="pct"/>
            <w:vMerge w:val="continue"/>
            <w:noWrap w:val="0"/>
            <w:vAlign w:val="center"/>
          </w:tcPr>
          <w:p>
            <w:pPr>
              <w:jc w:val="center"/>
              <w:rPr>
                <w:rFonts w:hint="eastAsia" w:ascii="宋体" w:hAnsi="宋体" w:cs="宋体"/>
                <w:color w:val="auto"/>
                <w:sz w:val="24"/>
                <w:szCs w:val="24"/>
              </w:rPr>
            </w:pPr>
          </w:p>
        </w:tc>
        <w:tc>
          <w:tcPr>
            <w:tcW w:w="625" w:type="pct"/>
            <w:noWrap w:val="0"/>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服务方案</w:t>
            </w:r>
          </w:p>
        </w:tc>
        <w:tc>
          <w:tcPr>
            <w:tcW w:w="3171" w:type="pct"/>
            <w:noWrap w:val="0"/>
            <w:vAlign w:val="center"/>
          </w:tcPr>
          <w:p>
            <w:pPr>
              <w:rPr>
                <w:rFonts w:hint="eastAsia" w:ascii="宋体" w:hAnsi="宋体" w:cs="Times New Roman"/>
                <w:color w:val="auto"/>
                <w:sz w:val="24"/>
                <w:szCs w:val="24"/>
              </w:rPr>
            </w:pPr>
            <w:r>
              <w:rPr>
                <w:rFonts w:hint="eastAsia" w:ascii="宋体" w:hAnsi="宋体" w:cs="Times New Roman"/>
                <w:color w:val="auto"/>
                <w:sz w:val="24"/>
                <w:szCs w:val="24"/>
                <w:lang w:val="en-US" w:eastAsia="zh-CN"/>
              </w:rPr>
              <w:t>1、</w:t>
            </w:r>
            <w:r>
              <w:rPr>
                <w:rFonts w:hint="eastAsia" w:ascii="宋体" w:hAnsi="宋体" w:cs="Times New Roman"/>
                <w:color w:val="auto"/>
                <w:sz w:val="24"/>
                <w:szCs w:val="24"/>
              </w:rPr>
              <w:t>能提供投标人</w:t>
            </w:r>
            <w:r>
              <w:rPr>
                <w:rFonts w:hint="eastAsia" w:ascii="宋体" w:hAnsi="宋体" w:cs="Times New Roman"/>
                <w:color w:val="auto"/>
                <w:sz w:val="24"/>
                <w:szCs w:val="24"/>
                <w:lang w:eastAsia="zh-CN"/>
              </w:rPr>
              <w:t>投标货物的</w:t>
            </w:r>
            <w:r>
              <w:rPr>
                <w:rFonts w:hint="eastAsia" w:ascii="宋体" w:hAnsi="宋体" w:cs="Times New Roman"/>
                <w:color w:val="auto"/>
                <w:sz w:val="24"/>
                <w:szCs w:val="24"/>
              </w:rPr>
              <w:t>同类型合作业绩，</w:t>
            </w:r>
            <w:r>
              <w:rPr>
                <w:rFonts w:hint="eastAsia" w:ascii="宋体" w:hAnsi="宋体" w:cs="Times New Roman"/>
                <w:color w:val="auto"/>
                <w:sz w:val="24"/>
                <w:szCs w:val="24"/>
                <w:lang w:eastAsia="zh-CN"/>
              </w:rPr>
              <w:t>（自开标开标之日止前五年）</w:t>
            </w:r>
            <w:r>
              <w:rPr>
                <w:rFonts w:hint="eastAsia" w:ascii="宋体" w:hAnsi="宋体" w:cs="Times New Roman"/>
                <w:color w:val="auto"/>
                <w:sz w:val="24"/>
                <w:szCs w:val="24"/>
              </w:rPr>
              <w:t>每个</w:t>
            </w:r>
            <w:r>
              <w:rPr>
                <w:rFonts w:hint="eastAsia" w:ascii="宋体" w:hAnsi="宋体" w:cs="Times New Roman"/>
                <w:color w:val="auto"/>
                <w:sz w:val="24"/>
                <w:szCs w:val="24"/>
                <w:lang w:val="en-US" w:eastAsia="zh-CN"/>
              </w:rPr>
              <w:t>业绩</w:t>
            </w:r>
            <w:r>
              <w:rPr>
                <w:rFonts w:hint="eastAsia" w:ascii="宋体" w:hAnsi="宋体" w:cs="Times New Roman"/>
                <w:color w:val="auto"/>
                <w:sz w:val="24"/>
                <w:szCs w:val="24"/>
              </w:rPr>
              <w:t>计</w:t>
            </w:r>
            <w:r>
              <w:rPr>
                <w:rFonts w:hint="eastAsia" w:ascii="宋体" w:hAnsi="宋体" w:cs="Times New Roman"/>
                <w:color w:val="auto"/>
                <w:sz w:val="24"/>
                <w:szCs w:val="24"/>
                <w:lang w:val="en-US" w:eastAsia="zh-CN"/>
              </w:rPr>
              <w:t>2</w:t>
            </w:r>
            <w:r>
              <w:rPr>
                <w:rFonts w:hint="eastAsia" w:ascii="宋体" w:hAnsi="宋体" w:cs="Times New Roman"/>
                <w:color w:val="auto"/>
                <w:sz w:val="24"/>
                <w:szCs w:val="24"/>
              </w:rPr>
              <w:t>分，最多计</w:t>
            </w:r>
            <w:r>
              <w:rPr>
                <w:rFonts w:hint="eastAsia" w:ascii="宋体" w:hAnsi="宋体" w:cs="Times New Roman"/>
                <w:color w:val="auto"/>
                <w:sz w:val="24"/>
                <w:szCs w:val="24"/>
                <w:lang w:val="en-US" w:eastAsia="zh-CN"/>
              </w:rPr>
              <w:t>4</w:t>
            </w:r>
            <w:r>
              <w:rPr>
                <w:rFonts w:hint="eastAsia" w:ascii="宋体" w:hAnsi="宋体" w:cs="Times New Roman"/>
                <w:color w:val="auto"/>
                <w:sz w:val="24"/>
                <w:szCs w:val="24"/>
              </w:rPr>
              <w:t>分（提供合作清单及联系人，并附合同或中标通知书复印件加盖投标人公章）。</w:t>
            </w:r>
          </w:p>
          <w:p>
            <w:pPr>
              <w:rPr>
                <w:rFonts w:hint="eastAsia"/>
                <w:sz w:val="24"/>
                <w:szCs w:val="24"/>
              </w:rPr>
            </w:pPr>
            <w:r>
              <w:rPr>
                <w:rFonts w:hint="eastAsia" w:ascii="宋体" w:hAnsi="宋体" w:cs="Times New Roman"/>
                <w:color w:val="auto"/>
                <w:sz w:val="24"/>
                <w:szCs w:val="24"/>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3</w:t>
            </w:r>
          </w:p>
        </w:tc>
        <w:tc>
          <w:tcPr>
            <w:tcW w:w="453" w:type="pct"/>
            <w:noWrap w:val="0"/>
            <w:vAlign w:val="center"/>
          </w:tcPr>
          <w:p>
            <w:pPr>
              <w:jc w:val="center"/>
              <w:rPr>
                <w:rFonts w:hint="eastAsia" w:ascii="宋体" w:hAnsi="宋体" w:cs="宋体"/>
                <w:color w:val="auto"/>
                <w:sz w:val="24"/>
                <w:szCs w:val="24"/>
              </w:rPr>
            </w:pPr>
            <w:r>
              <w:rPr>
                <w:rFonts w:hint="eastAsia" w:cs="Times New Roman"/>
                <w:bCs/>
                <w:sz w:val="24"/>
                <w:szCs w:val="24"/>
                <w:lang w:val="en-US" w:eastAsia="zh-CN"/>
              </w:rPr>
              <w:t>技术要求及商务要求</w:t>
            </w: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625" w:type="pct"/>
            <w:noWrap w:val="0"/>
            <w:vAlign w:val="center"/>
          </w:tcPr>
          <w:p>
            <w:pPr>
              <w:jc w:val="center"/>
              <w:rPr>
                <w:rFonts w:hint="default" w:ascii="宋体" w:hAnsi="宋体" w:eastAsia="宋体"/>
                <w:color w:val="auto"/>
                <w:sz w:val="24"/>
                <w:szCs w:val="24"/>
                <w:lang w:val="en-US" w:eastAsia="zh-CN"/>
              </w:rPr>
            </w:pPr>
            <w:r>
              <w:rPr>
                <w:rFonts w:hint="eastAsia" w:cs="Times New Roman"/>
                <w:bCs/>
                <w:sz w:val="24"/>
                <w:szCs w:val="24"/>
                <w:lang w:val="en-US" w:eastAsia="zh-CN"/>
              </w:rPr>
              <w:t>技术要求及商务要求</w:t>
            </w:r>
          </w:p>
        </w:tc>
        <w:tc>
          <w:tcPr>
            <w:tcW w:w="3171" w:type="pct"/>
            <w:noWrap w:val="0"/>
            <w:vAlign w:val="top"/>
          </w:tcPr>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1、技术参数</w:t>
            </w:r>
            <w:r>
              <w:rPr>
                <w:rFonts w:hint="eastAsia" w:ascii="宋体" w:hAnsi="宋体" w:cs="Times New Roman"/>
                <w:color w:val="auto"/>
                <w:sz w:val="24"/>
                <w:szCs w:val="24"/>
                <w:lang w:val="en-US" w:eastAsia="zh-CN"/>
              </w:rPr>
              <w:t>及商务参数</w:t>
            </w:r>
            <w:r>
              <w:rPr>
                <w:rFonts w:hint="eastAsia" w:ascii="宋体" w:hAnsi="宋体" w:eastAsia="宋体" w:cs="Times New Roman"/>
                <w:color w:val="auto"/>
                <w:sz w:val="24"/>
                <w:szCs w:val="24"/>
                <w:lang w:val="en-US" w:eastAsia="zh-CN"/>
              </w:rPr>
              <w:t>完全符合招标文件要求的，计</w:t>
            </w: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lang w:val="en-US" w:eastAsia="zh-CN"/>
              </w:rPr>
              <w:t>0分，任何一条技术参数负偏离扣2分，扣完为止。</w:t>
            </w:r>
          </w:p>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2、</w:t>
            </w:r>
            <w:r>
              <w:rPr>
                <w:rFonts w:hint="eastAsia" w:ascii="宋体" w:hAnsi="宋体" w:eastAsia="宋体" w:cs="Times New Roman"/>
                <w:color w:val="auto"/>
                <w:sz w:val="24"/>
                <w:szCs w:val="24"/>
                <w:lang w:val="en-US" w:eastAsia="zh-CN"/>
              </w:rPr>
              <w:t>带“ ★”“*”号参数为重要条款不允许偏离，否则视同无效投标。</w:t>
            </w:r>
          </w:p>
          <w:p>
            <w:pP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、带“ ▲”号参数为重要条款任何一条技术参数负偏离扣4分，扣完为止。</w:t>
            </w:r>
          </w:p>
          <w:p>
            <w:pPr>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rPr>
              <w:t>、其它技术条款偏离项数之和大于5项将导致无效投标。</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说明：</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a、偏离：不满足招标参数要求，配置不详，缺漏项，技术参数表述不清的。</w:t>
            </w:r>
          </w:p>
          <w:p>
            <w:pPr>
              <w:rPr>
                <w:rFonts w:hint="default" w:eastAsia="宋体"/>
                <w:sz w:val="24"/>
                <w:szCs w:val="24"/>
                <w:lang w:val="en-US" w:eastAsia="zh-CN"/>
              </w:rPr>
            </w:pPr>
            <w:r>
              <w:rPr>
                <w:rFonts w:hint="eastAsia" w:ascii="宋体" w:hAnsi="宋体" w:eastAsia="宋体" w:cs="Times New Roman"/>
                <w:color w:val="auto"/>
                <w:sz w:val="24"/>
                <w:szCs w:val="24"/>
              </w:rPr>
              <w:t>b、条款数计算：招标文件中，凡编排有单独的中文序数或阿拉伯数字或英文字母序列号等字符的</w:t>
            </w:r>
            <w:r>
              <w:rPr>
                <w:rFonts w:ascii="宋体" w:hAnsi="宋体"/>
                <w:color w:val="000000" w:themeColor="text1"/>
                <w:sz w:val="24"/>
                <w:szCs w:val="24"/>
                <w14:textFill>
                  <w14:solidFill>
                    <w14:schemeClr w14:val="tx1"/>
                  </w14:solidFill>
                </w14:textFill>
              </w:rPr>
              <w:t>条款算一项技术要求项数</w:t>
            </w:r>
            <w:r>
              <w:rPr>
                <w:rFonts w:hint="eastAsia" w:ascii="宋体" w:hAnsi="宋体"/>
                <w:color w:val="000000" w:themeColor="text1"/>
                <w:sz w:val="24"/>
                <w:szCs w:val="24"/>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50</w:t>
            </w:r>
          </w:p>
        </w:tc>
      </w:tr>
    </w:tbl>
    <w:p>
      <w:pPr>
        <w:pStyle w:val="15"/>
        <w:rPr>
          <w:rFonts w:hint="eastAsia" w:ascii="宋体" w:hAnsi="宋体" w:cs="宋体"/>
          <w:color w:val="auto"/>
          <w:sz w:val="24"/>
          <w:szCs w:val="24"/>
        </w:rPr>
      </w:pPr>
    </w:p>
    <w:p>
      <w:pPr>
        <w:spacing w:before="120" w:beforeLines="50" w:after="120" w:afterLines="50" w:line="360" w:lineRule="auto"/>
        <w:rPr>
          <w:color w:val="auto"/>
        </w:rPr>
      </w:pPr>
      <w:r>
        <w:rPr>
          <w:rFonts w:hint="eastAsia" w:ascii="宋体" w:hAnsi="宋体" w:cs="宋体"/>
          <w:color w:val="auto"/>
          <w:sz w:val="24"/>
          <w:szCs w:val="24"/>
        </w:rPr>
        <w:t>注：（1）全体评标委员会对投标人评分的算数平均值即为该投标人的最终评标得分（不得去评分项目的最高得分和最低得分），评分分值计算保留小数点后两位，小数点后第三位“四舍五入”。</w:t>
      </w:r>
    </w:p>
    <w:p>
      <w:pPr>
        <w:rPr>
          <w:color w:val="auto"/>
        </w:rPr>
      </w:pPr>
      <w:r>
        <w:rPr>
          <w:color w:val="auto"/>
        </w:rPr>
        <w:br w:type="page"/>
      </w:r>
    </w:p>
    <w:p>
      <w:pPr>
        <w:pStyle w:val="2"/>
        <w:numPr>
          <w:ilvl w:val="0"/>
          <w:numId w:val="5"/>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rFonts w:hint="eastAsia"/>
          <w:lang w:eastAsia="zh-CN"/>
        </w:rPr>
      </w:pPr>
    </w:p>
    <w:p>
      <w:pPr>
        <w:numPr>
          <w:ilvl w:val="0"/>
          <w:numId w:val="6"/>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abstractNum w:abstractNumId="3">
    <w:nsid w:val="F22833F1"/>
    <w:multiLevelType w:val="singleLevel"/>
    <w:tmpl w:val="F22833F1"/>
    <w:lvl w:ilvl="0" w:tentative="0">
      <w:start w:val="1"/>
      <w:numFmt w:val="decimal"/>
      <w:suff w:val="nothing"/>
      <w:lvlText w:val="%1、"/>
      <w:lvlJc w:val="left"/>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abstractNum w:abstractNumId="5">
    <w:nsid w:val="20313A4E"/>
    <w:multiLevelType w:val="multilevel"/>
    <w:tmpl w:val="20313A4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6E91EC4"/>
    <w:rsid w:val="071C689B"/>
    <w:rsid w:val="0E331420"/>
    <w:rsid w:val="0E76169C"/>
    <w:rsid w:val="0EDD1643"/>
    <w:rsid w:val="12994AC5"/>
    <w:rsid w:val="16EB1D52"/>
    <w:rsid w:val="1AF56B46"/>
    <w:rsid w:val="1FE73549"/>
    <w:rsid w:val="20B41DA7"/>
    <w:rsid w:val="20F751FF"/>
    <w:rsid w:val="22AB7B8A"/>
    <w:rsid w:val="245079B1"/>
    <w:rsid w:val="28E81B29"/>
    <w:rsid w:val="2C7642D0"/>
    <w:rsid w:val="2EAC037F"/>
    <w:rsid w:val="2EB67A5C"/>
    <w:rsid w:val="302741D2"/>
    <w:rsid w:val="308B184D"/>
    <w:rsid w:val="340F06E9"/>
    <w:rsid w:val="344405F2"/>
    <w:rsid w:val="35132D00"/>
    <w:rsid w:val="3B3B544D"/>
    <w:rsid w:val="3B654F2B"/>
    <w:rsid w:val="3DF12CFC"/>
    <w:rsid w:val="3F7B40F1"/>
    <w:rsid w:val="429A4992"/>
    <w:rsid w:val="43B25DAC"/>
    <w:rsid w:val="46202E1C"/>
    <w:rsid w:val="4DCD6AB3"/>
    <w:rsid w:val="50095032"/>
    <w:rsid w:val="50540C20"/>
    <w:rsid w:val="51AC28BD"/>
    <w:rsid w:val="555B5FCF"/>
    <w:rsid w:val="574575F8"/>
    <w:rsid w:val="611B6B1B"/>
    <w:rsid w:val="64133D6A"/>
    <w:rsid w:val="65427F74"/>
    <w:rsid w:val="678E4F5D"/>
    <w:rsid w:val="6DE375E4"/>
    <w:rsid w:val="71584067"/>
    <w:rsid w:val="750117A8"/>
    <w:rsid w:val="76447599"/>
    <w:rsid w:val="7BBF44BB"/>
    <w:rsid w:val="7BF15CE4"/>
    <w:rsid w:val="7CCD1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宋体" w:cs="Times New Roman"/>
      <w:kern w:val="0"/>
      <w:sz w:val="24"/>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customStyle="1" w:styleId="12">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3">
    <w:name w:val="Default"/>
    <w:next w:val="1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6"/>
    <w:qFormat/>
    <w:uiPriority w:val="0"/>
    <w:pPr>
      <w:jc w:val="center"/>
    </w:pPr>
    <w:rPr>
      <w:rFonts w:ascii="Arial" w:hAnsi="Arial" w:eastAsia="宋体"/>
      <w:b/>
      <w:sz w:val="28"/>
      <w:szCs w:val="24"/>
    </w:rPr>
  </w:style>
  <w:style w:type="paragraph" w:customStyle="1" w:styleId="15">
    <w:name w:val="列出段落1"/>
    <w:basedOn w:val="1"/>
    <w:qFormat/>
    <w:uiPriority w:val="99"/>
    <w:pPr>
      <w:ind w:firstLine="420" w:firstLineChars="200"/>
    </w:p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7575</Words>
  <Characters>7908</Characters>
  <Lines>0</Lines>
  <Paragraphs>0</Paragraphs>
  <TotalTime>0</TotalTime>
  <ScaleCrop>false</ScaleCrop>
  <LinksUpToDate>false</LinksUpToDate>
  <CharactersWithSpaces>8843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2023-08-11T08:45:35Z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3505A2AB25E048A4A9B0E6A6741CA1BA_11</vt:lpwstr>
  </property>
</Properties>
</file>