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napToGrid w:val="0"/>
        <w:jc w:val="center"/>
        <w:rPr>
          <w:rFonts w:ascii="Arial" w:hAnsi="Arial" w:eastAsia="方正小标宋简体" w:cs="Arial"/>
          <w:color w:val="auto"/>
          <w:sz w:val="72"/>
          <w:szCs w:val="72"/>
        </w:rPr>
      </w:pPr>
      <w:bookmarkStart w:id="0" w:name="_Toc16523570"/>
    </w:p>
    <w:p>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（手术放大镜</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议价</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lang w:val="en-US" w:eastAsia="zh-CN"/>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九</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手术放大镜</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手术放大镜</w:t>
      </w:r>
      <w:r>
        <w:rPr>
          <w:rFonts w:hint="eastAsia" w:asciiTheme="minorEastAsia" w:hAnsiTheme="minorEastAsia" w:eastAsiaTheme="minorEastAsia" w:cstheme="minorEastAsia"/>
          <w:b w:val="0"/>
          <w:bCs/>
          <w:color w:val="auto"/>
          <w:sz w:val="24"/>
          <w:szCs w:val="24"/>
          <w:lang w:val="en-US" w:eastAsia="zh-CN"/>
        </w:rPr>
        <w:t>采购项目</w:t>
      </w:r>
    </w:p>
    <w:p>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3"/>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院内议价，按招标文件评分规则进行评审，以评审结果排序，综合评分得分相同的，按投标报价由低到高顺序排列，得分且投标报价相同的，按技术指标优劣顺序排列。</w:t>
      </w:r>
    </w:p>
    <w:bookmarkEnd w:id="0"/>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6、投标人具备湖南省政府采购电子卖场资格，中标人在议价公示后三个工作日内需配合医院完成湖南省政府采购电子卖场直购程序。</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4"/>
        <w:rPr>
          <w:rFonts w:hint="eastAsia"/>
          <w:lang w:val="en-US" w:eastAsia="zh-CN"/>
        </w:rPr>
      </w:pPr>
    </w:p>
    <w:p>
      <w:pPr>
        <w:pStyle w:val="14"/>
        <w:jc w:val="both"/>
        <w:rPr>
          <w:rFonts w:hint="default"/>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4"/>
        <w:rPr>
          <w:rFonts w:hint="eastAsia" w:ascii="宋体" w:hAnsi="宋体" w:cs="宋体"/>
          <w:b/>
          <w:bCs/>
          <w:color w:val="auto"/>
          <w:sz w:val="44"/>
          <w:szCs w:val="44"/>
          <w:lang w:val="en-US" w:eastAsia="zh-CN"/>
        </w:rPr>
      </w:pPr>
    </w:p>
    <w:p>
      <w:pPr>
        <w:pStyle w:val="6"/>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2"/>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手术放大镜</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22" w:firstLineChars="200"/>
        <w:rPr>
          <w:rFonts w:hint="eastAsia"/>
          <w:b/>
          <w:bCs/>
          <w:lang w:val="en-US" w:eastAsia="zh-CN"/>
        </w:rPr>
      </w:pPr>
      <w:r>
        <w:rPr>
          <w:rFonts w:hint="eastAsia"/>
          <w:b/>
          <w:bCs/>
          <w:lang w:val="en-US" w:eastAsia="zh-CN"/>
        </w:rPr>
        <w:t>技术参数：</w:t>
      </w:r>
    </w:p>
    <w:p>
      <w:pPr>
        <w:keepNext w:val="0"/>
        <w:keepLines w:val="0"/>
        <w:pageBreakBefore w:val="0"/>
        <w:kinsoku/>
        <w:wordWrap/>
        <w:overflowPunct/>
        <w:topLinePunct w:val="0"/>
        <w:bidi w:val="0"/>
        <w:adjustRightInd/>
        <w:snapToGrid/>
        <w:spacing w:line="240" w:lineRule="auto"/>
        <w:ind w:right="0" w:rightChars="0"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（一）</w:t>
      </w:r>
      <w:r>
        <w:rPr>
          <w:rFonts w:hint="eastAsia" w:ascii="宋体" w:hAnsi="宋体" w:eastAsia="宋体" w:cs="宋体"/>
          <w:b/>
          <w:sz w:val="24"/>
          <w:szCs w:val="24"/>
        </w:rPr>
        <w:t>技术指标</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1.1.适用范围:满足各种外科手术使用.可弥补操作者视力的不足</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1.2.外观:美观、大方。可选择框架. 满足长时间使用的要求.减少术者头部疲劳感的发生.</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1.3.结构原理:低倍显微系统</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1.4.养护方便:采用防尘防水设计.容易清洗和消毒.为日常维护提供方便</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1.5.性能特性:</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1.5.1.可根据使用者要求配有带度数镜片.</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1.5.2.采用独特的覆膜技术将光反射减少到0.3%提供高亮度的图像.加上无色差镜片比传统放大镜更清晰.</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1.5.3.可根据使用者习惯要求私人定制:如瞳距;视力度数;工作距离;手术姿势等;定制一个符合人体工程学的私人放大镜,避免大家共用一台放大镜.因术者手术姿势的妥协.造成使用者眼部疲劳及背部酸疼感的发生.</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1.5.4.具有超宽超深的视野.即使长时间手术术者也不会感到疲劳</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1.6.放大倍数：可选2.5X、3.0X、3.5X、4.5X、6.0X</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1.7. 镜片：天文光学玻璃材质，精密光学涂层，传输超过99.5%的光进入放大镜（反射不到0.5%），增强景深的同时增加耐磨特性。</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1.8. ★制作方式：可依据个人自身度数矫正近视，远视，散光，老花</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1.9.镜架：合金材质，表面不反射光线，各种镜框可选。</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1.10. ★工作距离：完全按照个人标准定制，可达≥70CM。</w:t>
      </w:r>
    </w:p>
    <w:p>
      <w:pPr>
        <w:keepNext w:val="0"/>
        <w:keepLines w:val="0"/>
        <w:pageBreakBefore w:val="0"/>
        <w:kinsoku/>
        <w:wordWrap/>
        <w:overflowPunct/>
        <w:topLinePunct w:val="0"/>
        <w:bidi w:val="0"/>
        <w:adjustRightInd/>
        <w:snapToGrid/>
        <w:spacing w:line="24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1.11.★生理视野镜头设计。</w:t>
      </w:r>
    </w:p>
    <w:p>
      <w:pPr>
        <w:keepNext w:val="0"/>
        <w:keepLines w:val="0"/>
        <w:pageBreakBefore w:val="0"/>
        <w:kinsoku/>
        <w:wordWrap/>
        <w:overflowPunct/>
        <w:topLinePunct w:val="0"/>
        <w:bidi w:val="0"/>
        <w:adjustRightInd/>
        <w:snapToGrid/>
        <w:spacing w:line="240" w:lineRule="auto"/>
        <w:ind w:right="0" w:rightChars="0"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rPr>
        <w:t>配置</w:t>
      </w:r>
      <w:r>
        <w:rPr>
          <w:rFonts w:hint="eastAsia" w:ascii="宋体" w:hAnsi="宋体" w:cs="宋体"/>
          <w:b/>
          <w:bCs/>
          <w:sz w:val="24"/>
          <w:szCs w:val="24"/>
          <w:lang w:eastAsia="zh-CN"/>
        </w:rPr>
        <w:t>清单：</w:t>
      </w:r>
      <w:r>
        <w:rPr>
          <w:rFonts w:hint="eastAsia" w:ascii="宋体" w:hAnsi="宋体" w:eastAsia="宋体" w:cs="宋体"/>
          <w:b/>
          <w:bCs/>
          <w:sz w:val="24"/>
          <w:szCs w:val="24"/>
        </w:rPr>
        <w:tab/>
      </w:r>
    </w:p>
    <w:tbl>
      <w:tblPr>
        <w:tblStyle w:val="10"/>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297"/>
        <w:gridCol w:w="3613"/>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10" w:type="dxa"/>
            <w:vAlign w:val="center"/>
          </w:tcPr>
          <w:p>
            <w:pPr>
              <w:widowControl/>
              <w:spacing w:line="360" w:lineRule="auto"/>
              <w:jc w:val="center"/>
              <w:rPr>
                <w:rFonts w:ascii="Arial" w:hAnsi="Arial" w:eastAsia="微软雅黑" w:cs="Arial"/>
                <w:b/>
                <w:bCs/>
                <w:kern w:val="0"/>
                <w:sz w:val="24"/>
                <w:szCs w:val="24"/>
              </w:rPr>
            </w:pPr>
            <w:r>
              <w:rPr>
                <w:rFonts w:hint="eastAsia" w:ascii="Arial" w:hAnsi="Arial" w:eastAsia="微软雅黑" w:cs="Arial"/>
                <w:b/>
                <w:bCs/>
                <w:kern w:val="0"/>
                <w:sz w:val="24"/>
                <w:szCs w:val="24"/>
              </w:rPr>
              <w:t>序号</w:t>
            </w:r>
            <w:r>
              <w:rPr>
                <w:rFonts w:ascii="Arial" w:hAnsi="Arial" w:eastAsia="微软雅黑" w:cs="Arial"/>
                <w:b/>
                <w:bCs/>
                <w:kern w:val="0"/>
                <w:sz w:val="24"/>
                <w:szCs w:val="24"/>
              </w:rPr>
              <w:t>.</w:t>
            </w:r>
          </w:p>
        </w:tc>
        <w:tc>
          <w:tcPr>
            <w:tcW w:w="2297" w:type="dxa"/>
            <w:vAlign w:val="center"/>
          </w:tcPr>
          <w:p>
            <w:pPr>
              <w:widowControl/>
              <w:spacing w:line="360" w:lineRule="auto"/>
              <w:jc w:val="center"/>
              <w:rPr>
                <w:rFonts w:ascii="Arial" w:hAnsi="Arial" w:eastAsia="微软雅黑" w:cs="Arial"/>
                <w:b/>
                <w:bCs/>
                <w:kern w:val="0"/>
                <w:sz w:val="24"/>
                <w:szCs w:val="24"/>
              </w:rPr>
            </w:pPr>
            <w:r>
              <w:rPr>
                <w:rFonts w:hint="eastAsia" w:ascii="Arial" w:hAnsi="Arial" w:eastAsia="微软雅黑" w:cs="Arial"/>
                <w:b/>
                <w:bCs/>
                <w:kern w:val="0"/>
                <w:sz w:val="24"/>
                <w:szCs w:val="24"/>
              </w:rPr>
              <w:t>名称</w:t>
            </w:r>
            <w:r>
              <w:rPr>
                <w:rFonts w:ascii="Arial" w:hAnsi="Arial" w:eastAsia="微软雅黑" w:cs="Arial"/>
                <w:b/>
                <w:bCs/>
                <w:kern w:val="0"/>
                <w:sz w:val="24"/>
                <w:szCs w:val="24"/>
              </w:rPr>
              <w:t>.</w:t>
            </w:r>
          </w:p>
        </w:tc>
        <w:tc>
          <w:tcPr>
            <w:tcW w:w="3613" w:type="dxa"/>
            <w:vAlign w:val="center"/>
          </w:tcPr>
          <w:p>
            <w:pPr>
              <w:widowControl/>
              <w:spacing w:line="360" w:lineRule="auto"/>
              <w:jc w:val="center"/>
              <w:rPr>
                <w:rFonts w:ascii="Arial" w:hAnsi="Arial" w:eastAsia="微软雅黑" w:cs="Arial"/>
                <w:b/>
                <w:bCs/>
                <w:kern w:val="0"/>
                <w:sz w:val="24"/>
                <w:szCs w:val="24"/>
              </w:rPr>
            </w:pPr>
            <w:r>
              <w:rPr>
                <w:rFonts w:hint="eastAsia" w:ascii="Arial" w:hAnsi="Arial" w:eastAsia="微软雅黑" w:cs="Arial"/>
                <w:b/>
                <w:bCs/>
                <w:kern w:val="0"/>
                <w:sz w:val="24"/>
                <w:szCs w:val="24"/>
              </w:rPr>
              <w:t>型号参数</w:t>
            </w:r>
          </w:p>
        </w:tc>
        <w:tc>
          <w:tcPr>
            <w:tcW w:w="1393" w:type="dxa"/>
            <w:vAlign w:val="center"/>
          </w:tcPr>
          <w:p>
            <w:pPr>
              <w:widowControl/>
              <w:spacing w:line="360" w:lineRule="auto"/>
              <w:jc w:val="center"/>
              <w:rPr>
                <w:rFonts w:ascii="Arial" w:hAnsi="Arial" w:eastAsia="微软雅黑" w:cs="Arial"/>
                <w:b/>
                <w:bCs/>
                <w:kern w:val="0"/>
                <w:sz w:val="24"/>
                <w:szCs w:val="24"/>
              </w:rPr>
            </w:pPr>
            <w:r>
              <w:rPr>
                <w:rFonts w:hint="eastAsia" w:ascii="Arial" w:hAnsi="Arial" w:eastAsia="微软雅黑" w:cs="Arial"/>
                <w:b/>
                <w:bCs/>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10" w:type="dxa"/>
            <w:vAlign w:val="center"/>
          </w:tcPr>
          <w:p>
            <w:pPr>
              <w:widowControl/>
              <w:spacing w:line="360" w:lineRule="auto"/>
              <w:jc w:val="center"/>
              <w:rPr>
                <w:rFonts w:ascii="Arial" w:hAnsi="Arial" w:eastAsia="微软雅黑" w:cs="Arial"/>
                <w:kern w:val="0"/>
                <w:sz w:val="24"/>
                <w:szCs w:val="24"/>
              </w:rPr>
            </w:pPr>
            <w:r>
              <w:rPr>
                <w:rFonts w:ascii="Arial" w:hAnsi="Arial" w:eastAsia="微软雅黑" w:cs="Arial"/>
                <w:kern w:val="0"/>
                <w:sz w:val="24"/>
                <w:szCs w:val="24"/>
              </w:rPr>
              <w:t>01</w:t>
            </w:r>
          </w:p>
        </w:tc>
        <w:tc>
          <w:tcPr>
            <w:tcW w:w="2297" w:type="dxa"/>
            <w:vAlign w:val="center"/>
          </w:tcPr>
          <w:p>
            <w:pPr>
              <w:widowControl/>
              <w:spacing w:line="360" w:lineRule="auto"/>
              <w:jc w:val="center"/>
              <w:rPr>
                <w:rFonts w:ascii="Arial" w:hAnsi="Arial" w:eastAsia="微软雅黑" w:cs="Arial"/>
                <w:kern w:val="0"/>
                <w:sz w:val="24"/>
                <w:szCs w:val="24"/>
              </w:rPr>
            </w:pPr>
            <w:r>
              <w:rPr>
                <w:rFonts w:hint="eastAsia" w:ascii="Arial" w:hAnsi="Arial" w:eastAsia="微软雅黑" w:cs="Arial"/>
                <w:kern w:val="0"/>
                <w:sz w:val="24"/>
                <w:szCs w:val="24"/>
              </w:rPr>
              <w:t>医用放大镜</w:t>
            </w:r>
          </w:p>
        </w:tc>
        <w:tc>
          <w:tcPr>
            <w:tcW w:w="3613" w:type="dxa"/>
            <w:vAlign w:val="center"/>
          </w:tcPr>
          <w:p>
            <w:pPr>
              <w:widowControl/>
              <w:spacing w:line="360" w:lineRule="auto"/>
              <w:jc w:val="center"/>
              <w:rPr>
                <w:rFonts w:ascii="Arial" w:hAnsi="Arial" w:eastAsia="微软雅黑" w:cs="Arial"/>
                <w:kern w:val="0"/>
                <w:sz w:val="24"/>
                <w:szCs w:val="24"/>
              </w:rPr>
            </w:pPr>
            <w:r>
              <w:rPr>
                <w:rFonts w:hint="eastAsia" w:ascii="Arial" w:hAnsi="Arial" w:eastAsia="微软雅黑" w:cs="Arial"/>
                <w:kern w:val="0"/>
                <w:sz w:val="24"/>
                <w:szCs w:val="24"/>
              </w:rPr>
              <w:t>医用放大镜</w:t>
            </w:r>
          </w:p>
        </w:tc>
        <w:tc>
          <w:tcPr>
            <w:tcW w:w="1393" w:type="dxa"/>
            <w:vAlign w:val="center"/>
          </w:tcPr>
          <w:p>
            <w:pPr>
              <w:widowControl/>
              <w:spacing w:line="360" w:lineRule="auto"/>
              <w:jc w:val="center"/>
              <w:rPr>
                <w:rFonts w:ascii="Arial" w:hAnsi="Arial" w:eastAsia="微软雅黑" w:cs="Arial"/>
                <w:kern w:val="0"/>
                <w:sz w:val="24"/>
                <w:szCs w:val="24"/>
              </w:rPr>
            </w:pPr>
            <w:r>
              <w:rPr>
                <w:rFonts w:ascii="Arial" w:hAnsi="Arial" w:eastAsia="微软雅黑" w:cs="Arial"/>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10" w:type="dxa"/>
            <w:vAlign w:val="center"/>
          </w:tcPr>
          <w:p>
            <w:pPr>
              <w:widowControl/>
              <w:spacing w:line="360" w:lineRule="auto"/>
              <w:ind w:firstLine="120" w:firstLineChars="50"/>
              <w:rPr>
                <w:rFonts w:ascii="Arial" w:hAnsi="Arial" w:eastAsia="微软雅黑" w:cs="Arial"/>
                <w:kern w:val="0"/>
                <w:sz w:val="24"/>
                <w:szCs w:val="24"/>
              </w:rPr>
            </w:pPr>
            <w:r>
              <w:rPr>
                <w:rFonts w:ascii="Arial" w:hAnsi="Arial" w:eastAsia="微软雅黑" w:cs="Arial"/>
                <w:kern w:val="0"/>
                <w:sz w:val="24"/>
                <w:szCs w:val="24"/>
              </w:rPr>
              <w:t>02</w:t>
            </w:r>
          </w:p>
        </w:tc>
        <w:tc>
          <w:tcPr>
            <w:tcW w:w="2297" w:type="dxa"/>
            <w:vAlign w:val="center"/>
          </w:tcPr>
          <w:p>
            <w:pPr>
              <w:widowControl/>
              <w:spacing w:line="360" w:lineRule="auto"/>
              <w:jc w:val="center"/>
              <w:rPr>
                <w:rFonts w:ascii="Arial" w:hAnsi="Arial" w:eastAsia="微软雅黑" w:cs="Arial"/>
                <w:kern w:val="0"/>
                <w:sz w:val="24"/>
                <w:szCs w:val="24"/>
              </w:rPr>
            </w:pPr>
            <w:r>
              <w:rPr>
                <w:rFonts w:ascii="Arial" w:hAnsi="Arial" w:eastAsia="微软雅黑" w:cs="Arial"/>
                <w:kern w:val="0"/>
                <w:sz w:val="24"/>
                <w:szCs w:val="24"/>
              </w:rPr>
              <w:t>CASE</w:t>
            </w:r>
          </w:p>
        </w:tc>
        <w:tc>
          <w:tcPr>
            <w:tcW w:w="3613" w:type="dxa"/>
            <w:vAlign w:val="center"/>
          </w:tcPr>
          <w:p>
            <w:pPr>
              <w:widowControl/>
              <w:spacing w:line="360" w:lineRule="auto"/>
              <w:jc w:val="center"/>
              <w:rPr>
                <w:rFonts w:ascii="Arial" w:hAnsi="Arial" w:eastAsia="微软雅黑" w:cs="Arial"/>
                <w:kern w:val="0"/>
                <w:sz w:val="24"/>
                <w:szCs w:val="24"/>
              </w:rPr>
            </w:pPr>
            <w:r>
              <w:rPr>
                <w:rFonts w:ascii="Arial" w:hAnsi="Arial" w:eastAsia="微软雅黑" w:cs="Arial"/>
                <w:kern w:val="0"/>
                <w:sz w:val="24"/>
                <w:szCs w:val="24"/>
              </w:rPr>
              <w:t>专用存放盒</w:t>
            </w:r>
          </w:p>
        </w:tc>
        <w:tc>
          <w:tcPr>
            <w:tcW w:w="1393" w:type="dxa"/>
            <w:vAlign w:val="center"/>
          </w:tcPr>
          <w:p>
            <w:pPr>
              <w:widowControl/>
              <w:spacing w:line="360" w:lineRule="auto"/>
              <w:jc w:val="center"/>
              <w:rPr>
                <w:rFonts w:ascii="Arial" w:hAnsi="Arial" w:eastAsia="微软雅黑" w:cs="Arial"/>
                <w:kern w:val="0"/>
                <w:sz w:val="24"/>
                <w:szCs w:val="24"/>
              </w:rPr>
            </w:pPr>
            <w:r>
              <w:rPr>
                <w:rFonts w:ascii="Arial" w:hAnsi="Arial" w:eastAsia="微软雅黑" w:cs="Arial"/>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10" w:type="dxa"/>
            <w:vAlign w:val="center"/>
          </w:tcPr>
          <w:p>
            <w:pPr>
              <w:widowControl/>
              <w:spacing w:line="360" w:lineRule="auto"/>
              <w:jc w:val="center"/>
              <w:rPr>
                <w:rFonts w:ascii="Arial" w:hAnsi="Arial" w:eastAsia="微软雅黑" w:cs="Arial"/>
                <w:kern w:val="0"/>
                <w:sz w:val="24"/>
                <w:szCs w:val="24"/>
              </w:rPr>
            </w:pPr>
            <w:r>
              <w:rPr>
                <w:rFonts w:ascii="Arial" w:hAnsi="Arial" w:eastAsia="微软雅黑" w:cs="Arial"/>
                <w:kern w:val="0"/>
                <w:sz w:val="24"/>
                <w:szCs w:val="24"/>
              </w:rPr>
              <w:t>03</w:t>
            </w:r>
          </w:p>
        </w:tc>
        <w:tc>
          <w:tcPr>
            <w:tcW w:w="2297" w:type="dxa"/>
            <w:vAlign w:val="center"/>
          </w:tcPr>
          <w:p>
            <w:pPr>
              <w:widowControl/>
              <w:spacing w:line="360" w:lineRule="auto"/>
              <w:jc w:val="center"/>
              <w:rPr>
                <w:rFonts w:ascii="Arial" w:hAnsi="Arial" w:eastAsia="微软雅黑" w:cs="Arial"/>
                <w:kern w:val="0"/>
                <w:sz w:val="24"/>
                <w:szCs w:val="24"/>
              </w:rPr>
            </w:pPr>
            <w:r>
              <w:rPr>
                <w:rFonts w:ascii="Arial" w:hAnsi="Arial" w:eastAsia="微软雅黑" w:cs="Arial"/>
                <w:kern w:val="0"/>
                <w:sz w:val="24"/>
                <w:szCs w:val="24"/>
              </w:rPr>
              <w:t>挂绳</w:t>
            </w:r>
          </w:p>
        </w:tc>
        <w:tc>
          <w:tcPr>
            <w:tcW w:w="3613" w:type="dxa"/>
            <w:vAlign w:val="center"/>
          </w:tcPr>
          <w:p>
            <w:pPr>
              <w:widowControl/>
              <w:spacing w:line="360" w:lineRule="auto"/>
              <w:jc w:val="center"/>
              <w:rPr>
                <w:rFonts w:ascii="Arial" w:hAnsi="Arial" w:eastAsia="微软雅黑" w:cs="Arial"/>
                <w:kern w:val="0"/>
                <w:sz w:val="24"/>
                <w:szCs w:val="24"/>
              </w:rPr>
            </w:pPr>
            <w:r>
              <w:rPr>
                <w:rFonts w:ascii="Arial" w:hAnsi="Arial" w:eastAsia="微软雅黑" w:cs="Arial"/>
                <w:kern w:val="0"/>
                <w:sz w:val="24"/>
                <w:szCs w:val="24"/>
              </w:rPr>
              <w:t>眼镜挂绳</w:t>
            </w:r>
          </w:p>
        </w:tc>
        <w:tc>
          <w:tcPr>
            <w:tcW w:w="1393" w:type="dxa"/>
            <w:vAlign w:val="center"/>
          </w:tcPr>
          <w:p>
            <w:pPr>
              <w:widowControl/>
              <w:spacing w:line="360" w:lineRule="auto"/>
              <w:jc w:val="center"/>
              <w:rPr>
                <w:rFonts w:ascii="Arial" w:hAnsi="Arial" w:eastAsia="微软雅黑" w:cs="Arial"/>
                <w:kern w:val="0"/>
                <w:sz w:val="24"/>
                <w:szCs w:val="24"/>
              </w:rPr>
            </w:pPr>
            <w:r>
              <w:rPr>
                <w:rFonts w:ascii="Arial" w:hAnsi="Arial" w:eastAsia="微软雅黑" w:cs="Arial"/>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10" w:type="dxa"/>
            <w:vAlign w:val="center"/>
          </w:tcPr>
          <w:p>
            <w:pPr>
              <w:widowControl/>
              <w:spacing w:line="360" w:lineRule="auto"/>
              <w:jc w:val="center"/>
              <w:rPr>
                <w:rFonts w:ascii="Arial" w:hAnsi="Arial" w:eastAsia="微软雅黑" w:cs="Arial"/>
                <w:kern w:val="0"/>
                <w:sz w:val="24"/>
                <w:szCs w:val="24"/>
              </w:rPr>
            </w:pPr>
            <w:r>
              <w:rPr>
                <w:rFonts w:ascii="Arial" w:hAnsi="Arial" w:eastAsia="微软雅黑" w:cs="Arial"/>
                <w:kern w:val="0"/>
                <w:sz w:val="24"/>
                <w:szCs w:val="24"/>
              </w:rPr>
              <w:t>04</w:t>
            </w:r>
          </w:p>
        </w:tc>
        <w:tc>
          <w:tcPr>
            <w:tcW w:w="2297" w:type="dxa"/>
            <w:vAlign w:val="center"/>
          </w:tcPr>
          <w:p>
            <w:pPr>
              <w:widowControl/>
              <w:spacing w:line="360" w:lineRule="auto"/>
              <w:jc w:val="center"/>
              <w:rPr>
                <w:rFonts w:ascii="Arial" w:hAnsi="Arial" w:eastAsia="微软雅黑" w:cs="Arial"/>
                <w:kern w:val="0"/>
                <w:sz w:val="24"/>
                <w:szCs w:val="24"/>
              </w:rPr>
            </w:pPr>
            <w:r>
              <w:rPr>
                <w:rFonts w:ascii="Arial" w:hAnsi="Arial" w:eastAsia="微软雅黑" w:cs="Arial"/>
                <w:kern w:val="0"/>
                <w:sz w:val="24"/>
                <w:szCs w:val="24"/>
              </w:rPr>
              <w:t>带子</w:t>
            </w:r>
          </w:p>
        </w:tc>
        <w:tc>
          <w:tcPr>
            <w:tcW w:w="3613" w:type="dxa"/>
            <w:vAlign w:val="center"/>
          </w:tcPr>
          <w:p>
            <w:pPr>
              <w:widowControl/>
              <w:spacing w:line="360" w:lineRule="auto"/>
              <w:jc w:val="center"/>
              <w:rPr>
                <w:rFonts w:ascii="Arial" w:hAnsi="Arial" w:eastAsia="微软雅黑" w:cs="Arial"/>
                <w:kern w:val="0"/>
                <w:sz w:val="24"/>
                <w:szCs w:val="24"/>
              </w:rPr>
            </w:pPr>
            <w:r>
              <w:rPr>
                <w:rFonts w:ascii="Arial" w:hAnsi="Arial" w:eastAsia="微软雅黑" w:cs="Arial"/>
                <w:kern w:val="0"/>
                <w:sz w:val="24"/>
                <w:szCs w:val="24"/>
              </w:rPr>
              <w:t>眼镜箱带子</w:t>
            </w:r>
          </w:p>
        </w:tc>
        <w:tc>
          <w:tcPr>
            <w:tcW w:w="1393" w:type="dxa"/>
            <w:vAlign w:val="center"/>
          </w:tcPr>
          <w:p>
            <w:pPr>
              <w:widowControl/>
              <w:spacing w:line="360" w:lineRule="auto"/>
              <w:jc w:val="center"/>
              <w:rPr>
                <w:rFonts w:ascii="Arial" w:hAnsi="Arial" w:eastAsia="微软雅黑" w:cs="Arial"/>
                <w:kern w:val="0"/>
                <w:sz w:val="24"/>
                <w:szCs w:val="24"/>
              </w:rPr>
            </w:pPr>
            <w:r>
              <w:rPr>
                <w:rFonts w:ascii="Arial" w:hAnsi="Arial" w:eastAsia="微软雅黑" w:cs="Arial"/>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10" w:type="dxa"/>
            <w:vAlign w:val="center"/>
          </w:tcPr>
          <w:p>
            <w:pPr>
              <w:widowControl/>
              <w:spacing w:line="360" w:lineRule="auto"/>
              <w:jc w:val="center"/>
              <w:rPr>
                <w:rFonts w:ascii="Arial" w:hAnsi="Arial" w:eastAsia="微软雅黑" w:cs="Arial"/>
                <w:kern w:val="0"/>
                <w:sz w:val="24"/>
                <w:szCs w:val="24"/>
              </w:rPr>
            </w:pPr>
            <w:r>
              <w:rPr>
                <w:rFonts w:ascii="Arial" w:hAnsi="Arial" w:eastAsia="微软雅黑" w:cs="Arial"/>
                <w:kern w:val="0"/>
                <w:sz w:val="24"/>
                <w:szCs w:val="24"/>
              </w:rPr>
              <w:t>05</w:t>
            </w:r>
          </w:p>
        </w:tc>
        <w:tc>
          <w:tcPr>
            <w:tcW w:w="2297" w:type="dxa"/>
            <w:vAlign w:val="center"/>
          </w:tcPr>
          <w:p>
            <w:pPr>
              <w:widowControl/>
              <w:spacing w:line="360" w:lineRule="auto"/>
              <w:jc w:val="center"/>
              <w:rPr>
                <w:rFonts w:ascii="Arial" w:hAnsi="Arial" w:eastAsia="微软雅黑" w:cs="Arial"/>
                <w:kern w:val="0"/>
                <w:sz w:val="24"/>
                <w:szCs w:val="24"/>
              </w:rPr>
            </w:pPr>
            <w:r>
              <w:rPr>
                <w:rFonts w:ascii="Arial" w:hAnsi="Arial" w:eastAsia="微软雅黑" w:cs="Arial"/>
                <w:kern w:val="0"/>
                <w:sz w:val="24"/>
                <w:szCs w:val="24"/>
              </w:rPr>
              <w:t>名牌</w:t>
            </w:r>
          </w:p>
        </w:tc>
        <w:tc>
          <w:tcPr>
            <w:tcW w:w="3613" w:type="dxa"/>
            <w:vAlign w:val="center"/>
          </w:tcPr>
          <w:p>
            <w:pPr>
              <w:widowControl/>
              <w:spacing w:line="360" w:lineRule="auto"/>
              <w:jc w:val="center"/>
              <w:rPr>
                <w:rFonts w:ascii="Arial" w:hAnsi="Arial" w:eastAsia="微软雅黑" w:cs="Arial"/>
                <w:kern w:val="0"/>
                <w:sz w:val="24"/>
                <w:szCs w:val="24"/>
              </w:rPr>
            </w:pPr>
            <w:r>
              <w:rPr>
                <w:rFonts w:ascii="Arial" w:hAnsi="Arial" w:eastAsia="微软雅黑" w:cs="Arial"/>
                <w:kern w:val="0"/>
                <w:sz w:val="24"/>
                <w:szCs w:val="24"/>
              </w:rPr>
              <w:t>医师名牌</w:t>
            </w:r>
          </w:p>
        </w:tc>
        <w:tc>
          <w:tcPr>
            <w:tcW w:w="1393" w:type="dxa"/>
            <w:vAlign w:val="center"/>
          </w:tcPr>
          <w:p>
            <w:pPr>
              <w:widowControl/>
              <w:spacing w:line="360" w:lineRule="auto"/>
              <w:jc w:val="center"/>
              <w:rPr>
                <w:rFonts w:ascii="Arial" w:hAnsi="Arial" w:eastAsia="微软雅黑" w:cs="Arial"/>
                <w:kern w:val="0"/>
                <w:sz w:val="24"/>
                <w:szCs w:val="24"/>
              </w:rPr>
            </w:pPr>
            <w:r>
              <w:rPr>
                <w:rFonts w:ascii="Arial" w:hAnsi="Arial" w:eastAsia="微软雅黑" w:cs="Arial"/>
                <w:kern w:val="0"/>
                <w:sz w:val="24"/>
                <w:szCs w:val="24"/>
              </w:rPr>
              <w:t>1</w:t>
            </w:r>
          </w:p>
        </w:tc>
      </w:tr>
    </w:tbl>
    <w:p>
      <w:pPr>
        <w:ind w:firstLine="482" w:firstLineChars="200"/>
        <w:rPr>
          <w:rFonts w:hint="eastAsia"/>
          <w:lang w:val="en-US" w:eastAsia="zh-CN"/>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年，终身维修。验收时出具原厂售后质保承诺书，质保期内每年巡检一次，并提交巡检记录。质保期内出现故障，24小时响应，响应后4小时上门服务。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*6、在投标文件中必须提供相关佐证资料（加盖原厂公章的技术参数、技术白皮书、说明书、彩页），并在响应表中备注该条参数响应或正偏离的佐证资料所在页码。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bookmarkStart w:id="5" w:name="_GoBack"/>
      <w:bookmarkEnd w:id="5"/>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院内议价</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手术放大镜</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 xml:space="preserve">手术放大镜 </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手术放大镜</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FF"/>
                <w:kern w:val="0"/>
                <w:sz w:val="21"/>
                <w:szCs w:val="21"/>
                <w:lang w:val="en-US" w:eastAsia="zh-CN"/>
              </w:rPr>
              <w:t>1台/套</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FF"/>
          <w:sz w:val="24"/>
          <w:szCs w:val="24"/>
          <w:lang w:val="en-US" w:eastAsia="zh-CN"/>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到货验收：乙方将设备运至指定交货地点后，应通知甲方，并向甲方提供厂家标准资料文件（进口设备需提供真实有效的海关报关单，其他设备需提供产品合格证）。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（1）甲方的文书送达地址：娄底市中心医院（湖南省娄底市娄星区长青中街51号）；联系人：朱振宇，联系电话：15673845559。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（2）乙方的文书送达地址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0000FF"/>
          <w:sz w:val="24"/>
          <w:lang w:val="en-US" w:eastAsia="zh-CN"/>
        </w:rPr>
        <w:t>并</w:t>
      </w:r>
      <w:r>
        <w:rPr>
          <w:rFonts w:hint="eastAsia" w:ascii="宋体" w:hAnsi="宋体" w:eastAsia="宋体" w:cs="宋体"/>
          <w:color w:val="0000FF"/>
          <w:sz w:val="24"/>
          <w:szCs w:val="24"/>
        </w:rPr>
        <w:t>出具原厂售后质保承诺书</w:t>
      </w:r>
      <w:r>
        <w:rPr>
          <w:rFonts w:hint="eastAsia" w:ascii="宋体" w:hAnsi="宋体" w:eastAsia="宋体" w:cs="宋体"/>
          <w:sz w:val="24"/>
        </w:rPr>
        <w:t>。</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24小时响应，响应后4小时上门服务</w:t>
      </w:r>
      <w:r>
        <w:rPr>
          <w:rFonts w:hint="eastAsia" w:ascii="宋体" w:hAnsi="宋体" w:eastAsia="宋体" w:cs="宋体"/>
          <w:color w:val="auto"/>
          <w:sz w:val="24"/>
          <w:szCs w:val="24"/>
          <w:lang w:val="en-US" w:eastAsia="zh-CN"/>
        </w:rPr>
        <w:t>，相关费用由乙方承担。如乙方不及时履行保修义务，甲方有权委托第三方进行维修，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w:t>
      </w:r>
      <w:r>
        <w:rPr>
          <w:rFonts w:hint="eastAsia" w:ascii="宋体" w:hAnsi="宋体" w:eastAsia="宋体" w:cs="宋体"/>
          <w:color w:val="0000FF"/>
          <w:sz w:val="24"/>
          <w:szCs w:val="24"/>
          <w:lang w:val="en-US" w:eastAsia="zh-CN"/>
        </w:rPr>
        <w:t>一</w:t>
      </w:r>
      <w:r>
        <w:rPr>
          <w:rFonts w:hint="eastAsia" w:ascii="宋体" w:hAnsi="宋体" w:eastAsia="宋体" w:cs="宋体"/>
          <w:color w:val="auto"/>
          <w:sz w:val="24"/>
          <w:szCs w:val="24"/>
          <w:lang w:val="en-US" w:eastAsia="zh-CN"/>
        </w:rPr>
        <w:t>次巡检</w:t>
      </w:r>
      <w:r>
        <w:rPr>
          <w:rFonts w:hint="eastAsia" w:ascii="宋体" w:hAnsi="宋体" w:eastAsia="宋体" w:cs="宋体"/>
          <w:color w:val="0000FF"/>
          <w:sz w:val="24"/>
          <w:szCs w:val="24"/>
          <w:lang w:val="en-US" w:eastAsia="zh-CN"/>
        </w:rPr>
        <w:t>并向甲方提交巡检记录</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FF"/>
          <w:sz w:val="24"/>
          <w:szCs w:val="24"/>
          <w:lang w:val="en-US" w:eastAsia="zh-CN"/>
        </w:rPr>
        <w:t>免息</w:t>
      </w:r>
      <w:r>
        <w:rPr>
          <w:rFonts w:hint="eastAsia" w:ascii="宋体" w:hAnsi="宋体" w:eastAsia="宋体" w:cs="宋体"/>
          <w:color w:val="auto"/>
          <w:sz w:val="24"/>
          <w:szCs w:val="24"/>
          <w:lang w:val="en-US" w:eastAsia="zh-CN"/>
        </w:rPr>
        <w:t>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（1）乙方逾期</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本合同一式五份，甲方执四份、乙方执一份，自双方签字并盖章之日起生效。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keepNext w:val="0"/>
        <w:keepLines w:val="0"/>
        <w:pageBreakBefore w:val="0"/>
        <w:kinsoku/>
        <w:wordWrap/>
        <w:overflowPunct/>
        <w:topLinePunct w:val="0"/>
        <w:autoSpaceDE/>
        <w:autoSpaceDN/>
        <w:bidi w:val="0"/>
        <w:adjustRightInd/>
        <w:snapToGrid/>
        <w:spacing w:line="480" w:lineRule="exact"/>
        <w:textAlignment w:val="auto"/>
      </w:pP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rPr>
      </w:pPr>
      <w:r>
        <w:rPr>
          <w:rFonts w:hint="eastAsia" w:ascii="宋体" w:hAnsi="宋体" w:cs="宋体"/>
          <w:b/>
          <w:color w:val="auto"/>
          <w:sz w:val="32"/>
          <w:szCs w:val="32"/>
        </w:rPr>
        <w:t>综合评分表</w:t>
      </w:r>
    </w:p>
    <w:tbl>
      <w:tblPr>
        <w:tblStyle w:val="10"/>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5"/>
        <w:gridCol w:w="903"/>
        <w:gridCol w:w="1245"/>
        <w:gridCol w:w="6318"/>
        <w:gridCol w:w="8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1" w:type="pct"/>
            <w:noWrap w:val="0"/>
            <w:vAlign w:val="center"/>
          </w:tcPr>
          <w:p>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价格</w:t>
            </w:r>
          </w:p>
          <w:p>
            <w:pPr>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0分）</w:t>
            </w:r>
          </w:p>
        </w:tc>
        <w:tc>
          <w:tcPr>
            <w:tcW w:w="3171"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0</w:t>
            </w:r>
            <w:r>
              <w:rPr>
                <w:rFonts w:hint="eastAsia" w:ascii="宋体" w:hAnsi="宋体" w:eastAsia="宋体" w:cs="Times New Roman"/>
                <w:color w:val="auto"/>
                <w:sz w:val="24"/>
                <w:szCs w:val="24"/>
              </w:rPr>
              <w:t>。</w:t>
            </w:r>
          </w:p>
          <w:p>
            <w:pPr>
              <w:rPr>
                <w:rFonts w:hint="eastAsia"/>
                <w:color w:val="auto"/>
                <w:sz w:val="24"/>
                <w:szCs w:val="24"/>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4</w:t>
            </w:r>
            <w:r>
              <w:rPr>
                <w:rFonts w:hint="eastAsia" w:ascii="宋体" w:hAnsi="宋体" w:cs="宋体"/>
                <w:color w:val="auto"/>
                <w:sz w:val="24"/>
                <w:szCs w:val="24"/>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344"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453"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lang w:eastAsia="zh-CN"/>
              </w:rPr>
              <w:t>招标文件响应程度及服务方案</w:t>
            </w:r>
            <w:r>
              <w:rPr>
                <w:rFonts w:hint="eastAsia" w:ascii="宋体" w:hAnsi="宋体" w:cs="宋体"/>
                <w:color w:val="auto"/>
                <w:sz w:val="24"/>
                <w:szCs w:val="24"/>
              </w:rPr>
              <w:t>（</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c>
          <w:tcPr>
            <w:tcW w:w="625" w:type="pct"/>
            <w:noWrap w:val="0"/>
            <w:vAlign w:val="center"/>
          </w:tcPr>
          <w:p>
            <w:pPr>
              <w:jc w:val="center"/>
              <w:rPr>
                <w:rFonts w:hint="eastAsia" w:ascii="宋体" w:hAnsi="宋体" w:cs="宋体"/>
                <w:color w:val="auto"/>
                <w:sz w:val="24"/>
                <w:szCs w:val="24"/>
              </w:rPr>
            </w:pPr>
            <w:r>
              <w:rPr>
                <w:rFonts w:ascii="宋体" w:hAnsi="宋体"/>
                <w:color w:val="auto"/>
                <w:sz w:val="24"/>
                <w:szCs w:val="24"/>
              </w:rPr>
              <w:t>对招标文件的响应程度</w:t>
            </w:r>
          </w:p>
        </w:tc>
        <w:tc>
          <w:tcPr>
            <w:tcW w:w="3171" w:type="pct"/>
            <w:noWrap w:val="0"/>
            <w:vAlign w:val="center"/>
          </w:tcPr>
          <w:p>
            <w:pPr>
              <w:rPr>
                <w:rFonts w:hint="eastAsia" w:ascii="宋体" w:hAnsi="宋体" w:cs="宋体"/>
                <w:color w:val="auto"/>
                <w:sz w:val="24"/>
                <w:szCs w:val="24"/>
              </w:rPr>
            </w:pPr>
            <w:r>
              <w:rPr>
                <w:rFonts w:hint="eastAsia" w:ascii="宋体" w:hAnsi="宋体"/>
                <w:color w:val="auto"/>
                <w:sz w:val="24"/>
                <w:szCs w:val="24"/>
              </w:rPr>
              <w:t>以招标文件格式为基础，根据投标文件制作的优劣，专家酌情打分，每有一处细微偏差扣1分，扣分最多不超过</w:t>
            </w:r>
            <w:r>
              <w:rPr>
                <w:rFonts w:hint="eastAsia" w:ascii="宋体" w:hAnsi="宋体"/>
                <w:color w:val="auto"/>
                <w:sz w:val="24"/>
                <w:szCs w:val="24"/>
                <w:lang w:val="en-US" w:eastAsia="zh-CN"/>
              </w:rPr>
              <w:t>2</w:t>
            </w:r>
            <w:r>
              <w:rPr>
                <w:rFonts w:hint="eastAsia" w:ascii="宋体" w:hAnsi="宋体"/>
                <w:color w:val="auto"/>
                <w:sz w:val="24"/>
                <w:szCs w:val="24"/>
              </w:rPr>
              <w:t>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9" w:hRule="atLeast"/>
          <w:jc w:val="center"/>
        </w:trPr>
        <w:tc>
          <w:tcPr>
            <w:tcW w:w="344" w:type="pct"/>
            <w:vMerge w:val="continue"/>
            <w:noWrap w:val="0"/>
            <w:vAlign w:val="center"/>
          </w:tcPr>
          <w:p>
            <w:pPr>
              <w:jc w:val="center"/>
              <w:rPr>
                <w:rFonts w:hint="eastAsia" w:ascii="宋体" w:hAnsi="宋体" w:cs="宋体"/>
                <w:color w:val="auto"/>
                <w:sz w:val="24"/>
                <w:szCs w:val="24"/>
              </w:rPr>
            </w:pPr>
          </w:p>
        </w:tc>
        <w:tc>
          <w:tcPr>
            <w:tcW w:w="453" w:type="pct"/>
            <w:vMerge w:val="continue"/>
            <w:noWrap w:val="0"/>
            <w:vAlign w:val="center"/>
          </w:tcPr>
          <w:p>
            <w:pPr>
              <w:jc w:val="center"/>
              <w:rPr>
                <w:rFonts w:hint="eastAsia" w:ascii="宋体" w:hAnsi="宋体" w:cs="宋体"/>
                <w:color w:val="auto"/>
                <w:sz w:val="24"/>
                <w:szCs w:val="24"/>
              </w:rPr>
            </w:pPr>
          </w:p>
        </w:tc>
        <w:tc>
          <w:tcPr>
            <w:tcW w:w="625" w:type="pct"/>
            <w:noWrap w:val="0"/>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服务方案</w:t>
            </w:r>
          </w:p>
        </w:tc>
        <w:tc>
          <w:tcPr>
            <w:tcW w:w="3171" w:type="pct"/>
            <w:noWrap w:val="0"/>
            <w:vAlign w:val="center"/>
          </w:tcPr>
          <w:p>
            <w:pPr>
              <w:rPr>
                <w:rFonts w:hint="eastAsia" w:ascii="宋体" w:hAnsi="宋体" w:cs="Times New Roman"/>
                <w:color w:val="auto"/>
                <w:sz w:val="24"/>
                <w:szCs w:val="24"/>
              </w:rPr>
            </w:pPr>
            <w:r>
              <w:rPr>
                <w:rFonts w:hint="eastAsia" w:ascii="宋体" w:hAnsi="宋体" w:cs="Times New Roman"/>
                <w:color w:val="auto"/>
                <w:sz w:val="24"/>
                <w:szCs w:val="24"/>
                <w:lang w:val="en-US" w:eastAsia="zh-CN"/>
              </w:rPr>
              <w:t>1、</w:t>
            </w:r>
            <w:r>
              <w:rPr>
                <w:rFonts w:hint="eastAsia" w:ascii="宋体" w:hAnsi="宋体" w:cs="Times New Roman"/>
                <w:color w:val="auto"/>
                <w:sz w:val="24"/>
                <w:szCs w:val="24"/>
              </w:rPr>
              <w:t>能提供投标人</w:t>
            </w:r>
            <w:r>
              <w:rPr>
                <w:rFonts w:hint="eastAsia" w:ascii="宋体" w:hAnsi="宋体" w:cs="Times New Roman"/>
                <w:color w:val="auto"/>
                <w:sz w:val="24"/>
                <w:szCs w:val="24"/>
                <w:lang w:eastAsia="zh-CN"/>
              </w:rPr>
              <w:t>投标货物的</w:t>
            </w:r>
            <w:r>
              <w:rPr>
                <w:rFonts w:hint="eastAsia" w:ascii="宋体" w:hAnsi="宋体" w:cs="Times New Roman"/>
                <w:color w:val="auto"/>
                <w:sz w:val="24"/>
                <w:szCs w:val="24"/>
              </w:rPr>
              <w:t>同类型合作业绩，</w:t>
            </w:r>
            <w:r>
              <w:rPr>
                <w:rFonts w:hint="eastAsia" w:ascii="宋体" w:hAnsi="宋体" w:cs="Times New Roman"/>
                <w:color w:val="auto"/>
                <w:sz w:val="24"/>
                <w:szCs w:val="24"/>
                <w:lang w:eastAsia="zh-CN"/>
              </w:rPr>
              <w:t>（自开标开标之日止前五年）</w:t>
            </w:r>
            <w:r>
              <w:rPr>
                <w:rFonts w:hint="eastAsia" w:ascii="宋体" w:hAnsi="宋体" w:cs="Times New Roman"/>
                <w:color w:val="auto"/>
                <w:sz w:val="24"/>
                <w:szCs w:val="24"/>
              </w:rPr>
              <w:t>每个</w:t>
            </w:r>
            <w:r>
              <w:rPr>
                <w:rFonts w:hint="eastAsia" w:ascii="宋体" w:hAnsi="宋体" w:cs="Times New Roman"/>
                <w:color w:val="auto"/>
                <w:sz w:val="24"/>
                <w:szCs w:val="24"/>
                <w:lang w:val="en-US" w:eastAsia="zh-CN"/>
              </w:rPr>
              <w:t>业绩</w:t>
            </w:r>
            <w:r>
              <w:rPr>
                <w:rFonts w:hint="eastAsia" w:ascii="宋体" w:hAnsi="宋体" w:cs="Times New Roman"/>
                <w:color w:val="auto"/>
                <w:sz w:val="24"/>
                <w:szCs w:val="24"/>
              </w:rPr>
              <w:t>计</w:t>
            </w: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分，最多计</w:t>
            </w:r>
            <w:r>
              <w:rPr>
                <w:rFonts w:hint="eastAsia" w:ascii="宋体" w:hAnsi="宋体" w:cs="Times New Roman"/>
                <w:color w:val="auto"/>
                <w:sz w:val="24"/>
                <w:szCs w:val="24"/>
                <w:lang w:val="en-US" w:eastAsia="zh-CN"/>
              </w:rPr>
              <w:t>4</w:t>
            </w:r>
            <w:r>
              <w:rPr>
                <w:rFonts w:hint="eastAsia" w:ascii="宋体" w:hAnsi="宋体" w:cs="Times New Roman"/>
                <w:color w:val="auto"/>
                <w:sz w:val="24"/>
                <w:szCs w:val="24"/>
              </w:rPr>
              <w:t>分（提供合作清单及联系人，并附合同或中标通知书复印件加盖投标人公章）。</w:t>
            </w:r>
          </w:p>
          <w:p>
            <w:pPr>
              <w:rPr>
                <w:rFonts w:hint="eastAsia"/>
                <w:sz w:val="24"/>
                <w:szCs w:val="24"/>
              </w:rPr>
            </w:pPr>
            <w:r>
              <w:rPr>
                <w:rFonts w:hint="eastAsia" w:ascii="宋体" w:hAnsi="宋体" w:cs="Times New Roman"/>
                <w:color w:val="auto"/>
                <w:sz w:val="24"/>
                <w:szCs w:val="24"/>
                <w:lang w:val="en-US" w:eastAsia="zh-CN"/>
              </w:rPr>
              <w:t>2、在上述技术及商务参数中要求的质保年限上，每增加一年计2分，最多计4分。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453" w:type="pct"/>
            <w:noWrap w:val="0"/>
            <w:vAlign w:val="center"/>
          </w:tcPr>
          <w:p>
            <w:pPr>
              <w:jc w:val="center"/>
              <w:rPr>
                <w:rFonts w:hint="eastAsia" w:ascii="宋体" w:hAnsi="宋体" w:cs="宋体"/>
                <w:color w:val="auto"/>
                <w:sz w:val="24"/>
                <w:szCs w:val="24"/>
              </w:rPr>
            </w:pPr>
            <w:r>
              <w:rPr>
                <w:rFonts w:hint="eastAsia" w:cs="Times New Roman"/>
                <w:bCs/>
                <w:sz w:val="24"/>
                <w:szCs w:val="24"/>
                <w:lang w:val="en-US" w:eastAsia="zh-CN"/>
              </w:rPr>
              <w:t>技术要求及商务要求</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0分）</w:t>
            </w:r>
          </w:p>
        </w:tc>
        <w:tc>
          <w:tcPr>
            <w:tcW w:w="625" w:type="pct"/>
            <w:noWrap w:val="0"/>
            <w:vAlign w:val="center"/>
          </w:tcPr>
          <w:p>
            <w:pPr>
              <w:jc w:val="center"/>
              <w:rPr>
                <w:rFonts w:hint="default" w:ascii="宋体" w:hAnsi="宋体" w:eastAsia="宋体"/>
                <w:color w:val="auto"/>
                <w:sz w:val="24"/>
                <w:szCs w:val="24"/>
                <w:lang w:val="en-US" w:eastAsia="zh-CN"/>
              </w:rPr>
            </w:pPr>
            <w:r>
              <w:rPr>
                <w:rFonts w:hint="eastAsia" w:cs="Times New Roman"/>
                <w:bCs/>
                <w:sz w:val="24"/>
                <w:szCs w:val="24"/>
                <w:lang w:val="en-US" w:eastAsia="zh-CN"/>
              </w:rPr>
              <w:t>技术要求及商务要求</w:t>
            </w:r>
          </w:p>
        </w:tc>
        <w:tc>
          <w:tcPr>
            <w:tcW w:w="3171" w:type="pct"/>
            <w:noWrap w:val="0"/>
            <w:vAlign w:val="top"/>
          </w:tcPr>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1、技术参数</w:t>
            </w:r>
            <w:r>
              <w:rPr>
                <w:rFonts w:hint="eastAsia" w:ascii="宋体" w:hAnsi="宋体" w:cs="Times New Roman"/>
                <w:color w:val="auto"/>
                <w:sz w:val="24"/>
                <w:szCs w:val="24"/>
                <w:lang w:val="en-US" w:eastAsia="zh-CN"/>
              </w:rPr>
              <w:t>及商务参数</w:t>
            </w:r>
            <w:r>
              <w:rPr>
                <w:rFonts w:hint="eastAsia" w:ascii="宋体" w:hAnsi="宋体" w:eastAsia="宋体" w:cs="Times New Roman"/>
                <w:color w:val="auto"/>
                <w:sz w:val="24"/>
                <w:szCs w:val="24"/>
                <w:lang w:val="en-US" w:eastAsia="zh-CN"/>
              </w:rPr>
              <w:t>完全符合招标文件要求的，计</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0分，任何一条技术参数负偏离扣2分，扣完为止。</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2、</w:t>
            </w:r>
            <w:r>
              <w:rPr>
                <w:rFonts w:hint="eastAsia" w:ascii="宋体" w:hAnsi="宋体" w:eastAsia="宋体" w:cs="Times New Roman"/>
                <w:color w:val="auto"/>
                <w:sz w:val="24"/>
                <w:szCs w:val="24"/>
                <w:lang w:val="en-US" w:eastAsia="zh-CN"/>
              </w:rPr>
              <w:t>带“ ★”“*”号参数为重要条款不允许偏离，否则视同无效投标。</w:t>
            </w:r>
          </w:p>
          <w:p>
            <w:pPr>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、带“ ▲”号参数为重要条款任何一条技术参数负偏离扣4分，扣完为止。</w:t>
            </w:r>
          </w:p>
          <w:p>
            <w:pPr>
              <w:rPr>
                <w:rFonts w:hint="eastAsia" w:ascii="宋体" w:hAnsi="宋体" w:eastAsia="宋体" w:cs="Times New Roman"/>
                <w:color w:val="auto"/>
                <w:sz w:val="24"/>
                <w:szCs w:val="24"/>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、其它技术条款偏离项数之和大于5项将导致无效投标。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说明：</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a、偏离：不满足招标参数要求，配置不详，缺漏项，技术参数表述不清的。</w:t>
            </w:r>
          </w:p>
          <w:p>
            <w:pPr>
              <w:rPr>
                <w:rFonts w:hint="default" w:eastAsia="宋体"/>
                <w:sz w:val="24"/>
                <w:szCs w:val="24"/>
                <w:lang w:val="en-US" w:eastAsia="zh-CN"/>
              </w:rPr>
            </w:pPr>
            <w:r>
              <w:rPr>
                <w:rFonts w:hint="eastAsia" w:ascii="宋体" w:hAnsi="宋体" w:eastAsia="宋体" w:cs="Times New Roman"/>
                <w:color w:val="auto"/>
                <w:sz w:val="24"/>
                <w:szCs w:val="24"/>
              </w:rPr>
              <w:t>b、条款数计算：招标文件中，凡编排有单独的中文序数或阿拉伯数字或英文字母序列号等字符的</w:t>
            </w:r>
            <w:r>
              <w:rPr>
                <w:rFonts w:ascii="宋体" w:hAnsi="宋体"/>
                <w:color w:val="000000" w:themeColor="text1"/>
                <w:sz w:val="24"/>
                <w:szCs w:val="24"/>
                <w14:textFill>
                  <w14:solidFill>
                    <w14:schemeClr w14:val="tx1"/>
                  </w14:solidFill>
                </w14:textFill>
              </w:rPr>
              <w:t>条款算一项技术要求项数</w:t>
            </w:r>
            <w:r>
              <w:rPr>
                <w:rFonts w:hint="eastAsia" w:ascii="宋体" w:hAnsi="宋体"/>
                <w:color w:val="000000" w:themeColor="text1"/>
                <w:sz w:val="24"/>
                <w:szCs w:val="24"/>
                <w14:textFill>
                  <w14:solidFill>
                    <w14:schemeClr w14:val="tx1"/>
                  </w14:solidFill>
                </w14:textFill>
              </w:rPr>
              <w:t>。</w:t>
            </w:r>
          </w:p>
        </w:tc>
        <w:tc>
          <w:tcPr>
            <w:tcW w:w="40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50</w:t>
            </w:r>
          </w:p>
        </w:tc>
      </w:tr>
    </w:tbl>
    <w:p>
      <w:pPr>
        <w:pStyle w:val="15"/>
        <w:rPr>
          <w:rFonts w:hint="eastAsia" w:ascii="宋体" w:hAnsi="宋体" w:cs="宋体"/>
          <w:color w:val="auto"/>
          <w:sz w:val="24"/>
          <w:szCs w:val="24"/>
        </w:rPr>
      </w:pPr>
    </w:p>
    <w:p>
      <w:pPr>
        <w:spacing w:before="120" w:beforeLines="50" w:after="120" w:afterLines="50" w:line="360" w:lineRule="auto"/>
        <w:rPr>
          <w:color w:val="auto"/>
        </w:rPr>
      </w:pPr>
      <w:r>
        <w:rPr>
          <w:rFonts w:hint="eastAsia" w:ascii="宋体" w:hAnsi="宋体" w:cs="宋体"/>
          <w:color w:val="auto"/>
          <w:sz w:val="24"/>
          <w:szCs w:val="24"/>
        </w:rPr>
        <w:t>注：（1）全体评标委员会对投标人评分的算数平均值即为该投标人的最终评标得分（不得去评分项目的最高得分和最低得分），评分分值计算保留小数点后两位，小数点后第三位“四舍五入”。</w:t>
      </w:r>
    </w:p>
    <w:p>
      <w:pPr>
        <w:rPr>
          <w:color w:val="auto"/>
        </w:rPr>
      </w:pPr>
      <w:r>
        <w:rPr>
          <w:color w:val="auto"/>
        </w:rPr>
        <w:br w:type="page"/>
      </w:r>
    </w:p>
    <w:p>
      <w:pPr>
        <w:pStyle w:val="2"/>
        <w:numPr>
          <w:ilvl w:val="0"/>
          <w:numId w:val="4"/>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w:t>
      </w:r>
      <w:r>
        <w:rPr>
          <w:rFonts w:hint="eastAsia"/>
          <w:color w:val="auto"/>
          <w:sz w:val="24"/>
          <w:lang w:eastAsia="zh-CN"/>
        </w:rPr>
        <w:t>的项目内容及要求</w:t>
      </w:r>
      <w:r>
        <w:rPr>
          <w:color w:val="auto"/>
          <w:sz w:val="24"/>
        </w:rPr>
        <w:t>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（2）如不提供此表，则视为投标人不满足招标文第</w:t>
      </w:r>
      <w:r>
        <w:rPr>
          <w:rFonts w:hint="eastAsia"/>
          <w:color w:val="auto"/>
          <w:sz w:val="24"/>
          <w:lang w:val="en-US" w:eastAsia="zh-CN"/>
        </w:rPr>
        <w:t>二</w:t>
      </w:r>
      <w:r>
        <w:rPr>
          <w:color w:val="auto"/>
          <w:sz w:val="24"/>
        </w:rPr>
        <w:t>章件所有条款要求，其投标无效；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6"/>
        <w:rPr>
          <w:color w:val="auto"/>
        </w:rPr>
      </w:pPr>
    </w:p>
    <w:p>
      <w:pPr>
        <w:pStyle w:val="17"/>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7"/>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5"/>
        <w:rPr>
          <w:rFonts w:hint="eastAsia"/>
          <w:lang w:eastAsia="zh-CN"/>
        </w:rPr>
      </w:pPr>
    </w:p>
    <w:p>
      <w:pPr>
        <w:numPr>
          <w:ilvl w:val="0"/>
          <w:numId w:val="5"/>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abstractNum w:abstractNumId="4">
    <w:nsid w:val="1E6DDE31"/>
    <w:multiLevelType w:val="singleLevel"/>
    <w:tmpl w:val="1E6DDE31"/>
    <w:lvl w:ilvl="0" w:tentative="0">
      <w:start w:val="1"/>
      <w:numFmt w:val="chineseCounting"/>
      <w:suff w:val="space"/>
      <w:lvlText w:val="第%1条"/>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4B0B8A"/>
    <w:rsid w:val="06E91EC4"/>
    <w:rsid w:val="071C689B"/>
    <w:rsid w:val="0E331420"/>
    <w:rsid w:val="0E76169C"/>
    <w:rsid w:val="0EDD1643"/>
    <w:rsid w:val="12994AC5"/>
    <w:rsid w:val="16EB1D52"/>
    <w:rsid w:val="1AF56B46"/>
    <w:rsid w:val="1DE33A91"/>
    <w:rsid w:val="1FE73549"/>
    <w:rsid w:val="20B41DA7"/>
    <w:rsid w:val="20F751FF"/>
    <w:rsid w:val="22AB7B8A"/>
    <w:rsid w:val="245079B1"/>
    <w:rsid w:val="28E81B29"/>
    <w:rsid w:val="2C7642D0"/>
    <w:rsid w:val="2CB94AAA"/>
    <w:rsid w:val="2EAC037F"/>
    <w:rsid w:val="2EB67A5C"/>
    <w:rsid w:val="302741D2"/>
    <w:rsid w:val="308B184D"/>
    <w:rsid w:val="340F06E9"/>
    <w:rsid w:val="344405F2"/>
    <w:rsid w:val="3B3B544D"/>
    <w:rsid w:val="3B654F2B"/>
    <w:rsid w:val="3DF12CFC"/>
    <w:rsid w:val="429A4992"/>
    <w:rsid w:val="43B25DAC"/>
    <w:rsid w:val="46202E1C"/>
    <w:rsid w:val="4DCD6AB3"/>
    <w:rsid w:val="50540C20"/>
    <w:rsid w:val="51AC28BD"/>
    <w:rsid w:val="54023672"/>
    <w:rsid w:val="555B5FCF"/>
    <w:rsid w:val="611B6B1B"/>
    <w:rsid w:val="62695F9A"/>
    <w:rsid w:val="64133D6A"/>
    <w:rsid w:val="678E4F5D"/>
    <w:rsid w:val="6AE809B5"/>
    <w:rsid w:val="6D746521"/>
    <w:rsid w:val="6DE375E4"/>
    <w:rsid w:val="6DE534BC"/>
    <w:rsid w:val="71584067"/>
    <w:rsid w:val="71DC3C83"/>
    <w:rsid w:val="750117A8"/>
    <w:rsid w:val="76447599"/>
    <w:rsid w:val="7BBF44BB"/>
    <w:rsid w:val="7BF1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rPr>
  </w:style>
  <w:style w:type="paragraph" w:styleId="5">
    <w:name w:val="Body Text Indent"/>
    <w:basedOn w:val="1"/>
    <w:next w:val="6"/>
    <w:qFormat/>
    <w:uiPriority w:val="99"/>
    <w:pPr>
      <w:spacing w:line="400" w:lineRule="exact"/>
      <w:ind w:left="630"/>
    </w:pPr>
    <w:rPr>
      <w:rFonts w:ascii="楷体_GB2312"/>
      <w:sz w:val="30"/>
      <w:szCs w:val="30"/>
    </w:rPr>
  </w:style>
  <w:style w:type="paragraph" w:styleId="6">
    <w:name w:val="Body Text First Indent 2"/>
    <w:basedOn w:val="5"/>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customStyle="1" w:styleId="1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6"/>
    <w:qFormat/>
    <w:uiPriority w:val="0"/>
    <w:pPr>
      <w:jc w:val="center"/>
    </w:pPr>
    <w:rPr>
      <w:rFonts w:ascii="Arial" w:hAnsi="Arial" w:eastAsia="宋体"/>
      <w:b/>
      <w:sz w:val="28"/>
      <w:szCs w:val="24"/>
    </w:rPr>
  </w:style>
  <w:style w:type="paragraph" w:customStyle="1" w:styleId="15">
    <w:name w:val="列出段落1"/>
    <w:basedOn w:val="1"/>
    <w:qFormat/>
    <w:uiPriority w:val="99"/>
    <w:pPr>
      <w:ind w:firstLine="420" w:firstLineChars="200"/>
    </w:p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7618</Words>
  <Characters>7931</Characters>
  <Lines>0</Lines>
  <Paragraphs>0</Paragraphs>
  <TotalTime>0</TotalTime>
  <ScaleCrop>false</ScaleCrop>
  <LinksUpToDate>false</LinksUpToDate>
  <CharactersWithSpaces>8859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cp:lastPrinted>2023-08-11T00:38:00Z</cp:lastPrinted>
  <dcterms:modified xsi:type="dcterms:W3CDTF">2023-09-01T03:28:24Z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3505A2AB25E048A4A9B0E6A6741CA1BA_11</vt:lpwstr>
  </property>
</Properties>
</file>