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FF9F5">
      <w:pPr>
        <w:pStyle w:val="13"/>
        <w:snapToGrid w:val="0"/>
        <w:jc w:val="center"/>
        <w:rPr>
          <w:rFonts w:hint="eastAsia" w:ascii="Arial" w:hAnsi="Arial" w:eastAsia="方正小标宋简体" w:cs="Arial"/>
          <w:color w:val="auto"/>
          <w:sz w:val="72"/>
          <w:szCs w:val="72"/>
          <w:lang w:eastAsia="zh-CN"/>
        </w:rPr>
      </w:pPr>
      <w:bookmarkStart w:id="0" w:name="_Toc16523570"/>
    </w:p>
    <w:p w14:paraId="38648228">
      <w:pPr>
        <w:pStyle w:val="13"/>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14:paraId="573B70A2">
      <w:pPr>
        <w:pStyle w:val="13"/>
        <w:snapToGrid w:val="0"/>
        <w:jc w:val="center"/>
        <w:rPr>
          <w:rFonts w:ascii="Arial" w:hAnsi="Arial" w:eastAsia="方正小标宋简体" w:cs="Arial"/>
          <w:sz w:val="72"/>
          <w:szCs w:val="72"/>
        </w:rPr>
      </w:pPr>
    </w:p>
    <w:p w14:paraId="48AC3AC9">
      <w:pPr>
        <w:pStyle w:val="13"/>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14:paraId="2F41BA1F">
      <w:pPr>
        <w:pStyle w:val="13"/>
        <w:snapToGrid w:val="0"/>
        <w:jc w:val="center"/>
        <w:rPr>
          <w:rFonts w:ascii="Arial" w:hAnsi="Arial" w:eastAsia="方正小标宋简体" w:cs="Arial"/>
          <w:sz w:val="72"/>
          <w:szCs w:val="72"/>
        </w:rPr>
      </w:pPr>
    </w:p>
    <w:p w14:paraId="5AFE286C">
      <w:pPr>
        <w:pStyle w:val="13"/>
        <w:snapToGrid w:val="0"/>
        <w:jc w:val="center"/>
        <w:rPr>
          <w:rFonts w:ascii="Arial" w:hAnsi="Arial" w:eastAsia="方正小标宋简体" w:cs="Arial"/>
          <w:sz w:val="72"/>
          <w:szCs w:val="72"/>
        </w:rPr>
      </w:pPr>
      <w:r>
        <w:rPr>
          <w:rFonts w:ascii="Arial" w:hAnsi="Arial" w:eastAsia="方正小标宋简体" w:cs="Arial"/>
          <w:sz w:val="72"/>
          <w:szCs w:val="72"/>
        </w:rPr>
        <w:t>标</w:t>
      </w:r>
    </w:p>
    <w:p w14:paraId="65B9AA34">
      <w:pPr>
        <w:pStyle w:val="13"/>
        <w:snapToGrid w:val="0"/>
        <w:jc w:val="center"/>
        <w:rPr>
          <w:rFonts w:ascii="Arial" w:hAnsi="Arial" w:eastAsia="方正小标宋简体" w:cs="Arial"/>
          <w:sz w:val="72"/>
          <w:szCs w:val="72"/>
        </w:rPr>
      </w:pPr>
    </w:p>
    <w:p w14:paraId="705E1937">
      <w:pPr>
        <w:pStyle w:val="13"/>
        <w:snapToGrid w:val="0"/>
        <w:jc w:val="center"/>
        <w:rPr>
          <w:rFonts w:ascii="Arial" w:hAnsi="Arial" w:eastAsia="方正小标宋简体" w:cs="Arial"/>
          <w:sz w:val="72"/>
          <w:szCs w:val="72"/>
        </w:rPr>
      </w:pPr>
      <w:r>
        <w:rPr>
          <w:rFonts w:ascii="Arial" w:hAnsi="Arial" w:eastAsia="方正小标宋简体" w:cs="Arial"/>
          <w:sz w:val="72"/>
          <w:szCs w:val="72"/>
        </w:rPr>
        <w:t>文</w:t>
      </w:r>
    </w:p>
    <w:p w14:paraId="33ECBBA1">
      <w:pPr>
        <w:pStyle w:val="13"/>
        <w:snapToGrid w:val="0"/>
        <w:jc w:val="center"/>
        <w:rPr>
          <w:rFonts w:ascii="Arial" w:hAnsi="Arial" w:eastAsia="方正小标宋简体" w:cs="Arial"/>
          <w:sz w:val="72"/>
          <w:szCs w:val="72"/>
        </w:rPr>
      </w:pPr>
    </w:p>
    <w:p w14:paraId="7E5286DA">
      <w:pPr>
        <w:pStyle w:val="13"/>
        <w:snapToGrid w:val="0"/>
        <w:jc w:val="center"/>
        <w:rPr>
          <w:rFonts w:ascii="Arial" w:hAnsi="Arial" w:eastAsia="方正小标宋简体" w:cs="Arial"/>
          <w:sz w:val="36"/>
          <w:szCs w:val="36"/>
        </w:rPr>
      </w:pPr>
      <w:r>
        <w:rPr>
          <w:rFonts w:ascii="Arial" w:hAnsi="Arial" w:eastAsia="方正小标宋简体" w:cs="Arial"/>
          <w:sz w:val="72"/>
          <w:szCs w:val="72"/>
        </w:rPr>
        <w:t>件</w:t>
      </w:r>
    </w:p>
    <w:p w14:paraId="39A969AB">
      <w:pPr>
        <w:pStyle w:val="13"/>
        <w:snapToGrid w:val="0"/>
        <w:jc w:val="center"/>
        <w:rPr>
          <w:rFonts w:ascii="Arial" w:hAnsi="Arial" w:cs="Arial"/>
          <w:sz w:val="32"/>
          <w:szCs w:val="32"/>
        </w:rPr>
      </w:pPr>
    </w:p>
    <w:p w14:paraId="62F2469F">
      <w:pPr>
        <w:pStyle w:val="13"/>
        <w:snapToGrid w:val="0"/>
        <w:jc w:val="center"/>
        <w:rPr>
          <w:rFonts w:ascii="Arial" w:hAnsi="Arial" w:cs="Arial"/>
          <w:sz w:val="32"/>
          <w:szCs w:val="32"/>
        </w:rPr>
      </w:pPr>
    </w:p>
    <w:p w14:paraId="4BC89937">
      <w:pPr>
        <w:pStyle w:val="13"/>
        <w:snapToGrid w:val="0"/>
        <w:jc w:val="center"/>
        <w:rPr>
          <w:rFonts w:ascii="Arial" w:hAnsi="Arial" w:cs="Arial"/>
          <w:sz w:val="32"/>
          <w:szCs w:val="32"/>
        </w:rPr>
      </w:pPr>
    </w:p>
    <w:p w14:paraId="3869A1F9">
      <w:pPr>
        <w:spacing w:line="360" w:lineRule="auto"/>
        <w:rPr>
          <w:rFonts w:hint="eastAsia"/>
          <w:bCs/>
          <w:sz w:val="32"/>
          <w:szCs w:val="32"/>
        </w:rPr>
      </w:pPr>
    </w:p>
    <w:p w14:paraId="70E430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14:paraId="7CC6C844">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（尿动力学分析仪医院公开挂网</w:t>
      </w:r>
      <w:r>
        <w:rPr>
          <w:rFonts w:hint="eastAsia" w:ascii="Times New Roman" w:hAnsi="Times New Roman" w:eastAsia="宋体" w:cs="Times New Roman"/>
          <w:b/>
          <w:bCs/>
          <w:kern w:val="44"/>
          <w:sz w:val="32"/>
          <w:szCs w:val="32"/>
          <w:lang w:val="en-US" w:eastAsia="zh-CN" w:bidi="ar-SA"/>
        </w:rPr>
        <w:t>）</w:t>
      </w:r>
    </w:p>
    <w:p w14:paraId="4A443BAD">
      <w:pPr>
        <w:spacing w:line="320" w:lineRule="exact"/>
        <w:jc w:val="left"/>
        <w:rPr>
          <w:sz w:val="24"/>
        </w:rPr>
      </w:pPr>
    </w:p>
    <w:p w14:paraId="459DFE34">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十</w:t>
      </w:r>
      <w:bookmarkStart w:id="4" w:name="_GoBack"/>
      <w:bookmarkEnd w:id="4"/>
      <w:r>
        <w:rPr>
          <w:rFonts w:hint="eastAsia" w:ascii="宋体" w:hAnsi="宋体" w:cs="宋体"/>
          <w:bCs/>
          <w:sz w:val="32"/>
          <w:szCs w:val="32"/>
        </w:rPr>
        <w:t>月</w:t>
      </w:r>
    </w:p>
    <w:p w14:paraId="3DF298CF">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78BCE36">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尿动力学分析仪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7DFD7C9D">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0FCC5D9E">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尿动力学分析仪</w:t>
      </w:r>
      <w:r>
        <w:rPr>
          <w:rFonts w:hint="eastAsia" w:asciiTheme="minorEastAsia" w:hAnsiTheme="minorEastAsia" w:eastAsiaTheme="minorEastAsia" w:cstheme="minorEastAsia"/>
          <w:b w:val="0"/>
          <w:bCs/>
          <w:color w:val="auto"/>
          <w:sz w:val="24"/>
          <w:szCs w:val="24"/>
          <w:lang w:val="en-US" w:eastAsia="zh-CN"/>
        </w:rPr>
        <w:t>项目</w:t>
      </w:r>
    </w:p>
    <w:p w14:paraId="3276E07E">
      <w:pPr>
        <w:pStyle w:val="13"/>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49BC8245">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402B7625">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3DBB2980">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570B3804">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93EB20C">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09909680">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4F8B8C5A">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34CCEB7B">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C8CC2F9">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9BEBEE6">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43A6D269">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7A57AA98">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14:paraId="47957F6C">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14:paraId="5E9D5EE3">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D403F60">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14:paraId="414FFAFB">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09F85A01">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01894323">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2A027E2E">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14:paraId="59CBD39C">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468F37FE">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5F33EC6D">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67A01F63">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14:paraId="0E3F68E5">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14:paraId="3AAF1B83">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2B96893A">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2118BD0D">
      <w:pPr>
        <w:pStyle w:val="14"/>
        <w:rPr>
          <w:rFonts w:hint="eastAsia"/>
          <w:lang w:val="en-US" w:eastAsia="zh-CN"/>
        </w:rPr>
      </w:pPr>
    </w:p>
    <w:p w14:paraId="5F32D497">
      <w:pPr>
        <w:pStyle w:val="14"/>
        <w:jc w:val="both"/>
        <w:rPr>
          <w:rFonts w:hint="default"/>
          <w:lang w:val="en-US" w:eastAsia="zh-CN"/>
        </w:rPr>
      </w:pPr>
    </w:p>
    <w:p w14:paraId="635E3C4F">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33CDC084">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31C0F474">
      <w:pPr>
        <w:pStyle w:val="14"/>
        <w:rPr>
          <w:rFonts w:hint="eastAsia" w:ascii="宋体" w:hAnsi="宋体" w:cs="宋体"/>
          <w:b/>
          <w:bCs/>
          <w:color w:val="auto"/>
          <w:sz w:val="44"/>
          <w:szCs w:val="44"/>
          <w:lang w:val="en-US" w:eastAsia="zh-CN"/>
        </w:rPr>
      </w:pPr>
    </w:p>
    <w:p w14:paraId="07F2E394">
      <w:pPr>
        <w:pStyle w:val="8"/>
        <w:rPr>
          <w:rFonts w:hint="eastAsia" w:ascii="宋体" w:hAnsi="宋体" w:cs="宋体"/>
          <w:b/>
          <w:bCs/>
          <w:color w:val="auto"/>
          <w:sz w:val="44"/>
          <w:szCs w:val="44"/>
          <w:lang w:val="en-US" w:eastAsia="zh-CN"/>
        </w:rPr>
      </w:pPr>
    </w:p>
    <w:p w14:paraId="434F5413">
      <w:pPr>
        <w:rPr>
          <w:rFonts w:hint="eastAsia" w:ascii="宋体" w:hAnsi="宋体" w:cs="宋体"/>
          <w:b/>
          <w:bCs/>
          <w:color w:val="auto"/>
          <w:sz w:val="44"/>
          <w:szCs w:val="44"/>
          <w:lang w:val="en-US" w:eastAsia="zh-CN"/>
        </w:rPr>
      </w:pPr>
    </w:p>
    <w:p w14:paraId="68FA8AD2">
      <w:pPr>
        <w:pStyle w:val="12"/>
        <w:rPr>
          <w:rFonts w:hint="eastAsia"/>
          <w:lang w:val="en-US" w:eastAsia="zh-CN"/>
        </w:rPr>
      </w:pPr>
    </w:p>
    <w:p w14:paraId="34ED3F8C">
      <w:pPr>
        <w:pStyle w:val="2"/>
        <w:rPr>
          <w:rFonts w:hint="eastAsia" w:ascii="宋体" w:hAnsi="宋体" w:cs="宋体"/>
          <w:b/>
          <w:bCs/>
          <w:color w:val="auto"/>
          <w:sz w:val="44"/>
          <w:szCs w:val="44"/>
          <w:lang w:val="en-US" w:eastAsia="zh-CN"/>
        </w:rPr>
      </w:pPr>
    </w:p>
    <w:p w14:paraId="54DFEABB">
      <w:pPr>
        <w:rPr>
          <w:rFonts w:hint="eastAsia" w:ascii="宋体" w:hAnsi="宋体" w:cs="宋体"/>
          <w:b/>
          <w:bCs/>
          <w:color w:val="auto"/>
          <w:sz w:val="44"/>
          <w:szCs w:val="44"/>
          <w:lang w:val="en-US" w:eastAsia="zh-CN"/>
        </w:rPr>
      </w:pPr>
    </w:p>
    <w:p w14:paraId="5E2865C9">
      <w:pPr>
        <w:rPr>
          <w:rFonts w:hint="eastAsia" w:ascii="宋体" w:hAnsi="宋体" w:cs="宋体"/>
          <w:b/>
          <w:bCs/>
          <w:color w:val="auto"/>
          <w:sz w:val="44"/>
          <w:szCs w:val="44"/>
          <w:lang w:val="en-US" w:eastAsia="zh-CN"/>
        </w:rPr>
      </w:pPr>
    </w:p>
    <w:p w14:paraId="14722D58">
      <w:pPr>
        <w:rPr>
          <w:rFonts w:hint="eastAsia"/>
          <w:lang w:val="en-US" w:eastAsia="zh-CN"/>
        </w:rPr>
      </w:pPr>
    </w:p>
    <w:p w14:paraId="2ED97A37">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47BE2FE1">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9B06BC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4EA4F4D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F9C0B55">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1F42EB5">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FF4BAB8">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15B0447">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85CA7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52361B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88937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419E1A">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尿动力学分析仪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189DD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CEB9E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22.65</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790B5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14:paraId="30E2BBD6">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5314F96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45526A5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6775EB3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05CE981F">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53011DCA">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1、符合GB 9706.1-2020医用电气 设备 第1部分：基本安全和基本性能的通用要求（提供检测报告)。</w:t>
      </w:r>
    </w:p>
    <w:p w14:paraId="273D3980">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2、全中文操作界面，测量参数符合ICS标准。</w:t>
      </w:r>
    </w:p>
    <w:p w14:paraId="485D2291">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3、灌注模式分推注与旋转蠕压两种模式。</w:t>
      </w:r>
    </w:p>
    <w:p w14:paraId="37AFDBE4">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4、无极变速推注技术，真正实现恒流灌注，彻底解决尿道压测量中的灌注泵干扰问题，</w:t>
      </w:r>
    </w:p>
    <w:p w14:paraId="4B983197">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   提高检测精度。</w:t>
      </w:r>
    </w:p>
    <w:p w14:paraId="589E24F9">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5、双模式软件（A和B模式），可自由切换（提供注册证）。</w:t>
      </w:r>
    </w:p>
    <w:p w14:paraId="6E4338C0">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6、压力测定范围: -2.45kPa～+19.61kPa(-25cmH2o～+200cmH2o),误差≤2％。</w:t>
      </w:r>
    </w:p>
    <w:p w14:paraId="2AE6B110">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7、尿流率：</w:t>
      </w:r>
    </w:p>
    <w:p w14:paraId="5FA4F96D">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   排尿量测定范围: 0mL～1000mL，误差≤1％；</w:t>
      </w:r>
    </w:p>
    <w:p w14:paraId="7C2CD10C">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   排尿时间测定范围: 0s～240s，误差≤1％；</w:t>
      </w:r>
    </w:p>
    <w:p w14:paraId="5D743803">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   尿流率测定范围: 0～50mL/s，误差≤2％；</w:t>
      </w:r>
    </w:p>
    <w:p w14:paraId="5131025B">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8、牵引机：</w:t>
      </w:r>
    </w:p>
    <w:p w14:paraId="4E765B0D">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   牵引速度：分为 0.5mm/s、1.0mm/s、2.0mm/s、4.0mm/s四档，误差≤2%；</w:t>
      </w:r>
    </w:p>
    <w:p w14:paraId="17E4CB2F">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   牵引长度：≥280mm。</w:t>
      </w:r>
    </w:p>
    <w:p w14:paraId="5064984B">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9、灌注泵：</w:t>
      </w:r>
    </w:p>
    <w:p w14:paraId="7A4B2BDC">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   灌注率设定范围，分为两档：</w:t>
      </w:r>
    </w:p>
    <w:p w14:paraId="235DF926">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   2mL/min～10mL/min   </w:t>
      </w:r>
    </w:p>
    <w:p w14:paraId="3EDFFBF8">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   10mL/min～80mL/min </w:t>
      </w:r>
    </w:p>
    <w:p w14:paraId="2AC94A81">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   灌注率误差：2mL/min～80mL/min时：误差≤2％。</w:t>
      </w:r>
    </w:p>
    <w:p w14:paraId="234AA944">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10、推注泵：</w:t>
      </w:r>
    </w:p>
    <w:p w14:paraId="55956F6D">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   推注率设定范围：2mL/min～5mL/min 误差≤2％。</w:t>
      </w:r>
    </w:p>
    <w:p w14:paraId="3FC28741">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11、EMG单元：</w:t>
      </w:r>
    </w:p>
    <w:p w14:paraId="0427005D">
      <w:pPr>
        <w:numPr>
          <w:ilvl w:val="0"/>
          <w:numId w:val="0"/>
        </w:numPr>
        <w:spacing w:line="360" w:lineRule="auto"/>
        <w:ind w:firstLine="960" w:firstLineChars="4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测量信号幅度范围: 20µV～1000µV；</w:t>
      </w:r>
    </w:p>
    <w:p w14:paraId="5AC01AF5">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   频率范围：通频带不窄于20Hz～500Hz(-3dB),不包括限波波段；</w:t>
      </w:r>
    </w:p>
    <w:p w14:paraId="7C6F0711">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   共模抑制比（CMRR）：≥100dB；</w:t>
      </w:r>
    </w:p>
    <w:p w14:paraId="2F2C6B05">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   差模输入阻抗:  ≥5MΩ；</w:t>
      </w:r>
    </w:p>
    <w:p w14:paraId="32E12EF2">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12、检测项目：尿流率测定；充盈期膀胱功能测定；同步测定；尿道功能测定；压力/流率分析；膀胱顺应性分析；漏尿点分析。</w:t>
      </w:r>
    </w:p>
    <w:p w14:paraId="2AC35622">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13、展示曲线：腹压曲线；尿流率曲线；排尿量曲线；膀胱压力曲线；膀胱逼尿肌压力曲</w:t>
      </w:r>
    </w:p>
    <w:p w14:paraId="3E029560">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    线；尿道压力曲线；尿道闭合压力曲线；肌电图。</w:t>
      </w:r>
    </w:p>
    <w:p w14:paraId="782F01AC">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14、尿道测压导管与主机同一品牌(9F、6F)，提供单独的注册证。</w:t>
      </w:r>
    </w:p>
    <w:p w14:paraId="759F8794">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15、直肠测压导管与主机同一品牌，提供单独的注册证。</w:t>
      </w:r>
    </w:p>
    <w:p w14:paraId="003DEDDB">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16、在检查病人时，可同时出病历报告。</w:t>
      </w:r>
    </w:p>
    <w:p w14:paraId="21EBAD5D">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17、无线蓝牙控制。</w:t>
      </w:r>
    </w:p>
    <w:p w14:paraId="3AF60C0E">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18、配尿流量监测仪</w:t>
      </w:r>
    </w:p>
    <w:p w14:paraId="62D6B6C1">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18.1排尿量范围：0mL～1000mL，误差: ≤±1%；</w:t>
      </w:r>
    </w:p>
    <w:p w14:paraId="1D014EAF">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18.2排尿时间范围：范围： 0s～300s，误差:  ≤±5%；</w:t>
      </w:r>
    </w:p>
    <w:p w14:paraId="248AEF34">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18.3排尿等待时间：≤300s；</w:t>
      </w:r>
    </w:p>
    <w:p w14:paraId="3389322C">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18.4尿流率范围：0 mL/s～50mL/s，误差:≤±1.5 mL/s</w:t>
      </w:r>
    </w:p>
    <w:p w14:paraId="5B82C081">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18.5测定仪应有以下功能：</w:t>
      </w:r>
    </w:p>
    <w:p w14:paraId="281B505F">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18.5.1自动计算尿流率数据：排尿量、排尿时间、排尿等待时间、尿流时间、达到尿量10％时间、达到尿量95％时间、平均尿流率、最大尿流率、2秒尿流率以及最大尿流率时间十个参数；</w:t>
      </w:r>
    </w:p>
    <w:p w14:paraId="706A2745">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18.5.2自动打印尿流率曲线和上述十个参数的中英文病历报告； </w:t>
      </w:r>
    </w:p>
    <w:p w14:paraId="63A48DB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bidi="ar-SA"/>
        </w:rPr>
        <w:t>（五）耗材限价：</w:t>
      </w:r>
      <w:r>
        <w:rPr>
          <w:rFonts w:hint="eastAsia" w:ascii="宋体" w:hAnsi="宋体" w:cs="宋体"/>
          <w:color w:val="auto"/>
          <w:sz w:val="24"/>
          <w:szCs w:val="24"/>
          <w:lang w:val="en-US" w:eastAsia="zh-CN"/>
        </w:rPr>
        <w:t>不得高于下表限价，具体价格由评审委员会负责现场谈判</w:t>
      </w:r>
    </w:p>
    <w:p w14:paraId="0EA79F8B">
      <w:pPr>
        <w:numPr>
          <w:ilvl w:val="0"/>
          <w:numId w:val="0"/>
        </w:numPr>
        <w:spacing w:line="360" w:lineRule="auto"/>
        <w:rPr>
          <w:rFonts w:hint="eastAsia" w:asciiTheme="minorEastAsia" w:hAnsiTheme="minorEastAsia" w:eastAsiaTheme="minorEastAsia" w:cstheme="minorEastAsia"/>
          <w:bCs/>
          <w:color w:val="auto"/>
          <w:kern w:val="0"/>
          <w:sz w:val="24"/>
          <w:szCs w:val="24"/>
          <w:lang w:val="en-US" w:eastAsia="zh-CN" w:bidi="ar-SA"/>
        </w:rPr>
      </w:pPr>
    </w:p>
    <w:tbl>
      <w:tblPr>
        <w:tblStyle w:val="9"/>
        <w:tblW w:w="72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03"/>
        <w:gridCol w:w="5118"/>
      </w:tblGrid>
      <w:tr w14:paraId="75D13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6511">
            <w:pPr>
              <w:numPr>
                <w:ilvl w:val="0"/>
                <w:numId w:val="0"/>
              </w:numPr>
              <w:spacing w:line="360" w:lineRule="auto"/>
              <w:jc w:val="center"/>
              <w:rPr>
                <w:rFonts w:hint="eastAsia"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产品名称</w:t>
            </w:r>
          </w:p>
        </w:tc>
        <w:tc>
          <w:tcPr>
            <w:tcW w:w="5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1659">
            <w:pPr>
              <w:numPr>
                <w:ilvl w:val="0"/>
                <w:numId w:val="0"/>
              </w:numPr>
              <w:spacing w:line="360" w:lineRule="auto"/>
              <w:jc w:val="center"/>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最高限价</w:t>
            </w:r>
          </w:p>
        </w:tc>
      </w:tr>
      <w:tr w14:paraId="14AEF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FF91">
            <w:pPr>
              <w:numPr>
                <w:ilvl w:val="0"/>
                <w:numId w:val="0"/>
              </w:numPr>
              <w:spacing w:line="360" w:lineRule="auto"/>
              <w:jc w:val="center"/>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尿道测压导管</w:t>
            </w:r>
          </w:p>
        </w:tc>
        <w:tc>
          <w:tcPr>
            <w:tcW w:w="5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8E0E">
            <w:pPr>
              <w:numPr>
                <w:ilvl w:val="0"/>
                <w:numId w:val="0"/>
              </w:numPr>
              <w:spacing w:line="360" w:lineRule="auto"/>
              <w:ind w:firstLine="480" w:firstLineChars="200"/>
              <w:jc w:val="center"/>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小于等于224元/根，且≤（省平台中标价×70%）</w:t>
            </w:r>
          </w:p>
        </w:tc>
      </w:tr>
      <w:tr w14:paraId="79C6E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A771">
            <w:pPr>
              <w:numPr>
                <w:ilvl w:val="0"/>
                <w:numId w:val="0"/>
              </w:numPr>
              <w:spacing w:line="360" w:lineRule="auto"/>
              <w:jc w:val="center"/>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直肠测压导管</w:t>
            </w:r>
          </w:p>
        </w:tc>
        <w:tc>
          <w:tcPr>
            <w:tcW w:w="5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BB36">
            <w:pPr>
              <w:numPr>
                <w:ilvl w:val="0"/>
                <w:numId w:val="0"/>
              </w:numPr>
              <w:spacing w:line="360" w:lineRule="auto"/>
              <w:ind w:firstLine="480" w:firstLineChars="200"/>
              <w:jc w:val="center"/>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小于等于224元/根，且≤（省平台中标价×70%）</w:t>
            </w:r>
          </w:p>
        </w:tc>
      </w:tr>
      <w:tr w14:paraId="7394C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EFDE">
            <w:pPr>
              <w:numPr>
                <w:ilvl w:val="0"/>
                <w:numId w:val="0"/>
              </w:numPr>
              <w:spacing w:line="360" w:lineRule="auto"/>
              <w:jc w:val="center"/>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尿动力测压管连接套装</w:t>
            </w:r>
          </w:p>
        </w:tc>
        <w:tc>
          <w:tcPr>
            <w:tcW w:w="5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A6F0">
            <w:pPr>
              <w:numPr>
                <w:ilvl w:val="0"/>
                <w:numId w:val="0"/>
              </w:numPr>
              <w:spacing w:line="360" w:lineRule="auto"/>
              <w:ind w:firstLine="480" w:firstLineChars="200"/>
              <w:jc w:val="center"/>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小于等于336元/根，且≤（省平台中标价×70%）</w:t>
            </w:r>
          </w:p>
        </w:tc>
      </w:tr>
    </w:tbl>
    <w:p w14:paraId="17F7E5C8">
      <w:pPr>
        <w:numPr>
          <w:ilvl w:val="0"/>
          <w:numId w:val="0"/>
        </w:numPr>
        <w:spacing w:line="360" w:lineRule="auto"/>
        <w:rPr>
          <w:rFonts w:hint="default" w:asciiTheme="minorEastAsia" w:hAnsiTheme="minorEastAsia" w:eastAsiaTheme="minorEastAsia" w:cstheme="minorEastAsia"/>
          <w:bCs/>
          <w:color w:val="auto"/>
          <w:kern w:val="0"/>
          <w:sz w:val="24"/>
          <w:szCs w:val="24"/>
          <w:lang w:val="en-US" w:eastAsia="zh-CN" w:bidi="ar-SA"/>
        </w:rPr>
      </w:pPr>
    </w:p>
    <w:p w14:paraId="78075D5F">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tbl>
      <w:tblPr>
        <w:tblStyle w:val="9"/>
        <w:tblW w:w="0" w:type="auto"/>
        <w:tblInd w:w="0" w:type="dxa"/>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3119"/>
      </w:tblGrid>
      <w:tr w14:paraId="09DF1625">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5353" w:type="dxa"/>
            <w:noWrap w:val="0"/>
            <w:vAlign w:val="center"/>
          </w:tcPr>
          <w:p w14:paraId="31747EEA">
            <w:pPr>
              <w:keepNext w:val="0"/>
              <w:keepLines w:val="0"/>
              <w:pageBreakBefore w:val="0"/>
              <w:widowControl/>
              <w:kinsoku/>
              <w:wordWrap/>
              <w:autoSpaceDE/>
              <w:autoSpaceDN/>
              <w:snapToGrid/>
              <w:spacing w:before="0" w:beforeLines="0" w:beforeAutospacing="0" w:after="0" w:afterLines="0" w:afterAutospacing="0" w:line="240" w:lineRule="auto"/>
              <w:ind w:left="525" w:leftChars="250" w:right="0" w:firstLine="0" w:firstLineChars="0"/>
              <w:jc w:val="left"/>
              <w:textAlignment w:val="baseline"/>
              <w:outlineLvl w:val="9"/>
              <w:rPr>
                <w:rFonts w:hint="eastAsia" w:ascii="宋体" w:hAnsi="宋体" w:eastAsia="宋体"/>
                <w:b/>
                <w:color w:val="auto"/>
                <w:sz w:val="21"/>
                <w:highlight w:val="none"/>
              </w:rPr>
            </w:pPr>
            <w:r>
              <w:rPr>
                <w:rFonts w:hint="eastAsia" w:ascii="宋体" w:hAnsi="宋体"/>
                <w:b/>
                <w:color w:val="auto"/>
                <w:sz w:val="21"/>
                <w:highlight w:val="none"/>
                <w:lang w:val="en-US" w:eastAsia="zh-CN"/>
              </w:rPr>
              <w:t>1</w:t>
            </w:r>
            <w:r>
              <w:rPr>
                <w:rFonts w:hint="eastAsia" w:ascii="宋体" w:hAnsi="宋体" w:eastAsia="宋体"/>
                <w:b/>
                <w:color w:val="auto"/>
                <w:sz w:val="21"/>
                <w:highlight w:val="none"/>
              </w:rPr>
              <w:t>、控制台</w:t>
            </w:r>
          </w:p>
        </w:tc>
        <w:tc>
          <w:tcPr>
            <w:tcW w:w="3119" w:type="dxa"/>
            <w:noWrap w:val="0"/>
            <w:vAlign w:val="center"/>
          </w:tcPr>
          <w:p w14:paraId="4ECEF6D9">
            <w:pPr>
              <w:keepNext w:val="0"/>
              <w:keepLines w:val="0"/>
              <w:pageBreakBefore w:val="0"/>
              <w:widowControl/>
              <w:kinsoku/>
              <w:wordWrap/>
              <w:autoSpaceDE/>
              <w:autoSpaceDN/>
              <w:snapToGrid/>
              <w:spacing w:before="0" w:beforeLines="0" w:beforeAutospacing="0" w:after="0" w:afterLines="0" w:afterAutospacing="0" w:line="240" w:lineRule="auto"/>
              <w:ind w:left="0" w:leftChars="0" w:right="0" w:firstLine="0" w:firstLineChars="0"/>
              <w:jc w:val="center"/>
              <w:textAlignment w:val="baseline"/>
              <w:outlineLvl w:val="9"/>
              <w:rPr>
                <w:rFonts w:hint="eastAsia" w:ascii="宋体" w:hAnsi="宋体" w:eastAsia="宋体"/>
                <w:color w:val="auto"/>
                <w:sz w:val="21"/>
                <w:highlight w:val="none"/>
              </w:rPr>
            </w:pPr>
            <w:r>
              <w:rPr>
                <w:rFonts w:hint="eastAsia" w:ascii="宋体" w:hAnsi="宋体" w:eastAsia="宋体"/>
                <w:color w:val="auto"/>
                <w:sz w:val="21"/>
                <w:highlight w:val="none"/>
              </w:rPr>
              <w:t>一  台</w:t>
            </w:r>
          </w:p>
        </w:tc>
      </w:tr>
      <w:tr w14:paraId="5800C3BF">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5353" w:type="dxa"/>
            <w:noWrap w:val="0"/>
            <w:vAlign w:val="center"/>
          </w:tcPr>
          <w:p w14:paraId="275448D9">
            <w:pPr>
              <w:keepNext w:val="0"/>
              <w:keepLines w:val="0"/>
              <w:pageBreakBefore w:val="0"/>
              <w:widowControl/>
              <w:kinsoku/>
              <w:wordWrap/>
              <w:autoSpaceDE/>
              <w:autoSpaceDN/>
              <w:snapToGrid/>
              <w:spacing w:before="0" w:beforeLines="0" w:beforeAutospacing="0" w:after="0" w:afterLines="0" w:afterAutospacing="0" w:line="240" w:lineRule="auto"/>
              <w:ind w:left="525" w:leftChars="250" w:right="0" w:firstLine="0" w:firstLineChars="0"/>
              <w:jc w:val="left"/>
              <w:textAlignment w:val="baseline"/>
              <w:outlineLvl w:val="9"/>
              <w:rPr>
                <w:rFonts w:hint="eastAsia" w:ascii="宋体" w:hAnsi="宋体" w:eastAsia="宋体"/>
                <w:b/>
                <w:color w:val="auto"/>
                <w:sz w:val="21"/>
                <w:highlight w:val="none"/>
              </w:rPr>
            </w:pPr>
            <w:r>
              <w:rPr>
                <w:rFonts w:hint="eastAsia" w:ascii="宋体" w:hAnsi="宋体"/>
                <w:b/>
                <w:color w:val="auto"/>
                <w:sz w:val="21"/>
                <w:highlight w:val="none"/>
                <w:lang w:val="en-US" w:eastAsia="zh-CN"/>
              </w:rPr>
              <w:t>2</w:t>
            </w:r>
            <w:r>
              <w:rPr>
                <w:rFonts w:hint="eastAsia" w:ascii="宋体" w:hAnsi="宋体" w:eastAsia="宋体"/>
                <w:b/>
                <w:color w:val="auto"/>
                <w:sz w:val="21"/>
                <w:highlight w:val="none"/>
              </w:rPr>
              <w:t>、液晶显示器</w:t>
            </w:r>
          </w:p>
        </w:tc>
        <w:tc>
          <w:tcPr>
            <w:tcW w:w="3119" w:type="dxa"/>
            <w:noWrap w:val="0"/>
            <w:vAlign w:val="center"/>
          </w:tcPr>
          <w:p w14:paraId="574528E7">
            <w:pPr>
              <w:keepNext w:val="0"/>
              <w:keepLines w:val="0"/>
              <w:pageBreakBefore w:val="0"/>
              <w:widowControl/>
              <w:kinsoku/>
              <w:wordWrap/>
              <w:autoSpaceDE/>
              <w:autoSpaceDN/>
              <w:snapToGrid/>
              <w:spacing w:before="0" w:beforeLines="0" w:beforeAutospacing="0" w:after="0" w:afterLines="0" w:afterAutospacing="0" w:line="240" w:lineRule="auto"/>
              <w:ind w:left="0" w:leftChars="0" w:right="0" w:firstLine="0" w:firstLineChars="0"/>
              <w:jc w:val="center"/>
              <w:textAlignment w:val="baseline"/>
              <w:outlineLvl w:val="9"/>
              <w:rPr>
                <w:rFonts w:hint="eastAsia" w:ascii="宋体" w:hAnsi="宋体" w:eastAsia="宋体"/>
                <w:color w:val="auto"/>
                <w:sz w:val="21"/>
                <w:highlight w:val="none"/>
              </w:rPr>
            </w:pPr>
            <w:r>
              <w:rPr>
                <w:rFonts w:hint="eastAsia" w:ascii="宋体" w:hAnsi="宋体" w:eastAsia="宋体"/>
                <w:color w:val="auto"/>
                <w:sz w:val="21"/>
                <w:highlight w:val="none"/>
              </w:rPr>
              <w:t>一  台</w:t>
            </w:r>
          </w:p>
        </w:tc>
      </w:tr>
      <w:tr w14:paraId="528AFD24">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5353" w:type="dxa"/>
            <w:noWrap w:val="0"/>
            <w:vAlign w:val="center"/>
          </w:tcPr>
          <w:p w14:paraId="1E691D2C">
            <w:pPr>
              <w:keepNext w:val="0"/>
              <w:keepLines w:val="0"/>
              <w:pageBreakBefore w:val="0"/>
              <w:widowControl/>
              <w:kinsoku/>
              <w:wordWrap/>
              <w:autoSpaceDE/>
              <w:autoSpaceDN/>
              <w:snapToGrid/>
              <w:spacing w:before="0" w:beforeLines="0" w:beforeAutospacing="0" w:after="0" w:afterLines="0" w:afterAutospacing="0" w:line="240" w:lineRule="auto"/>
              <w:ind w:left="525" w:leftChars="250" w:right="0" w:firstLine="0" w:firstLineChars="0"/>
              <w:jc w:val="left"/>
              <w:textAlignment w:val="baseline"/>
              <w:outlineLvl w:val="9"/>
              <w:rPr>
                <w:rFonts w:hint="eastAsia" w:ascii="宋体" w:hAnsi="宋体" w:eastAsia="宋体"/>
                <w:b/>
                <w:color w:val="auto"/>
                <w:sz w:val="21"/>
                <w:highlight w:val="none"/>
              </w:rPr>
            </w:pPr>
            <w:r>
              <w:rPr>
                <w:rFonts w:hint="eastAsia" w:ascii="宋体" w:hAnsi="宋体"/>
                <w:b/>
                <w:color w:val="auto"/>
                <w:sz w:val="21"/>
                <w:highlight w:val="none"/>
                <w:lang w:val="en-US" w:eastAsia="zh-CN"/>
              </w:rPr>
              <w:t>3</w:t>
            </w:r>
            <w:r>
              <w:rPr>
                <w:rFonts w:hint="eastAsia" w:ascii="宋体" w:hAnsi="宋体" w:eastAsia="宋体"/>
                <w:b/>
                <w:color w:val="auto"/>
                <w:sz w:val="21"/>
                <w:highlight w:val="none"/>
              </w:rPr>
              <w:t>、打印机</w:t>
            </w:r>
          </w:p>
        </w:tc>
        <w:tc>
          <w:tcPr>
            <w:tcW w:w="3119" w:type="dxa"/>
            <w:noWrap w:val="0"/>
            <w:vAlign w:val="center"/>
          </w:tcPr>
          <w:p w14:paraId="2455EAAE">
            <w:pPr>
              <w:keepNext w:val="0"/>
              <w:keepLines w:val="0"/>
              <w:pageBreakBefore w:val="0"/>
              <w:widowControl/>
              <w:kinsoku/>
              <w:wordWrap/>
              <w:autoSpaceDE/>
              <w:autoSpaceDN/>
              <w:snapToGrid/>
              <w:spacing w:before="0" w:beforeLines="0" w:beforeAutospacing="0" w:after="0" w:afterLines="0" w:afterAutospacing="0" w:line="240" w:lineRule="auto"/>
              <w:ind w:left="0" w:leftChars="0" w:right="0" w:firstLine="0" w:firstLineChars="0"/>
              <w:jc w:val="center"/>
              <w:textAlignment w:val="baseline"/>
              <w:outlineLvl w:val="9"/>
              <w:rPr>
                <w:rFonts w:hint="eastAsia" w:ascii="宋体" w:hAnsi="宋体" w:eastAsia="宋体"/>
                <w:color w:val="auto"/>
                <w:sz w:val="21"/>
                <w:highlight w:val="none"/>
              </w:rPr>
            </w:pPr>
            <w:r>
              <w:rPr>
                <w:rFonts w:hint="eastAsia" w:ascii="宋体" w:hAnsi="宋体" w:eastAsia="宋体"/>
                <w:color w:val="auto"/>
                <w:sz w:val="21"/>
                <w:highlight w:val="none"/>
              </w:rPr>
              <w:t>一  台</w:t>
            </w:r>
          </w:p>
        </w:tc>
      </w:tr>
      <w:tr w14:paraId="1864EFF9">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5353" w:type="dxa"/>
            <w:noWrap w:val="0"/>
            <w:vAlign w:val="center"/>
          </w:tcPr>
          <w:p w14:paraId="5BA2DD59">
            <w:pPr>
              <w:keepNext w:val="0"/>
              <w:keepLines w:val="0"/>
              <w:pageBreakBefore w:val="0"/>
              <w:widowControl/>
              <w:kinsoku/>
              <w:wordWrap/>
              <w:autoSpaceDE/>
              <w:autoSpaceDN/>
              <w:snapToGrid/>
              <w:spacing w:before="0" w:beforeLines="0" w:beforeAutospacing="0" w:after="0" w:afterLines="0" w:afterAutospacing="0" w:line="240" w:lineRule="auto"/>
              <w:ind w:left="525" w:leftChars="250" w:right="0" w:firstLine="0" w:firstLineChars="0"/>
              <w:jc w:val="left"/>
              <w:textAlignment w:val="baseline"/>
              <w:outlineLvl w:val="9"/>
              <w:rPr>
                <w:rFonts w:hint="eastAsia" w:ascii="宋体" w:hAnsi="宋体" w:eastAsia="宋体"/>
                <w:b/>
                <w:color w:val="auto"/>
                <w:sz w:val="21"/>
                <w:highlight w:val="none"/>
              </w:rPr>
            </w:pPr>
            <w:r>
              <w:rPr>
                <w:rFonts w:hint="eastAsia" w:ascii="宋体" w:hAnsi="宋体"/>
                <w:b/>
                <w:color w:val="auto"/>
                <w:sz w:val="21"/>
                <w:highlight w:val="none"/>
                <w:lang w:val="en-US" w:eastAsia="zh-CN"/>
              </w:rPr>
              <w:t>4</w:t>
            </w:r>
            <w:r>
              <w:rPr>
                <w:rFonts w:hint="eastAsia" w:ascii="宋体" w:hAnsi="宋体" w:eastAsia="宋体"/>
                <w:b/>
                <w:color w:val="auto"/>
                <w:sz w:val="21"/>
                <w:highlight w:val="none"/>
              </w:rPr>
              <w:t>、</w:t>
            </w:r>
            <w:r>
              <w:rPr>
                <w:rFonts w:hint="eastAsia" w:ascii="宋体" w:hAnsi="宋体" w:eastAsia="宋体"/>
                <w:b/>
                <w:color w:val="auto"/>
                <w:sz w:val="21"/>
                <w:highlight w:val="none"/>
                <w:lang w:eastAsia="zh-CN"/>
              </w:rPr>
              <w:t>主机</w:t>
            </w:r>
          </w:p>
        </w:tc>
        <w:tc>
          <w:tcPr>
            <w:tcW w:w="3119" w:type="dxa"/>
            <w:noWrap w:val="0"/>
            <w:vAlign w:val="center"/>
          </w:tcPr>
          <w:p w14:paraId="78C9A292">
            <w:pPr>
              <w:keepNext w:val="0"/>
              <w:keepLines w:val="0"/>
              <w:pageBreakBefore w:val="0"/>
              <w:widowControl/>
              <w:kinsoku/>
              <w:wordWrap/>
              <w:autoSpaceDE/>
              <w:autoSpaceDN/>
              <w:snapToGrid/>
              <w:spacing w:before="0" w:beforeLines="0" w:beforeAutospacing="0" w:after="0" w:afterLines="0" w:afterAutospacing="0" w:line="240" w:lineRule="auto"/>
              <w:ind w:left="0" w:leftChars="0" w:right="0" w:firstLine="0" w:firstLineChars="0"/>
              <w:jc w:val="center"/>
              <w:textAlignment w:val="baseline"/>
              <w:outlineLvl w:val="9"/>
              <w:rPr>
                <w:rFonts w:hint="eastAsia" w:ascii="宋体" w:hAnsi="宋体" w:eastAsia="宋体"/>
                <w:color w:val="auto"/>
                <w:sz w:val="21"/>
                <w:highlight w:val="none"/>
              </w:rPr>
            </w:pPr>
            <w:r>
              <w:rPr>
                <w:rFonts w:hint="eastAsia" w:ascii="宋体" w:hAnsi="宋体" w:eastAsia="宋体"/>
                <w:color w:val="auto"/>
                <w:sz w:val="21"/>
                <w:highlight w:val="none"/>
              </w:rPr>
              <w:t>一  台</w:t>
            </w:r>
          </w:p>
        </w:tc>
      </w:tr>
      <w:tr w14:paraId="324DCDA2">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5353" w:type="dxa"/>
            <w:noWrap w:val="0"/>
            <w:vAlign w:val="center"/>
          </w:tcPr>
          <w:p w14:paraId="6D6656D7">
            <w:pPr>
              <w:keepNext w:val="0"/>
              <w:keepLines w:val="0"/>
              <w:pageBreakBefore w:val="0"/>
              <w:widowControl/>
              <w:kinsoku/>
              <w:wordWrap/>
              <w:autoSpaceDE/>
              <w:autoSpaceDN/>
              <w:snapToGrid/>
              <w:spacing w:before="0" w:beforeLines="0" w:beforeAutospacing="0" w:after="0" w:afterLines="0" w:afterAutospacing="0" w:line="240" w:lineRule="auto"/>
              <w:ind w:left="735" w:leftChars="350" w:right="0" w:firstLine="0" w:firstLineChars="0"/>
              <w:jc w:val="left"/>
              <w:textAlignment w:val="baseline"/>
              <w:outlineLvl w:val="9"/>
              <w:rPr>
                <w:rFonts w:hint="eastAsia" w:ascii="宋体" w:hAnsi="宋体" w:eastAsia="宋体"/>
                <w:color w:val="auto"/>
                <w:sz w:val="21"/>
                <w:highlight w:val="none"/>
                <w:lang w:val="en-US" w:eastAsia="zh-CN"/>
              </w:rPr>
            </w:pPr>
            <w:r>
              <w:rPr>
                <w:rFonts w:hint="eastAsia" w:ascii="宋体" w:hAnsi="宋体"/>
                <w:color w:val="auto"/>
                <w:sz w:val="21"/>
                <w:highlight w:val="none"/>
                <w:lang w:val="en-US" w:eastAsia="zh-CN"/>
              </w:rPr>
              <w:t>4.</w:t>
            </w:r>
            <w:r>
              <w:rPr>
                <w:rFonts w:hint="eastAsia" w:ascii="宋体" w:hAnsi="宋体" w:eastAsia="宋体"/>
                <w:color w:val="auto"/>
                <w:sz w:val="21"/>
                <w:highlight w:val="none"/>
                <w:lang w:val="en-US" w:eastAsia="zh-CN"/>
              </w:rPr>
              <w:t>1、无线蓝牙传输系统</w:t>
            </w:r>
          </w:p>
        </w:tc>
        <w:tc>
          <w:tcPr>
            <w:tcW w:w="3119" w:type="dxa"/>
            <w:noWrap w:val="0"/>
            <w:vAlign w:val="center"/>
          </w:tcPr>
          <w:p w14:paraId="05762EFC">
            <w:pPr>
              <w:keepNext w:val="0"/>
              <w:keepLines w:val="0"/>
              <w:pageBreakBefore w:val="0"/>
              <w:widowControl/>
              <w:kinsoku/>
              <w:wordWrap/>
              <w:autoSpaceDE/>
              <w:autoSpaceDN/>
              <w:snapToGrid/>
              <w:spacing w:before="0" w:beforeLines="0" w:beforeAutospacing="0" w:after="0" w:afterLines="0" w:afterAutospacing="0" w:line="240" w:lineRule="auto"/>
              <w:ind w:left="0" w:leftChars="0" w:right="0" w:firstLine="0" w:firstLineChars="0"/>
              <w:jc w:val="center"/>
              <w:textAlignment w:val="baseline"/>
              <w:outlineLvl w:val="9"/>
              <w:rPr>
                <w:rFonts w:hint="eastAsia" w:ascii="宋体" w:hAnsi="宋体" w:eastAsia="宋体"/>
                <w:color w:val="auto"/>
                <w:sz w:val="21"/>
                <w:highlight w:val="none"/>
                <w:lang w:eastAsia="zh-CN"/>
              </w:rPr>
            </w:pPr>
            <w:r>
              <w:rPr>
                <w:rFonts w:hint="eastAsia" w:ascii="宋体" w:hAnsi="宋体" w:eastAsia="宋体"/>
                <w:color w:val="auto"/>
                <w:sz w:val="21"/>
                <w:highlight w:val="none"/>
                <w:lang w:eastAsia="zh-CN"/>
              </w:rPr>
              <w:t>一</w:t>
            </w:r>
            <w:r>
              <w:rPr>
                <w:rFonts w:hint="eastAsia" w:ascii="宋体" w:hAnsi="宋体" w:eastAsia="宋体"/>
                <w:color w:val="auto"/>
                <w:sz w:val="21"/>
                <w:highlight w:val="none"/>
                <w:lang w:val="en-US" w:eastAsia="zh-CN"/>
              </w:rPr>
              <w:t xml:space="preserve">  </w:t>
            </w:r>
            <w:r>
              <w:rPr>
                <w:rFonts w:hint="eastAsia" w:ascii="宋体" w:hAnsi="宋体" w:eastAsia="宋体"/>
                <w:color w:val="auto"/>
                <w:sz w:val="21"/>
                <w:highlight w:val="none"/>
                <w:lang w:eastAsia="zh-CN"/>
              </w:rPr>
              <w:t>套</w:t>
            </w:r>
          </w:p>
        </w:tc>
      </w:tr>
      <w:tr w14:paraId="1DF26164">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5353" w:type="dxa"/>
            <w:noWrap w:val="0"/>
            <w:vAlign w:val="center"/>
          </w:tcPr>
          <w:p w14:paraId="730EAA24">
            <w:pPr>
              <w:keepNext w:val="0"/>
              <w:keepLines w:val="0"/>
              <w:pageBreakBefore w:val="0"/>
              <w:widowControl/>
              <w:kinsoku/>
              <w:wordWrap/>
              <w:autoSpaceDE/>
              <w:autoSpaceDN/>
              <w:snapToGrid/>
              <w:spacing w:before="0" w:beforeLines="0" w:beforeAutospacing="0" w:after="0" w:afterLines="0" w:afterAutospacing="0" w:line="240" w:lineRule="auto"/>
              <w:ind w:left="735" w:leftChars="350" w:right="0" w:firstLine="0" w:firstLineChars="0"/>
              <w:jc w:val="left"/>
              <w:textAlignment w:val="baseline"/>
              <w:outlineLvl w:val="9"/>
              <w:rPr>
                <w:rFonts w:hint="eastAsia" w:ascii="宋体" w:hAnsi="宋体" w:eastAsia="宋体"/>
                <w:color w:val="auto"/>
                <w:sz w:val="21"/>
                <w:highlight w:val="none"/>
                <w:lang w:val="en-US" w:eastAsia="zh-CN"/>
              </w:rPr>
            </w:pPr>
            <w:r>
              <w:rPr>
                <w:rFonts w:hint="eastAsia" w:ascii="宋体" w:hAnsi="宋体"/>
                <w:color w:val="auto"/>
                <w:sz w:val="21"/>
                <w:highlight w:val="none"/>
                <w:lang w:val="en-US" w:eastAsia="zh-CN"/>
              </w:rPr>
              <w:t>4.</w:t>
            </w:r>
            <w:r>
              <w:rPr>
                <w:rFonts w:hint="eastAsia" w:ascii="宋体" w:hAnsi="宋体" w:eastAsia="宋体"/>
                <w:color w:val="auto"/>
                <w:sz w:val="21"/>
                <w:highlight w:val="none"/>
                <w:lang w:val="en-US" w:eastAsia="zh-CN"/>
              </w:rPr>
              <w:t>2、推注泵</w:t>
            </w:r>
          </w:p>
        </w:tc>
        <w:tc>
          <w:tcPr>
            <w:tcW w:w="3119" w:type="dxa"/>
            <w:noWrap w:val="0"/>
            <w:vAlign w:val="center"/>
          </w:tcPr>
          <w:p w14:paraId="4AAA04DC">
            <w:pPr>
              <w:keepNext w:val="0"/>
              <w:keepLines w:val="0"/>
              <w:pageBreakBefore w:val="0"/>
              <w:widowControl/>
              <w:kinsoku/>
              <w:wordWrap/>
              <w:autoSpaceDE/>
              <w:autoSpaceDN/>
              <w:snapToGrid/>
              <w:spacing w:before="0" w:beforeLines="0" w:beforeAutospacing="0" w:after="0" w:afterLines="0" w:afterAutospacing="0" w:line="240" w:lineRule="auto"/>
              <w:ind w:left="0" w:leftChars="0" w:right="0" w:firstLine="0" w:firstLineChars="0"/>
              <w:jc w:val="center"/>
              <w:textAlignment w:val="baseline"/>
              <w:outlineLvl w:val="9"/>
              <w:rPr>
                <w:rFonts w:hint="eastAsia" w:ascii="宋体" w:hAnsi="宋体" w:eastAsia="宋体"/>
                <w:color w:val="auto"/>
                <w:sz w:val="21"/>
                <w:highlight w:val="none"/>
                <w:lang w:eastAsia="zh-CN"/>
              </w:rPr>
            </w:pPr>
            <w:r>
              <w:rPr>
                <w:rFonts w:hint="eastAsia" w:ascii="宋体" w:hAnsi="宋体" w:eastAsia="宋体"/>
                <w:color w:val="auto"/>
                <w:sz w:val="21"/>
                <w:highlight w:val="none"/>
                <w:lang w:eastAsia="zh-CN"/>
              </w:rPr>
              <w:t>一</w:t>
            </w:r>
            <w:r>
              <w:rPr>
                <w:rFonts w:hint="eastAsia" w:ascii="宋体" w:hAnsi="宋体" w:eastAsia="宋体"/>
                <w:color w:val="auto"/>
                <w:sz w:val="21"/>
                <w:highlight w:val="none"/>
                <w:lang w:val="en-US" w:eastAsia="zh-CN"/>
              </w:rPr>
              <w:t xml:space="preserve">  </w:t>
            </w:r>
            <w:r>
              <w:rPr>
                <w:rFonts w:hint="eastAsia" w:ascii="宋体" w:hAnsi="宋体" w:eastAsia="宋体"/>
                <w:color w:val="auto"/>
                <w:sz w:val="21"/>
                <w:highlight w:val="none"/>
                <w:lang w:eastAsia="zh-CN"/>
              </w:rPr>
              <w:t>套</w:t>
            </w:r>
          </w:p>
        </w:tc>
      </w:tr>
      <w:tr w14:paraId="2D07C1B0">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5353" w:type="dxa"/>
            <w:noWrap w:val="0"/>
            <w:vAlign w:val="center"/>
          </w:tcPr>
          <w:p w14:paraId="2D3D4EBD">
            <w:pPr>
              <w:keepNext w:val="0"/>
              <w:keepLines w:val="0"/>
              <w:pageBreakBefore w:val="0"/>
              <w:widowControl/>
              <w:kinsoku/>
              <w:wordWrap/>
              <w:autoSpaceDE/>
              <w:autoSpaceDN/>
              <w:snapToGrid/>
              <w:spacing w:before="0" w:beforeLines="0" w:beforeAutospacing="0" w:after="0" w:afterLines="0" w:afterAutospacing="0" w:line="240" w:lineRule="auto"/>
              <w:ind w:left="735" w:leftChars="350" w:right="0" w:firstLine="0" w:firstLineChars="0"/>
              <w:jc w:val="left"/>
              <w:textAlignment w:val="baseline"/>
              <w:outlineLvl w:val="9"/>
              <w:rPr>
                <w:rFonts w:hint="eastAsia" w:ascii="宋体" w:hAnsi="宋体" w:eastAsia="宋体"/>
                <w:color w:val="auto"/>
                <w:sz w:val="21"/>
                <w:highlight w:val="none"/>
                <w:lang w:val="en-US" w:eastAsia="zh-CN"/>
              </w:rPr>
            </w:pPr>
            <w:r>
              <w:rPr>
                <w:rFonts w:hint="eastAsia" w:ascii="宋体" w:hAnsi="宋体"/>
                <w:color w:val="auto"/>
                <w:sz w:val="21"/>
                <w:highlight w:val="none"/>
                <w:lang w:val="en-US" w:eastAsia="zh-CN"/>
              </w:rPr>
              <w:t>4.</w:t>
            </w:r>
            <w:r>
              <w:rPr>
                <w:rFonts w:hint="eastAsia" w:ascii="宋体" w:hAnsi="宋体" w:eastAsia="宋体"/>
                <w:color w:val="auto"/>
                <w:sz w:val="21"/>
                <w:highlight w:val="none"/>
                <w:lang w:val="en-US" w:eastAsia="zh-CN"/>
              </w:rPr>
              <w:t>3、灌注泵</w:t>
            </w:r>
          </w:p>
        </w:tc>
        <w:tc>
          <w:tcPr>
            <w:tcW w:w="3119" w:type="dxa"/>
            <w:noWrap w:val="0"/>
            <w:vAlign w:val="center"/>
          </w:tcPr>
          <w:p w14:paraId="1D1E147E">
            <w:pPr>
              <w:keepNext w:val="0"/>
              <w:keepLines w:val="0"/>
              <w:pageBreakBefore w:val="0"/>
              <w:widowControl/>
              <w:kinsoku/>
              <w:wordWrap/>
              <w:autoSpaceDE/>
              <w:autoSpaceDN/>
              <w:snapToGrid/>
              <w:spacing w:before="0" w:beforeLines="0" w:beforeAutospacing="0" w:after="0" w:afterLines="0" w:afterAutospacing="0" w:line="240" w:lineRule="auto"/>
              <w:ind w:left="0" w:leftChars="0" w:right="0" w:firstLine="0" w:firstLineChars="0"/>
              <w:jc w:val="center"/>
              <w:textAlignment w:val="baseline"/>
              <w:outlineLvl w:val="9"/>
              <w:rPr>
                <w:rFonts w:hint="eastAsia" w:ascii="宋体" w:hAnsi="宋体" w:eastAsia="宋体"/>
                <w:color w:val="auto"/>
                <w:sz w:val="21"/>
                <w:highlight w:val="none"/>
                <w:lang w:eastAsia="zh-CN"/>
              </w:rPr>
            </w:pPr>
            <w:r>
              <w:rPr>
                <w:rFonts w:hint="eastAsia" w:ascii="宋体" w:hAnsi="宋体" w:eastAsia="宋体"/>
                <w:color w:val="auto"/>
                <w:sz w:val="21"/>
                <w:highlight w:val="none"/>
                <w:lang w:eastAsia="zh-CN"/>
              </w:rPr>
              <w:t>一</w:t>
            </w:r>
            <w:r>
              <w:rPr>
                <w:rFonts w:hint="eastAsia" w:ascii="宋体" w:hAnsi="宋体" w:eastAsia="宋体"/>
                <w:color w:val="auto"/>
                <w:sz w:val="21"/>
                <w:highlight w:val="none"/>
                <w:lang w:val="en-US" w:eastAsia="zh-CN"/>
              </w:rPr>
              <w:t xml:space="preserve">  </w:t>
            </w:r>
            <w:r>
              <w:rPr>
                <w:rFonts w:hint="eastAsia" w:ascii="宋体" w:hAnsi="宋体" w:eastAsia="宋体"/>
                <w:color w:val="auto"/>
                <w:sz w:val="21"/>
                <w:highlight w:val="none"/>
                <w:lang w:eastAsia="zh-CN"/>
              </w:rPr>
              <w:t>套</w:t>
            </w:r>
          </w:p>
        </w:tc>
      </w:tr>
      <w:tr w14:paraId="7BC9099B">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5353" w:type="dxa"/>
            <w:noWrap w:val="0"/>
            <w:vAlign w:val="center"/>
          </w:tcPr>
          <w:p w14:paraId="2866C0F1">
            <w:pPr>
              <w:keepNext w:val="0"/>
              <w:keepLines w:val="0"/>
              <w:pageBreakBefore w:val="0"/>
              <w:widowControl/>
              <w:kinsoku/>
              <w:wordWrap/>
              <w:autoSpaceDE/>
              <w:autoSpaceDN/>
              <w:snapToGrid/>
              <w:spacing w:before="0" w:beforeLines="0" w:beforeAutospacing="0" w:after="0" w:afterLines="0" w:afterAutospacing="0" w:line="240" w:lineRule="auto"/>
              <w:ind w:left="735" w:leftChars="350" w:right="0" w:firstLine="0" w:firstLineChars="0"/>
              <w:jc w:val="left"/>
              <w:textAlignment w:val="baseline"/>
              <w:outlineLvl w:val="9"/>
              <w:rPr>
                <w:rFonts w:hint="eastAsia" w:ascii="宋体" w:hAnsi="宋体" w:eastAsia="宋体"/>
                <w:color w:val="auto"/>
                <w:sz w:val="21"/>
                <w:highlight w:val="none"/>
                <w:lang w:val="en-US" w:eastAsia="zh-CN"/>
              </w:rPr>
            </w:pPr>
            <w:r>
              <w:rPr>
                <w:rFonts w:hint="eastAsia" w:ascii="宋体" w:hAnsi="宋体"/>
                <w:color w:val="auto"/>
                <w:sz w:val="21"/>
                <w:highlight w:val="none"/>
                <w:lang w:val="en-US" w:eastAsia="zh-CN"/>
              </w:rPr>
              <w:t>4.</w:t>
            </w:r>
            <w:r>
              <w:rPr>
                <w:rFonts w:hint="eastAsia" w:ascii="宋体" w:hAnsi="宋体" w:eastAsia="宋体"/>
                <w:color w:val="auto"/>
                <w:sz w:val="21"/>
                <w:highlight w:val="none"/>
                <w:lang w:val="en-US" w:eastAsia="zh-CN"/>
              </w:rPr>
              <w:t>4、压力单元</w:t>
            </w:r>
          </w:p>
        </w:tc>
        <w:tc>
          <w:tcPr>
            <w:tcW w:w="3119" w:type="dxa"/>
            <w:noWrap w:val="0"/>
            <w:vAlign w:val="center"/>
          </w:tcPr>
          <w:p w14:paraId="12CA6AE3">
            <w:pPr>
              <w:keepNext w:val="0"/>
              <w:keepLines w:val="0"/>
              <w:pageBreakBefore w:val="0"/>
              <w:widowControl/>
              <w:kinsoku/>
              <w:wordWrap/>
              <w:autoSpaceDE/>
              <w:autoSpaceDN/>
              <w:snapToGrid/>
              <w:spacing w:before="0" w:beforeLines="0" w:beforeAutospacing="0" w:after="0" w:afterLines="0" w:afterAutospacing="0" w:line="240" w:lineRule="auto"/>
              <w:ind w:left="0" w:leftChars="0" w:right="0" w:firstLine="0" w:firstLineChars="0"/>
              <w:jc w:val="center"/>
              <w:textAlignment w:val="baseline"/>
              <w:outlineLvl w:val="9"/>
              <w:rPr>
                <w:rFonts w:hint="eastAsia" w:ascii="宋体" w:hAnsi="宋体" w:eastAsia="宋体"/>
                <w:color w:val="auto"/>
                <w:sz w:val="21"/>
                <w:highlight w:val="none"/>
                <w:lang w:eastAsia="zh-CN"/>
              </w:rPr>
            </w:pPr>
            <w:r>
              <w:rPr>
                <w:rFonts w:hint="eastAsia" w:ascii="宋体" w:hAnsi="宋体" w:eastAsia="宋体"/>
                <w:color w:val="auto"/>
                <w:sz w:val="21"/>
                <w:highlight w:val="none"/>
                <w:lang w:eastAsia="zh-CN"/>
              </w:rPr>
              <w:t>三</w:t>
            </w:r>
            <w:r>
              <w:rPr>
                <w:rFonts w:hint="eastAsia" w:ascii="宋体" w:hAnsi="宋体" w:eastAsia="宋体"/>
                <w:color w:val="auto"/>
                <w:sz w:val="21"/>
                <w:highlight w:val="none"/>
                <w:lang w:val="en-US" w:eastAsia="zh-CN"/>
              </w:rPr>
              <w:t xml:space="preserve"> </w:t>
            </w:r>
            <w:r>
              <w:rPr>
                <w:rFonts w:hint="eastAsia" w:eastAsia="宋体"/>
                <w:color w:val="auto"/>
                <w:sz w:val="21"/>
                <w:highlight w:val="none"/>
                <w:lang w:val="en-US" w:eastAsia="zh-CN"/>
              </w:rPr>
              <w:t xml:space="preserve"> </w:t>
            </w:r>
            <w:r>
              <w:rPr>
                <w:rFonts w:hint="eastAsia" w:ascii="宋体" w:hAnsi="宋体" w:eastAsia="宋体"/>
                <w:color w:val="auto"/>
                <w:sz w:val="21"/>
                <w:highlight w:val="none"/>
                <w:lang w:val="en-US" w:eastAsia="zh-CN"/>
              </w:rPr>
              <w:t>个</w:t>
            </w:r>
          </w:p>
        </w:tc>
      </w:tr>
      <w:tr w14:paraId="34D4DB69">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5353" w:type="dxa"/>
            <w:noWrap w:val="0"/>
            <w:vAlign w:val="center"/>
          </w:tcPr>
          <w:p w14:paraId="38C6B1B9">
            <w:pPr>
              <w:keepNext w:val="0"/>
              <w:keepLines w:val="0"/>
              <w:pageBreakBefore w:val="0"/>
              <w:widowControl/>
              <w:kinsoku/>
              <w:wordWrap/>
              <w:autoSpaceDE/>
              <w:autoSpaceDN/>
              <w:snapToGrid/>
              <w:spacing w:before="0" w:beforeLines="0" w:beforeAutospacing="0" w:after="0" w:afterLines="0" w:afterAutospacing="0" w:line="240" w:lineRule="auto"/>
              <w:ind w:left="735" w:leftChars="350" w:right="0" w:firstLine="0" w:firstLineChars="0"/>
              <w:jc w:val="left"/>
              <w:textAlignment w:val="baseline"/>
              <w:outlineLvl w:val="9"/>
              <w:rPr>
                <w:rFonts w:hint="eastAsia" w:ascii="宋体" w:hAnsi="宋体" w:eastAsia="宋体"/>
                <w:color w:val="auto"/>
                <w:sz w:val="21"/>
                <w:highlight w:val="none"/>
                <w:lang w:val="en-US" w:eastAsia="zh-CN"/>
              </w:rPr>
            </w:pPr>
            <w:r>
              <w:rPr>
                <w:rFonts w:hint="eastAsia" w:ascii="宋体" w:hAnsi="宋体"/>
                <w:color w:val="auto"/>
                <w:sz w:val="21"/>
                <w:highlight w:val="none"/>
                <w:lang w:val="en-US" w:eastAsia="zh-CN"/>
              </w:rPr>
              <w:t>4.</w:t>
            </w:r>
            <w:r>
              <w:rPr>
                <w:rFonts w:hint="eastAsia" w:ascii="宋体" w:hAnsi="宋体" w:eastAsia="宋体"/>
                <w:color w:val="auto"/>
                <w:sz w:val="21"/>
                <w:highlight w:val="none"/>
                <w:lang w:val="en-US" w:eastAsia="zh-CN"/>
              </w:rPr>
              <w:t>5、</w:t>
            </w:r>
            <w:r>
              <w:rPr>
                <w:rFonts w:hint="default" w:ascii="Times New Roman" w:hAnsi="Times New Roman" w:eastAsia="宋体"/>
                <w:color w:val="auto"/>
                <w:sz w:val="21"/>
                <w:highlight w:val="none"/>
                <w:lang w:val="en-US" w:eastAsia="zh-CN"/>
              </w:rPr>
              <w:t>EMG</w:t>
            </w:r>
            <w:r>
              <w:rPr>
                <w:rFonts w:hint="eastAsia" w:ascii="宋体" w:hAnsi="宋体" w:eastAsia="宋体"/>
                <w:color w:val="auto"/>
                <w:sz w:val="21"/>
                <w:highlight w:val="none"/>
                <w:lang w:val="en-US" w:eastAsia="zh-CN"/>
              </w:rPr>
              <w:t>单元</w:t>
            </w:r>
          </w:p>
        </w:tc>
        <w:tc>
          <w:tcPr>
            <w:tcW w:w="3119" w:type="dxa"/>
            <w:noWrap w:val="0"/>
            <w:vAlign w:val="center"/>
          </w:tcPr>
          <w:p w14:paraId="3C3ADA80">
            <w:pPr>
              <w:keepNext w:val="0"/>
              <w:keepLines w:val="0"/>
              <w:pageBreakBefore w:val="0"/>
              <w:widowControl/>
              <w:kinsoku/>
              <w:wordWrap/>
              <w:autoSpaceDE/>
              <w:autoSpaceDN/>
              <w:snapToGrid/>
              <w:spacing w:before="0" w:beforeLines="0" w:beforeAutospacing="0" w:after="0" w:afterLines="0" w:afterAutospacing="0" w:line="240" w:lineRule="auto"/>
              <w:ind w:left="0" w:leftChars="0" w:right="0" w:firstLine="0" w:firstLineChars="0"/>
              <w:jc w:val="center"/>
              <w:textAlignment w:val="baseline"/>
              <w:outlineLvl w:val="9"/>
              <w:rPr>
                <w:rFonts w:hint="eastAsia" w:ascii="宋体" w:hAnsi="宋体" w:eastAsia="宋体"/>
                <w:color w:val="auto"/>
                <w:sz w:val="21"/>
                <w:highlight w:val="none"/>
                <w:lang w:eastAsia="zh-CN"/>
              </w:rPr>
            </w:pPr>
            <w:r>
              <w:rPr>
                <w:rFonts w:hint="eastAsia" w:ascii="宋体" w:hAnsi="宋体" w:eastAsia="宋体"/>
                <w:color w:val="auto"/>
                <w:sz w:val="21"/>
                <w:highlight w:val="none"/>
                <w:lang w:eastAsia="zh-CN"/>
              </w:rPr>
              <w:t>一</w:t>
            </w:r>
            <w:r>
              <w:rPr>
                <w:rFonts w:hint="eastAsia" w:ascii="宋体" w:hAnsi="宋体" w:eastAsia="宋体"/>
                <w:color w:val="auto"/>
                <w:sz w:val="21"/>
                <w:highlight w:val="none"/>
                <w:lang w:val="en-US" w:eastAsia="zh-CN"/>
              </w:rPr>
              <w:t xml:space="preserve">  </w:t>
            </w:r>
            <w:r>
              <w:rPr>
                <w:rFonts w:hint="eastAsia" w:ascii="宋体" w:hAnsi="宋体" w:eastAsia="宋体"/>
                <w:color w:val="auto"/>
                <w:sz w:val="21"/>
                <w:highlight w:val="none"/>
                <w:lang w:eastAsia="zh-CN"/>
              </w:rPr>
              <w:t>个</w:t>
            </w:r>
          </w:p>
        </w:tc>
      </w:tr>
      <w:tr w14:paraId="48113D5A">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5353" w:type="dxa"/>
            <w:noWrap w:val="0"/>
            <w:vAlign w:val="center"/>
          </w:tcPr>
          <w:p w14:paraId="18F64909">
            <w:pPr>
              <w:keepNext w:val="0"/>
              <w:keepLines w:val="0"/>
              <w:pageBreakBefore w:val="0"/>
              <w:widowControl/>
              <w:kinsoku/>
              <w:wordWrap/>
              <w:autoSpaceDE/>
              <w:autoSpaceDN/>
              <w:snapToGrid/>
              <w:spacing w:before="0" w:beforeLines="0" w:beforeAutospacing="0" w:after="0" w:afterLines="0" w:afterAutospacing="0" w:line="240" w:lineRule="auto"/>
              <w:ind w:left="735" w:leftChars="350" w:right="0" w:firstLine="0" w:firstLineChars="0"/>
              <w:jc w:val="left"/>
              <w:textAlignment w:val="baseline"/>
              <w:outlineLvl w:val="9"/>
              <w:rPr>
                <w:rFonts w:hint="eastAsia" w:ascii="宋体" w:hAnsi="宋体" w:eastAsia="宋体"/>
                <w:color w:val="auto"/>
                <w:sz w:val="21"/>
                <w:highlight w:val="none"/>
                <w:lang w:val="en-US" w:eastAsia="zh-CN"/>
              </w:rPr>
            </w:pPr>
            <w:r>
              <w:rPr>
                <w:rFonts w:hint="eastAsia"/>
                <w:color w:val="auto"/>
                <w:sz w:val="21"/>
                <w:highlight w:val="none"/>
                <w:lang w:val="en-US" w:eastAsia="zh-CN"/>
              </w:rPr>
              <w:t>4.</w:t>
            </w:r>
            <w:r>
              <w:rPr>
                <w:rFonts w:hint="eastAsia" w:eastAsia="宋体"/>
                <w:color w:val="auto"/>
                <w:sz w:val="21"/>
                <w:highlight w:val="none"/>
                <w:lang w:eastAsia="zh-CN"/>
              </w:rPr>
              <w:t>6、</w:t>
            </w:r>
            <w:r>
              <w:rPr>
                <w:rFonts w:hint="eastAsia" w:ascii="宋体" w:hAnsi="宋体" w:eastAsia="宋体"/>
                <w:color w:val="auto"/>
                <w:sz w:val="21"/>
                <w:highlight w:val="none"/>
              </w:rPr>
              <w:t>牵引</w:t>
            </w:r>
            <w:r>
              <w:rPr>
                <w:rFonts w:hint="eastAsia" w:ascii="宋体" w:hAnsi="宋体" w:eastAsia="宋体"/>
                <w:color w:val="auto"/>
                <w:sz w:val="21"/>
                <w:highlight w:val="none"/>
                <w:lang w:eastAsia="zh-CN"/>
              </w:rPr>
              <w:t>机</w:t>
            </w:r>
          </w:p>
        </w:tc>
        <w:tc>
          <w:tcPr>
            <w:tcW w:w="3119" w:type="dxa"/>
            <w:noWrap w:val="0"/>
            <w:vAlign w:val="center"/>
          </w:tcPr>
          <w:p w14:paraId="0A7E372D">
            <w:pPr>
              <w:keepNext w:val="0"/>
              <w:keepLines w:val="0"/>
              <w:pageBreakBefore w:val="0"/>
              <w:widowControl/>
              <w:kinsoku/>
              <w:wordWrap/>
              <w:autoSpaceDE/>
              <w:autoSpaceDN/>
              <w:snapToGrid/>
              <w:spacing w:before="0" w:beforeLines="0" w:beforeAutospacing="0" w:after="0" w:afterLines="0" w:afterAutospacing="0" w:line="240" w:lineRule="auto"/>
              <w:ind w:left="0" w:leftChars="0" w:right="0" w:firstLine="0" w:firstLineChars="0"/>
              <w:jc w:val="center"/>
              <w:textAlignment w:val="baseline"/>
              <w:outlineLvl w:val="9"/>
              <w:rPr>
                <w:rFonts w:hint="eastAsia" w:ascii="宋体" w:hAnsi="宋体" w:eastAsia="宋体"/>
                <w:color w:val="auto"/>
                <w:sz w:val="21"/>
                <w:highlight w:val="none"/>
                <w:lang w:eastAsia="zh-CN"/>
              </w:rPr>
            </w:pPr>
            <w:r>
              <w:rPr>
                <w:rFonts w:hint="eastAsia" w:ascii="宋体" w:hAnsi="宋体" w:eastAsia="宋体"/>
                <w:color w:val="auto"/>
                <w:sz w:val="21"/>
                <w:highlight w:val="none"/>
                <w:lang w:eastAsia="zh-CN"/>
              </w:rPr>
              <w:t>一</w:t>
            </w:r>
            <w:r>
              <w:rPr>
                <w:rFonts w:hint="eastAsia" w:ascii="宋体" w:hAnsi="宋体" w:eastAsia="宋体"/>
                <w:color w:val="auto"/>
                <w:sz w:val="21"/>
                <w:highlight w:val="none"/>
                <w:lang w:val="en-US" w:eastAsia="zh-CN"/>
              </w:rPr>
              <w:t xml:space="preserve">  </w:t>
            </w:r>
            <w:r>
              <w:rPr>
                <w:rFonts w:hint="eastAsia" w:ascii="宋体" w:hAnsi="宋体" w:eastAsia="宋体"/>
                <w:color w:val="auto"/>
                <w:sz w:val="21"/>
                <w:highlight w:val="none"/>
                <w:lang w:eastAsia="zh-CN"/>
              </w:rPr>
              <w:t>套</w:t>
            </w:r>
          </w:p>
        </w:tc>
      </w:tr>
      <w:tr w14:paraId="394A6A68">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5353" w:type="dxa"/>
            <w:noWrap w:val="0"/>
            <w:vAlign w:val="center"/>
          </w:tcPr>
          <w:p w14:paraId="5D80BF83">
            <w:pPr>
              <w:keepNext w:val="0"/>
              <w:keepLines w:val="0"/>
              <w:pageBreakBefore w:val="0"/>
              <w:widowControl/>
              <w:kinsoku/>
              <w:wordWrap/>
              <w:autoSpaceDE/>
              <w:autoSpaceDN/>
              <w:snapToGrid/>
              <w:spacing w:before="0" w:beforeLines="0" w:beforeAutospacing="0" w:after="0" w:afterLines="0" w:afterAutospacing="0" w:line="240" w:lineRule="auto"/>
              <w:ind w:left="525" w:leftChars="250" w:right="0" w:firstLine="0" w:firstLineChars="0"/>
              <w:jc w:val="left"/>
              <w:textAlignment w:val="baseline"/>
              <w:outlineLvl w:val="9"/>
              <w:rPr>
                <w:rFonts w:hint="eastAsia" w:ascii="宋体" w:hAnsi="宋体" w:eastAsia="宋体"/>
                <w:color w:val="auto"/>
                <w:sz w:val="21"/>
                <w:highlight w:val="none"/>
                <w:lang w:val="en-US" w:eastAsia="zh-CN"/>
              </w:rPr>
            </w:pPr>
            <w:r>
              <w:rPr>
                <w:rFonts w:hint="eastAsia"/>
                <w:b/>
                <w:color w:val="auto"/>
                <w:sz w:val="21"/>
                <w:highlight w:val="none"/>
                <w:lang w:val="en-US" w:eastAsia="zh-CN"/>
              </w:rPr>
              <w:t>5</w:t>
            </w:r>
            <w:r>
              <w:rPr>
                <w:rFonts w:hint="eastAsia" w:ascii="宋体" w:hAnsi="宋体" w:eastAsia="宋体"/>
                <w:b/>
                <w:color w:val="auto"/>
                <w:sz w:val="21"/>
                <w:highlight w:val="none"/>
              </w:rPr>
              <w:t>、</w:t>
            </w:r>
            <w:r>
              <w:rPr>
                <w:rFonts w:hint="eastAsia" w:ascii="宋体" w:hAnsi="宋体" w:eastAsia="宋体"/>
                <w:b/>
                <w:color w:val="auto"/>
                <w:sz w:val="21"/>
                <w:highlight w:val="none"/>
                <w:lang w:val="en-US" w:eastAsia="zh-CN"/>
              </w:rPr>
              <w:t>尿流率测定单元</w:t>
            </w:r>
          </w:p>
        </w:tc>
        <w:tc>
          <w:tcPr>
            <w:tcW w:w="3119" w:type="dxa"/>
            <w:noWrap w:val="0"/>
            <w:vAlign w:val="center"/>
          </w:tcPr>
          <w:p w14:paraId="6C3AEAD7">
            <w:pPr>
              <w:keepNext w:val="0"/>
              <w:keepLines w:val="0"/>
              <w:pageBreakBefore w:val="0"/>
              <w:widowControl/>
              <w:kinsoku/>
              <w:wordWrap/>
              <w:autoSpaceDE/>
              <w:autoSpaceDN/>
              <w:snapToGrid/>
              <w:spacing w:before="0" w:beforeLines="0" w:beforeAutospacing="0" w:after="0" w:afterLines="0" w:afterAutospacing="0" w:line="240" w:lineRule="auto"/>
              <w:ind w:left="0" w:leftChars="0" w:right="0" w:firstLine="0" w:firstLineChars="0"/>
              <w:jc w:val="center"/>
              <w:textAlignment w:val="baseline"/>
              <w:outlineLvl w:val="9"/>
              <w:rPr>
                <w:rFonts w:hint="eastAsia" w:ascii="宋体" w:hAnsi="宋体" w:eastAsia="宋体"/>
                <w:color w:val="auto"/>
                <w:sz w:val="21"/>
                <w:highlight w:val="none"/>
                <w:lang w:eastAsia="zh-CN"/>
              </w:rPr>
            </w:pPr>
            <w:r>
              <w:rPr>
                <w:rFonts w:hint="eastAsia" w:ascii="宋体" w:hAnsi="宋体" w:eastAsia="宋体"/>
                <w:color w:val="auto"/>
                <w:sz w:val="21"/>
                <w:highlight w:val="none"/>
                <w:lang w:eastAsia="zh-CN"/>
              </w:rPr>
              <w:t>一</w:t>
            </w:r>
            <w:r>
              <w:rPr>
                <w:rFonts w:hint="eastAsia" w:ascii="宋体" w:hAnsi="宋体" w:eastAsia="宋体"/>
                <w:color w:val="auto"/>
                <w:sz w:val="21"/>
                <w:highlight w:val="none"/>
                <w:lang w:val="en-US" w:eastAsia="zh-CN"/>
              </w:rPr>
              <w:t xml:space="preserve">  </w:t>
            </w:r>
            <w:r>
              <w:rPr>
                <w:rFonts w:hint="eastAsia" w:ascii="宋体" w:hAnsi="宋体" w:eastAsia="宋体"/>
                <w:color w:val="auto"/>
                <w:sz w:val="21"/>
                <w:highlight w:val="none"/>
                <w:lang w:eastAsia="zh-CN"/>
              </w:rPr>
              <w:t>套</w:t>
            </w:r>
          </w:p>
        </w:tc>
      </w:tr>
      <w:tr w14:paraId="08145B24">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5353" w:type="dxa"/>
            <w:noWrap w:val="0"/>
            <w:vAlign w:val="center"/>
          </w:tcPr>
          <w:p w14:paraId="4A9D3158">
            <w:pPr>
              <w:keepNext w:val="0"/>
              <w:keepLines w:val="0"/>
              <w:pageBreakBefore w:val="0"/>
              <w:widowControl/>
              <w:kinsoku/>
              <w:wordWrap/>
              <w:autoSpaceDE/>
              <w:autoSpaceDN/>
              <w:snapToGrid/>
              <w:spacing w:before="0" w:beforeLines="0" w:beforeAutospacing="0" w:after="0" w:afterLines="0" w:afterAutospacing="0" w:line="240" w:lineRule="auto"/>
              <w:ind w:left="735" w:leftChars="350" w:right="0" w:firstLine="0" w:firstLineChars="0"/>
              <w:jc w:val="left"/>
              <w:textAlignment w:val="baseline"/>
              <w:outlineLvl w:val="9"/>
              <w:rPr>
                <w:rFonts w:hint="eastAsia" w:ascii="宋体" w:hAnsi="宋体" w:eastAsia="宋体"/>
                <w:color w:val="auto"/>
                <w:sz w:val="21"/>
                <w:highlight w:val="none"/>
              </w:rPr>
            </w:pPr>
            <w:r>
              <w:rPr>
                <w:rFonts w:hint="eastAsia"/>
                <w:color w:val="auto"/>
                <w:sz w:val="21"/>
                <w:highlight w:val="none"/>
                <w:lang w:val="en-US" w:eastAsia="zh-CN"/>
              </w:rPr>
              <w:t>5.</w:t>
            </w:r>
            <w:r>
              <w:rPr>
                <w:rFonts w:hint="eastAsia" w:eastAsia="宋体"/>
                <w:color w:val="auto"/>
                <w:sz w:val="21"/>
                <w:highlight w:val="none"/>
                <w:lang w:eastAsia="zh-CN"/>
              </w:rPr>
              <w:t>1、</w:t>
            </w:r>
            <w:r>
              <w:rPr>
                <w:rFonts w:hint="eastAsia" w:ascii="宋体" w:hAnsi="宋体" w:eastAsia="宋体"/>
                <w:color w:val="auto"/>
                <w:sz w:val="21"/>
                <w:highlight w:val="none"/>
              </w:rPr>
              <w:t>尿流率传感器盒</w:t>
            </w:r>
            <w:r>
              <w:rPr>
                <w:rFonts w:hint="eastAsia" w:eastAsia="宋体"/>
                <w:color w:val="auto"/>
                <w:sz w:val="21"/>
                <w:highlight w:val="none"/>
                <w:lang w:eastAsia="zh-CN"/>
              </w:rPr>
              <w:t>（带托盘）</w:t>
            </w:r>
          </w:p>
        </w:tc>
        <w:tc>
          <w:tcPr>
            <w:tcW w:w="3119" w:type="dxa"/>
            <w:noWrap w:val="0"/>
            <w:vAlign w:val="center"/>
          </w:tcPr>
          <w:p w14:paraId="138681B5">
            <w:pPr>
              <w:keepNext w:val="0"/>
              <w:keepLines w:val="0"/>
              <w:pageBreakBefore w:val="0"/>
              <w:widowControl/>
              <w:kinsoku/>
              <w:wordWrap/>
              <w:autoSpaceDE/>
              <w:autoSpaceDN/>
              <w:snapToGrid/>
              <w:spacing w:before="0" w:beforeLines="0" w:beforeAutospacing="0" w:after="0" w:afterLines="0" w:afterAutospacing="0" w:line="240" w:lineRule="auto"/>
              <w:ind w:left="0" w:leftChars="0" w:right="0" w:firstLine="0" w:firstLineChars="0"/>
              <w:jc w:val="center"/>
              <w:textAlignment w:val="baseline"/>
              <w:outlineLvl w:val="9"/>
              <w:rPr>
                <w:rFonts w:hint="eastAsia" w:ascii="宋体" w:hAnsi="宋体" w:eastAsia="宋体"/>
                <w:color w:val="auto"/>
                <w:sz w:val="21"/>
                <w:highlight w:val="none"/>
              </w:rPr>
            </w:pPr>
            <w:r>
              <w:rPr>
                <w:rFonts w:hint="eastAsia" w:ascii="宋体" w:hAnsi="宋体" w:eastAsia="宋体"/>
                <w:color w:val="auto"/>
                <w:sz w:val="21"/>
                <w:highlight w:val="none"/>
                <w:lang w:eastAsia="zh-CN"/>
              </w:rPr>
              <w:t>一</w:t>
            </w:r>
            <w:r>
              <w:rPr>
                <w:rFonts w:hint="eastAsia" w:ascii="宋体" w:hAnsi="宋体" w:eastAsia="宋体"/>
                <w:color w:val="auto"/>
                <w:sz w:val="21"/>
                <w:highlight w:val="none"/>
                <w:lang w:val="en-US" w:eastAsia="zh-CN"/>
              </w:rPr>
              <w:t xml:space="preserve">  </w:t>
            </w:r>
            <w:r>
              <w:rPr>
                <w:rFonts w:hint="eastAsia" w:ascii="宋体" w:hAnsi="宋体" w:eastAsia="宋体"/>
                <w:color w:val="auto"/>
                <w:sz w:val="21"/>
                <w:highlight w:val="none"/>
                <w:lang w:eastAsia="zh-CN"/>
              </w:rPr>
              <w:t>套</w:t>
            </w:r>
          </w:p>
        </w:tc>
      </w:tr>
      <w:tr w14:paraId="4A92BD29">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5353" w:type="dxa"/>
            <w:noWrap w:val="0"/>
            <w:vAlign w:val="center"/>
          </w:tcPr>
          <w:p w14:paraId="0DCF6B55">
            <w:pPr>
              <w:keepNext w:val="0"/>
              <w:keepLines w:val="0"/>
              <w:pageBreakBefore w:val="0"/>
              <w:widowControl/>
              <w:kinsoku/>
              <w:wordWrap/>
              <w:autoSpaceDE/>
              <w:autoSpaceDN/>
              <w:snapToGrid/>
              <w:spacing w:before="0" w:beforeLines="0" w:beforeAutospacing="0" w:after="0" w:afterLines="0" w:afterAutospacing="0" w:line="240" w:lineRule="auto"/>
              <w:ind w:left="735" w:leftChars="350" w:right="0" w:firstLine="0" w:firstLineChars="0"/>
              <w:jc w:val="left"/>
              <w:textAlignment w:val="baseline"/>
              <w:outlineLvl w:val="9"/>
              <w:rPr>
                <w:rFonts w:hint="eastAsia" w:ascii="宋体" w:hAnsi="宋体" w:eastAsia="宋体"/>
                <w:color w:val="auto"/>
                <w:sz w:val="21"/>
                <w:highlight w:val="none"/>
              </w:rPr>
            </w:pPr>
            <w:r>
              <w:rPr>
                <w:rFonts w:hint="eastAsia" w:ascii="宋体" w:hAnsi="宋体"/>
                <w:color w:val="auto"/>
                <w:sz w:val="21"/>
                <w:highlight w:val="none"/>
                <w:lang w:val="en-US" w:eastAsia="zh-CN"/>
              </w:rPr>
              <w:t>5.</w:t>
            </w:r>
            <w:r>
              <w:rPr>
                <w:rFonts w:hint="eastAsia" w:ascii="宋体" w:hAnsi="宋体" w:eastAsia="宋体"/>
                <w:color w:val="auto"/>
                <w:sz w:val="21"/>
                <w:highlight w:val="none"/>
              </w:rPr>
              <w:t>2、尿流率底座及支架</w:t>
            </w:r>
            <w:r>
              <w:rPr>
                <w:rFonts w:hint="eastAsia" w:eastAsia="宋体"/>
                <w:color w:val="auto"/>
                <w:sz w:val="21"/>
                <w:highlight w:val="none"/>
                <w:lang w:eastAsia="zh-CN"/>
              </w:rPr>
              <w:t>（含旋钮）</w:t>
            </w:r>
          </w:p>
        </w:tc>
        <w:tc>
          <w:tcPr>
            <w:tcW w:w="3119" w:type="dxa"/>
            <w:noWrap w:val="0"/>
            <w:vAlign w:val="center"/>
          </w:tcPr>
          <w:p w14:paraId="4880A560">
            <w:pPr>
              <w:keepNext w:val="0"/>
              <w:keepLines w:val="0"/>
              <w:pageBreakBefore w:val="0"/>
              <w:widowControl/>
              <w:kinsoku/>
              <w:wordWrap/>
              <w:autoSpaceDE/>
              <w:autoSpaceDN/>
              <w:snapToGrid/>
              <w:spacing w:before="0" w:beforeLines="0" w:beforeAutospacing="0" w:after="0" w:afterLines="0" w:afterAutospacing="0" w:line="240" w:lineRule="auto"/>
              <w:ind w:left="0" w:leftChars="0" w:right="0" w:firstLine="0" w:firstLineChars="0"/>
              <w:jc w:val="center"/>
              <w:textAlignment w:val="baseline"/>
              <w:outlineLvl w:val="9"/>
              <w:rPr>
                <w:rFonts w:hint="eastAsia" w:ascii="宋体" w:hAnsi="宋体" w:eastAsia="宋体"/>
                <w:color w:val="auto"/>
                <w:sz w:val="21"/>
                <w:highlight w:val="none"/>
              </w:rPr>
            </w:pPr>
            <w:r>
              <w:rPr>
                <w:rFonts w:hint="eastAsia" w:ascii="宋体" w:hAnsi="宋体" w:eastAsia="宋体"/>
                <w:color w:val="auto"/>
                <w:sz w:val="21"/>
                <w:highlight w:val="none"/>
                <w:lang w:eastAsia="zh-CN"/>
              </w:rPr>
              <w:t>一</w:t>
            </w:r>
            <w:r>
              <w:rPr>
                <w:rFonts w:hint="eastAsia" w:ascii="宋体" w:hAnsi="宋体" w:eastAsia="宋体"/>
                <w:color w:val="auto"/>
                <w:sz w:val="21"/>
                <w:highlight w:val="none"/>
                <w:lang w:val="en-US" w:eastAsia="zh-CN"/>
              </w:rPr>
              <w:t xml:space="preserve">  </w:t>
            </w:r>
            <w:r>
              <w:rPr>
                <w:rFonts w:hint="eastAsia" w:ascii="宋体" w:hAnsi="宋体" w:eastAsia="宋体"/>
                <w:color w:val="auto"/>
                <w:sz w:val="21"/>
                <w:highlight w:val="none"/>
                <w:lang w:eastAsia="zh-CN"/>
              </w:rPr>
              <w:t>套</w:t>
            </w:r>
          </w:p>
        </w:tc>
      </w:tr>
      <w:tr w14:paraId="346B08AC">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5353" w:type="dxa"/>
            <w:noWrap w:val="0"/>
            <w:vAlign w:val="center"/>
          </w:tcPr>
          <w:p w14:paraId="5266D383">
            <w:pPr>
              <w:keepNext w:val="0"/>
              <w:keepLines w:val="0"/>
              <w:pageBreakBefore w:val="0"/>
              <w:widowControl/>
              <w:kinsoku/>
              <w:wordWrap/>
              <w:autoSpaceDE/>
              <w:autoSpaceDN/>
              <w:snapToGrid/>
              <w:spacing w:before="0" w:beforeLines="0" w:beforeAutospacing="0" w:after="0" w:afterLines="0" w:afterAutospacing="0" w:line="240" w:lineRule="auto"/>
              <w:ind w:left="735" w:leftChars="350" w:right="0" w:firstLine="0" w:firstLineChars="0"/>
              <w:jc w:val="left"/>
              <w:textAlignment w:val="baseline"/>
              <w:outlineLvl w:val="9"/>
              <w:rPr>
                <w:rFonts w:hint="eastAsia" w:ascii="宋体" w:hAnsi="宋体" w:eastAsia="宋体"/>
                <w:color w:val="auto"/>
                <w:sz w:val="21"/>
                <w:highlight w:val="none"/>
              </w:rPr>
            </w:pPr>
            <w:r>
              <w:rPr>
                <w:rFonts w:hint="eastAsia" w:ascii="宋体" w:hAnsi="宋体"/>
                <w:color w:val="auto"/>
                <w:sz w:val="21"/>
                <w:highlight w:val="none"/>
                <w:lang w:val="en-US" w:eastAsia="zh-CN"/>
              </w:rPr>
              <w:t>5.</w:t>
            </w:r>
            <w:r>
              <w:rPr>
                <w:rFonts w:hint="eastAsia" w:ascii="宋体" w:hAnsi="宋体" w:eastAsia="宋体"/>
                <w:color w:val="auto"/>
                <w:sz w:val="21"/>
                <w:highlight w:val="none"/>
              </w:rPr>
              <w:t>3、</w:t>
            </w:r>
            <w:r>
              <w:rPr>
                <w:rFonts w:hint="eastAsia" w:ascii="宋体" w:hAnsi="宋体" w:eastAsia="宋体"/>
                <w:color w:val="auto"/>
                <w:sz w:val="21"/>
              </w:rPr>
              <w:t>尿流率连接</w:t>
            </w:r>
            <w:r>
              <w:rPr>
                <w:rFonts w:hint="eastAsia" w:eastAsia="宋体"/>
                <w:color w:val="auto"/>
                <w:sz w:val="21"/>
                <w:lang w:eastAsia="zh-CN"/>
              </w:rPr>
              <w:t>电缆</w:t>
            </w:r>
          </w:p>
        </w:tc>
        <w:tc>
          <w:tcPr>
            <w:tcW w:w="3119" w:type="dxa"/>
            <w:noWrap w:val="0"/>
            <w:vAlign w:val="center"/>
          </w:tcPr>
          <w:p w14:paraId="2A6E10A0">
            <w:pPr>
              <w:keepNext w:val="0"/>
              <w:keepLines w:val="0"/>
              <w:pageBreakBefore w:val="0"/>
              <w:widowControl/>
              <w:kinsoku/>
              <w:wordWrap/>
              <w:autoSpaceDE/>
              <w:autoSpaceDN/>
              <w:snapToGrid/>
              <w:spacing w:before="0" w:beforeLines="0" w:beforeAutospacing="0" w:after="0" w:afterLines="0" w:afterAutospacing="0" w:line="240" w:lineRule="auto"/>
              <w:ind w:left="0" w:leftChars="0" w:right="0" w:firstLine="0" w:firstLineChars="0"/>
              <w:jc w:val="center"/>
              <w:textAlignment w:val="baseline"/>
              <w:outlineLvl w:val="9"/>
              <w:rPr>
                <w:rFonts w:hint="eastAsia" w:ascii="宋体" w:hAnsi="宋体" w:eastAsia="宋体"/>
                <w:color w:val="auto"/>
                <w:sz w:val="21"/>
                <w:highlight w:val="none"/>
                <w:lang w:eastAsia="zh-CN"/>
              </w:rPr>
            </w:pPr>
            <w:r>
              <w:rPr>
                <w:rFonts w:hint="eastAsia" w:eastAsia="宋体"/>
                <w:color w:val="auto"/>
                <w:sz w:val="21"/>
                <w:highlight w:val="none"/>
                <w:lang w:eastAsia="zh-CN"/>
              </w:rPr>
              <w:t>一  根</w:t>
            </w:r>
          </w:p>
        </w:tc>
      </w:tr>
      <w:tr w14:paraId="34741AAA">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5353" w:type="dxa"/>
            <w:noWrap w:val="0"/>
            <w:vAlign w:val="center"/>
          </w:tcPr>
          <w:p w14:paraId="581461F0">
            <w:pPr>
              <w:keepNext w:val="0"/>
              <w:keepLines w:val="0"/>
              <w:pageBreakBefore w:val="0"/>
              <w:widowControl/>
              <w:kinsoku/>
              <w:wordWrap/>
              <w:autoSpaceDE/>
              <w:autoSpaceDN/>
              <w:snapToGrid/>
              <w:spacing w:before="0" w:beforeLines="0" w:beforeAutospacing="0" w:after="0" w:afterLines="0" w:afterAutospacing="0" w:line="240" w:lineRule="auto"/>
              <w:ind w:left="735" w:leftChars="350" w:right="0" w:firstLine="0" w:firstLineChars="0"/>
              <w:jc w:val="left"/>
              <w:textAlignment w:val="baseline"/>
              <w:outlineLvl w:val="9"/>
              <w:rPr>
                <w:rFonts w:hint="eastAsia" w:ascii="宋体" w:hAnsi="宋体" w:eastAsia="宋体"/>
                <w:color w:val="auto"/>
                <w:sz w:val="21"/>
                <w:highlight w:val="none"/>
                <w:lang w:eastAsia="zh-CN"/>
              </w:rPr>
            </w:pPr>
            <w:r>
              <w:rPr>
                <w:rFonts w:hint="eastAsia"/>
                <w:color w:val="auto"/>
                <w:sz w:val="21"/>
                <w:highlight w:val="none"/>
                <w:lang w:val="en-US" w:eastAsia="zh-CN"/>
              </w:rPr>
              <w:t>5.</w:t>
            </w:r>
            <w:r>
              <w:rPr>
                <w:rFonts w:hint="eastAsia" w:eastAsia="宋体"/>
                <w:color w:val="auto"/>
                <w:sz w:val="21"/>
                <w:highlight w:val="none"/>
                <w:lang w:eastAsia="zh-CN"/>
              </w:rPr>
              <w:t>4、</w:t>
            </w:r>
            <w:r>
              <w:rPr>
                <w:rFonts w:hint="default" w:ascii="Times New Roman" w:hAnsi="Times New Roman" w:eastAsia="宋体"/>
                <w:color w:val="auto"/>
                <w:sz w:val="21"/>
                <w:highlight w:val="none"/>
              </w:rPr>
              <w:t>1000mL</w:t>
            </w:r>
            <w:r>
              <w:rPr>
                <w:rFonts w:hint="eastAsia" w:ascii="宋体" w:hAnsi="宋体" w:eastAsia="宋体"/>
                <w:color w:val="auto"/>
                <w:sz w:val="21"/>
                <w:highlight w:val="none"/>
              </w:rPr>
              <w:t>塑料</w:t>
            </w:r>
            <w:r>
              <w:rPr>
                <w:rFonts w:hint="eastAsia" w:eastAsia="宋体"/>
                <w:color w:val="auto"/>
                <w:sz w:val="21"/>
                <w:highlight w:val="none"/>
                <w:lang w:eastAsia="zh-CN"/>
              </w:rPr>
              <w:t>量</w:t>
            </w:r>
            <w:r>
              <w:rPr>
                <w:rFonts w:hint="eastAsia" w:ascii="宋体" w:hAnsi="宋体" w:eastAsia="宋体"/>
                <w:color w:val="auto"/>
                <w:sz w:val="21"/>
                <w:highlight w:val="none"/>
                <w:lang w:eastAsia="zh-CN"/>
              </w:rPr>
              <w:t>杯</w:t>
            </w:r>
          </w:p>
        </w:tc>
        <w:tc>
          <w:tcPr>
            <w:tcW w:w="3119" w:type="dxa"/>
            <w:noWrap w:val="0"/>
            <w:vAlign w:val="center"/>
          </w:tcPr>
          <w:p w14:paraId="18B5D722">
            <w:pPr>
              <w:keepNext w:val="0"/>
              <w:keepLines w:val="0"/>
              <w:pageBreakBefore w:val="0"/>
              <w:widowControl/>
              <w:kinsoku/>
              <w:wordWrap/>
              <w:autoSpaceDE/>
              <w:autoSpaceDN/>
              <w:snapToGrid/>
              <w:spacing w:before="0" w:beforeLines="0" w:beforeAutospacing="0" w:after="0" w:afterLines="0" w:afterAutospacing="0" w:line="240" w:lineRule="auto"/>
              <w:ind w:left="0" w:leftChars="0" w:right="0" w:firstLine="0" w:firstLineChars="0"/>
              <w:jc w:val="center"/>
              <w:textAlignment w:val="baseline"/>
              <w:outlineLvl w:val="9"/>
              <w:rPr>
                <w:rFonts w:hint="eastAsia" w:ascii="宋体" w:hAnsi="宋体" w:eastAsia="宋体"/>
                <w:color w:val="auto"/>
                <w:sz w:val="21"/>
                <w:highlight w:val="none"/>
              </w:rPr>
            </w:pPr>
            <w:r>
              <w:rPr>
                <w:rFonts w:hint="eastAsia" w:ascii="宋体" w:hAnsi="宋体" w:eastAsia="宋体"/>
                <w:color w:val="auto"/>
                <w:sz w:val="21"/>
                <w:highlight w:val="none"/>
              </w:rPr>
              <w:t>一  个</w:t>
            </w:r>
          </w:p>
        </w:tc>
      </w:tr>
      <w:tr w14:paraId="6596B614">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5353" w:type="dxa"/>
            <w:noWrap w:val="0"/>
            <w:vAlign w:val="center"/>
          </w:tcPr>
          <w:p w14:paraId="1A13A074">
            <w:pPr>
              <w:keepNext w:val="0"/>
              <w:keepLines w:val="0"/>
              <w:pageBreakBefore w:val="0"/>
              <w:widowControl/>
              <w:kinsoku/>
              <w:wordWrap/>
              <w:autoSpaceDE/>
              <w:autoSpaceDN/>
              <w:snapToGrid/>
              <w:spacing w:before="0" w:beforeLines="0" w:beforeAutospacing="0" w:after="0" w:afterLines="0" w:afterAutospacing="0" w:line="240" w:lineRule="auto"/>
              <w:ind w:left="735" w:leftChars="350" w:right="0" w:firstLine="0" w:firstLineChars="0"/>
              <w:jc w:val="left"/>
              <w:textAlignment w:val="baseline"/>
              <w:outlineLvl w:val="9"/>
              <w:rPr>
                <w:rFonts w:hint="eastAsia" w:ascii="宋体" w:hAnsi="宋体" w:eastAsia="宋体"/>
                <w:color w:val="auto"/>
                <w:sz w:val="21"/>
                <w:highlight w:val="none"/>
              </w:rPr>
            </w:pPr>
            <w:r>
              <w:rPr>
                <w:rFonts w:hint="eastAsia"/>
                <w:color w:val="auto"/>
                <w:sz w:val="21"/>
                <w:highlight w:val="none"/>
                <w:lang w:val="en-US" w:eastAsia="zh-CN"/>
              </w:rPr>
              <w:t>5.</w:t>
            </w:r>
            <w:r>
              <w:rPr>
                <w:rFonts w:hint="eastAsia" w:eastAsia="宋体"/>
                <w:color w:val="auto"/>
                <w:sz w:val="21"/>
                <w:highlight w:val="none"/>
                <w:lang w:eastAsia="zh-CN"/>
              </w:rPr>
              <w:t>5、</w:t>
            </w:r>
            <w:r>
              <w:rPr>
                <w:rFonts w:hint="eastAsia" w:ascii="宋体" w:hAnsi="宋体" w:eastAsia="宋体"/>
                <w:color w:val="auto"/>
                <w:sz w:val="21"/>
              </w:rPr>
              <w:t>漏斗</w:t>
            </w:r>
          </w:p>
        </w:tc>
        <w:tc>
          <w:tcPr>
            <w:tcW w:w="3119" w:type="dxa"/>
            <w:noWrap w:val="0"/>
            <w:vAlign w:val="center"/>
          </w:tcPr>
          <w:p w14:paraId="5FEFE716">
            <w:pPr>
              <w:keepNext w:val="0"/>
              <w:keepLines w:val="0"/>
              <w:pageBreakBefore w:val="0"/>
              <w:widowControl/>
              <w:kinsoku/>
              <w:wordWrap/>
              <w:autoSpaceDE/>
              <w:autoSpaceDN/>
              <w:snapToGrid/>
              <w:spacing w:before="0" w:beforeLines="0" w:beforeAutospacing="0" w:after="0" w:afterLines="0" w:afterAutospacing="0" w:line="240" w:lineRule="auto"/>
              <w:ind w:left="0" w:leftChars="0" w:right="0" w:firstLine="0" w:firstLineChars="0"/>
              <w:jc w:val="center"/>
              <w:textAlignment w:val="baseline"/>
              <w:outlineLvl w:val="9"/>
              <w:rPr>
                <w:rFonts w:hint="eastAsia" w:ascii="宋体" w:hAnsi="宋体" w:eastAsia="宋体"/>
                <w:color w:val="auto"/>
                <w:sz w:val="21"/>
                <w:highlight w:val="none"/>
              </w:rPr>
            </w:pPr>
            <w:r>
              <w:rPr>
                <w:rFonts w:hint="eastAsia" w:ascii="宋体" w:hAnsi="宋体" w:eastAsia="宋体"/>
                <w:color w:val="auto"/>
                <w:sz w:val="21"/>
                <w:highlight w:val="none"/>
              </w:rPr>
              <w:t>一  个</w:t>
            </w:r>
          </w:p>
        </w:tc>
      </w:tr>
      <w:tr w14:paraId="5505FFD9">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5353" w:type="dxa"/>
            <w:noWrap w:val="0"/>
            <w:vAlign w:val="center"/>
          </w:tcPr>
          <w:p w14:paraId="698D4D31">
            <w:pPr>
              <w:keepNext w:val="0"/>
              <w:keepLines w:val="0"/>
              <w:pageBreakBefore w:val="0"/>
              <w:widowControl/>
              <w:kinsoku/>
              <w:wordWrap/>
              <w:autoSpaceDE/>
              <w:autoSpaceDN/>
              <w:snapToGrid/>
              <w:spacing w:before="0" w:beforeLines="0" w:beforeAutospacing="0" w:after="0" w:afterLines="0" w:afterAutospacing="0" w:line="240" w:lineRule="auto"/>
              <w:ind w:left="525" w:leftChars="250" w:right="0" w:firstLine="0" w:firstLineChars="0"/>
              <w:jc w:val="left"/>
              <w:textAlignment w:val="baseline"/>
              <w:outlineLvl w:val="9"/>
              <w:rPr>
                <w:rFonts w:hint="eastAsia" w:ascii="宋体" w:hAnsi="宋体" w:eastAsia="宋体"/>
                <w:color w:val="auto"/>
                <w:sz w:val="21"/>
                <w:highlight w:val="none"/>
              </w:rPr>
            </w:pPr>
            <w:r>
              <w:rPr>
                <w:rFonts w:hint="eastAsia"/>
                <w:b/>
                <w:color w:val="auto"/>
                <w:sz w:val="21"/>
                <w:highlight w:val="none"/>
                <w:lang w:val="en-US" w:eastAsia="zh-CN"/>
              </w:rPr>
              <w:t>6</w:t>
            </w:r>
            <w:r>
              <w:rPr>
                <w:rFonts w:hint="eastAsia" w:ascii="宋体" w:hAnsi="宋体" w:eastAsia="宋体"/>
                <w:b/>
                <w:color w:val="auto"/>
                <w:sz w:val="21"/>
                <w:highlight w:val="none"/>
              </w:rPr>
              <w:t>、附件</w:t>
            </w:r>
          </w:p>
        </w:tc>
        <w:tc>
          <w:tcPr>
            <w:tcW w:w="3119" w:type="dxa"/>
            <w:noWrap w:val="0"/>
            <w:vAlign w:val="center"/>
          </w:tcPr>
          <w:p w14:paraId="63104030">
            <w:pPr>
              <w:keepNext w:val="0"/>
              <w:keepLines w:val="0"/>
              <w:pageBreakBefore w:val="0"/>
              <w:widowControl/>
              <w:kinsoku/>
              <w:wordWrap/>
              <w:autoSpaceDE/>
              <w:autoSpaceDN/>
              <w:snapToGrid/>
              <w:spacing w:before="0" w:beforeLines="0" w:beforeAutospacing="0" w:after="0" w:afterLines="0" w:afterAutospacing="0" w:line="240" w:lineRule="auto"/>
              <w:ind w:left="0" w:leftChars="0" w:right="0" w:firstLine="0" w:firstLineChars="0"/>
              <w:jc w:val="center"/>
              <w:textAlignment w:val="baseline"/>
              <w:outlineLvl w:val="9"/>
              <w:rPr>
                <w:rFonts w:hint="eastAsia" w:ascii="宋体" w:hAnsi="宋体" w:eastAsia="宋体"/>
                <w:color w:val="auto"/>
                <w:sz w:val="21"/>
                <w:highlight w:val="none"/>
                <w:lang w:eastAsia="zh-CN"/>
              </w:rPr>
            </w:pPr>
            <w:r>
              <w:rPr>
                <w:rFonts w:hint="eastAsia" w:eastAsia="宋体"/>
                <w:color w:val="auto"/>
                <w:sz w:val="21"/>
                <w:highlight w:val="none"/>
                <w:lang w:eastAsia="zh-CN"/>
              </w:rPr>
              <w:t>一  套</w:t>
            </w:r>
          </w:p>
        </w:tc>
      </w:tr>
      <w:tr w14:paraId="7AFF6912">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5353" w:type="dxa"/>
            <w:noWrap w:val="0"/>
            <w:vAlign w:val="center"/>
          </w:tcPr>
          <w:p w14:paraId="34987728">
            <w:pPr>
              <w:keepNext w:val="0"/>
              <w:keepLines w:val="0"/>
              <w:pageBreakBefore w:val="0"/>
              <w:widowControl/>
              <w:kinsoku/>
              <w:wordWrap/>
              <w:autoSpaceDE/>
              <w:autoSpaceDN/>
              <w:snapToGrid/>
              <w:spacing w:before="0" w:beforeLines="0" w:beforeAutospacing="0" w:after="0" w:afterLines="0" w:afterAutospacing="0" w:line="240" w:lineRule="auto"/>
              <w:ind w:left="735" w:leftChars="350" w:right="0" w:firstLine="0" w:firstLineChars="0"/>
              <w:jc w:val="left"/>
              <w:textAlignment w:val="baseline"/>
              <w:outlineLvl w:val="9"/>
              <w:rPr>
                <w:rFonts w:hint="eastAsia" w:ascii="宋体" w:hAnsi="宋体" w:eastAsia="宋体"/>
                <w:color w:val="auto"/>
                <w:sz w:val="21"/>
                <w:highlight w:val="none"/>
              </w:rPr>
            </w:pPr>
            <w:r>
              <w:rPr>
                <w:rFonts w:hint="eastAsia" w:ascii="宋体" w:hAnsi="宋体"/>
                <w:color w:val="auto"/>
                <w:sz w:val="21"/>
                <w:highlight w:val="none"/>
                <w:lang w:val="en-US" w:eastAsia="zh-CN"/>
              </w:rPr>
              <w:t>6.</w:t>
            </w:r>
            <w:r>
              <w:rPr>
                <w:rFonts w:hint="eastAsia" w:ascii="宋体" w:hAnsi="宋体" w:eastAsia="宋体"/>
                <w:color w:val="auto"/>
                <w:sz w:val="21"/>
                <w:highlight w:val="none"/>
              </w:rPr>
              <w:t>1、直肠测压</w:t>
            </w:r>
            <w:r>
              <w:rPr>
                <w:rFonts w:hint="eastAsia" w:ascii="宋体" w:hAnsi="宋体" w:eastAsia="宋体"/>
                <w:color w:val="auto"/>
                <w:sz w:val="21"/>
                <w:highlight w:val="none"/>
                <w:lang w:eastAsia="zh-CN"/>
              </w:rPr>
              <w:t>导</w:t>
            </w:r>
            <w:r>
              <w:rPr>
                <w:rFonts w:hint="eastAsia" w:ascii="宋体" w:hAnsi="宋体" w:eastAsia="宋体"/>
                <w:color w:val="auto"/>
                <w:sz w:val="21"/>
                <w:highlight w:val="none"/>
              </w:rPr>
              <w:t>管</w:t>
            </w:r>
          </w:p>
        </w:tc>
        <w:tc>
          <w:tcPr>
            <w:tcW w:w="3119" w:type="dxa"/>
            <w:noWrap w:val="0"/>
            <w:vAlign w:val="center"/>
          </w:tcPr>
          <w:p w14:paraId="6A5EBBD3">
            <w:pPr>
              <w:keepNext w:val="0"/>
              <w:keepLines w:val="0"/>
              <w:pageBreakBefore w:val="0"/>
              <w:widowControl/>
              <w:kinsoku/>
              <w:wordWrap/>
              <w:autoSpaceDE/>
              <w:autoSpaceDN/>
              <w:snapToGrid/>
              <w:spacing w:before="0" w:beforeLines="0" w:beforeAutospacing="0" w:after="0" w:afterLines="0" w:afterAutospacing="0" w:line="240" w:lineRule="auto"/>
              <w:ind w:left="0" w:leftChars="0" w:right="0" w:firstLine="0" w:firstLineChars="0"/>
              <w:jc w:val="center"/>
              <w:textAlignment w:val="baseline"/>
              <w:outlineLvl w:val="9"/>
              <w:rPr>
                <w:rFonts w:hint="eastAsia" w:ascii="宋体" w:hAnsi="宋体" w:eastAsia="宋体"/>
                <w:color w:val="auto"/>
                <w:sz w:val="21"/>
                <w:highlight w:val="none"/>
              </w:rPr>
            </w:pPr>
            <w:r>
              <w:rPr>
                <w:rFonts w:hint="eastAsia" w:ascii="宋体" w:hAnsi="宋体" w:eastAsia="宋体"/>
                <w:color w:val="auto"/>
                <w:sz w:val="21"/>
                <w:highlight w:val="none"/>
              </w:rPr>
              <w:t>十  根</w:t>
            </w:r>
          </w:p>
        </w:tc>
      </w:tr>
      <w:tr w14:paraId="3F416742">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5353" w:type="dxa"/>
            <w:noWrap w:val="0"/>
            <w:vAlign w:val="center"/>
          </w:tcPr>
          <w:p w14:paraId="66EEBC4E">
            <w:pPr>
              <w:keepNext w:val="0"/>
              <w:keepLines w:val="0"/>
              <w:pageBreakBefore w:val="0"/>
              <w:widowControl/>
              <w:kinsoku/>
              <w:wordWrap/>
              <w:autoSpaceDE/>
              <w:autoSpaceDN/>
              <w:snapToGrid/>
              <w:spacing w:before="0" w:beforeLines="0" w:beforeAutospacing="0" w:after="0" w:afterLines="0" w:afterAutospacing="0" w:line="240" w:lineRule="auto"/>
              <w:ind w:left="735" w:leftChars="350" w:right="0" w:firstLine="0" w:firstLineChars="0"/>
              <w:jc w:val="left"/>
              <w:textAlignment w:val="baseline"/>
              <w:outlineLvl w:val="9"/>
              <w:rPr>
                <w:rFonts w:hint="eastAsia" w:ascii="宋体" w:hAnsi="宋体" w:eastAsia="宋体"/>
                <w:color w:val="auto"/>
                <w:sz w:val="21"/>
                <w:highlight w:val="none"/>
              </w:rPr>
            </w:pPr>
            <w:r>
              <w:rPr>
                <w:rFonts w:hint="eastAsia" w:ascii="宋体" w:hAnsi="宋体"/>
                <w:color w:val="auto"/>
                <w:sz w:val="21"/>
                <w:highlight w:val="none"/>
                <w:lang w:val="en-US" w:eastAsia="zh-CN"/>
              </w:rPr>
              <w:t>6.</w:t>
            </w:r>
            <w:r>
              <w:rPr>
                <w:rFonts w:hint="eastAsia" w:ascii="宋体" w:hAnsi="宋体" w:eastAsia="宋体"/>
                <w:color w:val="auto"/>
                <w:sz w:val="21"/>
                <w:highlight w:val="none"/>
              </w:rPr>
              <w:t>2、尿道测压</w:t>
            </w:r>
            <w:r>
              <w:rPr>
                <w:rFonts w:hint="eastAsia" w:ascii="宋体" w:hAnsi="宋体" w:eastAsia="宋体"/>
                <w:color w:val="auto"/>
                <w:sz w:val="21"/>
                <w:highlight w:val="none"/>
                <w:lang w:eastAsia="zh-CN"/>
              </w:rPr>
              <w:t>导</w:t>
            </w:r>
            <w:r>
              <w:rPr>
                <w:rFonts w:hint="eastAsia" w:ascii="宋体" w:hAnsi="宋体" w:eastAsia="宋体"/>
                <w:color w:val="auto"/>
                <w:sz w:val="21"/>
                <w:highlight w:val="none"/>
              </w:rPr>
              <w:t>管</w:t>
            </w:r>
          </w:p>
        </w:tc>
        <w:tc>
          <w:tcPr>
            <w:tcW w:w="3119" w:type="dxa"/>
            <w:noWrap w:val="0"/>
            <w:vAlign w:val="center"/>
          </w:tcPr>
          <w:p w14:paraId="42BA3844">
            <w:pPr>
              <w:keepNext w:val="0"/>
              <w:keepLines w:val="0"/>
              <w:pageBreakBefore w:val="0"/>
              <w:widowControl/>
              <w:kinsoku/>
              <w:wordWrap/>
              <w:autoSpaceDE/>
              <w:autoSpaceDN/>
              <w:snapToGrid/>
              <w:spacing w:before="0" w:beforeLines="0" w:beforeAutospacing="0" w:after="0" w:afterLines="0" w:afterAutospacing="0" w:line="240" w:lineRule="auto"/>
              <w:ind w:left="0" w:leftChars="0" w:right="0" w:firstLine="0" w:firstLineChars="0"/>
              <w:jc w:val="center"/>
              <w:textAlignment w:val="baseline"/>
              <w:outlineLvl w:val="9"/>
              <w:rPr>
                <w:rFonts w:hint="eastAsia" w:ascii="宋体" w:hAnsi="宋体" w:eastAsia="宋体"/>
                <w:color w:val="auto"/>
                <w:sz w:val="21"/>
                <w:highlight w:val="none"/>
              </w:rPr>
            </w:pPr>
            <w:r>
              <w:rPr>
                <w:rFonts w:hint="eastAsia" w:ascii="宋体" w:hAnsi="宋体" w:eastAsia="宋体"/>
                <w:color w:val="auto"/>
                <w:sz w:val="21"/>
                <w:highlight w:val="none"/>
              </w:rPr>
              <w:t>十  根</w:t>
            </w:r>
          </w:p>
        </w:tc>
      </w:tr>
      <w:tr w14:paraId="01CD00E6">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5353" w:type="dxa"/>
            <w:noWrap w:val="0"/>
            <w:vAlign w:val="center"/>
          </w:tcPr>
          <w:p w14:paraId="7BCFD7F8">
            <w:pPr>
              <w:keepNext w:val="0"/>
              <w:keepLines w:val="0"/>
              <w:pageBreakBefore w:val="0"/>
              <w:widowControl/>
              <w:kinsoku/>
              <w:wordWrap/>
              <w:autoSpaceDE/>
              <w:autoSpaceDN/>
              <w:snapToGrid/>
              <w:spacing w:before="0" w:beforeLines="0" w:beforeAutospacing="0" w:after="0" w:afterLines="0" w:afterAutospacing="0" w:line="240" w:lineRule="auto"/>
              <w:ind w:left="735" w:leftChars="350" w:right="0" w:firstLine="0" w:firstLineChars="0"/>
              <w:jc w:val="left"/>
              <w:textAlignment w:val="baseline"/>
              <w:outlineLvl w:val="9"/>
              <w:rPr>
                <w:rFonts w:hint="eastAsia" w:ascii="宋体" w:hAnsi="宋体" w:eastAsia="宋体"/>
                <w:color w:val="auto"/>
                <w:sz w:val="21"/>
                <w:highlight w:val="none"/>
              </w:rPr>
            </w:pPr>
            <w:r>
              <w:rPr>
                <w:rFonts w:hint="eastAsia" w:ascii="宋体" w:hAnsi="宋体"/>
                <w:color w:val="auto"/>
                <w:sz w:val="21"/>
                <w:highlight w:val="none"/>
                <w:lang w:val="en-US" w:eastAsia="zh-CN"/>
              </w:rPr>
              <w:t>6.</w:t>
            </w:r>
            <w:r>
              <w:rPr>
                <w:rFonts w:hint="eastAsia" w:ascii="宋体" w:hAnsi="宋体" w:eastAsia="宋体"/>
                <w:color w:val="auto"/>
                <w:sz w:val="21"/>
                <w:highlight w:val="none"/>
              </w:rPr>
              <w:t>3、</w:t>
            </w:r>
            <w:r>
              <w:rPr>
                <w:rFonts w:hint="eastAsia" w:ascii="宋体" w:hAnsi="宋体" w:eastAsia="宋体"/>
                <w:color w:val="auto"/>
                <w:sz w:val="21"/>
                <w:highlight w:val="none"/>
                <w:lang w:val="en-US" w:eastAsia="zh-CN"/>
              </w:rPr>
              <w:t>尿动力学分析仪配件</w:t>
            </w:r>
            <w:r>
              <w:rPr>
                <w:rFonts w:hint="eastAsia" w:ascii="宋体" w:hAnsi="宋体" w:eastAsia="宋体"/>
                <w:color w:val="auto"/>
                <w:sz w:val="21"/>
                <w:highlight w:val="none"/>
              </w:rPr>
              <w:t>液路连接</w:t>
            </w:r>
            <w:r>
              <w:rPr>
                <w:rFonts w:hint="eastAsia" w:ascii="宋体" w:hAnsi="宋体" w:eastAsia="宋体"/>
                <w:color w:val="auto"/>
                <w:sz w:val="21"/>
                <w:highlight w:val="none"/>
                <w:lang w:eastAsia="zh-CN"/>
              </w:rPr>
              <w:t>管</w:t>
            </w:r>
          </w:p>
        </w:tc>
        <w:tc>
          <w:tcPr>
            <w:tcW w:w="3119" w:type="dxa"/>
            <w:noWrap w:val="0"/>
            <w:vAlign w:val="center"/>
          </w:tcPr>
          <w:p w14:paraId="505CFEF1">
            <w:pPr>
              <w:keepNext w:val="0"/>
              <w:keepLines w:val="0"/>
              <w:pageBreakBefore w:val="0"/>
              <w:widowControl/>
              <w:kinsoku/>
              <w:wordWrap/>
              <w:autoSpaceDE/>
              <w:autoSpaceDN/>
              <w:snapToGrid/>
              <w:spacing w:before="0" w:beforeLines="0" w:beforeAutospacing="0" w:after="0" w:afterLines="0" w:afterAutospacing="0" w:line="240" w:lineRule="auto"/>
              <w:ind w:left="0" w:leftChars="0" w:right="0" w:firstLine="0" w:firstLineChars="0"/>
              <w:jc w:val="center"/>
              <w:textAlignment w:val="baseline"/>
              <w:outlineLvl w:val="9"/>
              <w:rPr>
                <w:rFonts w:hint="eastAsia" w:ascii="宋体" w:hAnsi="宋体" w:eastAsia="宋体"/>
                <w:color w:val="auto"/>
                <w:sz w:val="21"/>
                <w:highlight w:val="none"/>
                <w:lang w:eastAsia="zh-CN"/>
              </w:rPr>
            </w:pPr>
            <w:r>
              <w:rPr>
                <w:rFonts w:hint="eastAsia" w:ascii="宋体" w:hAnsi="宋体" w:eastAsia="宋体"/>
                <w:color w:val="auto"/>
                <w:sz w:val="21"/>
                <w:highlight w:val="none"/>
                <w:lang w:eastAsia="zh-CN"/>
              </w:rPr>
              <w:t>一盒</w:t>
            </w:r>
            <w:r>
              <w:rPr>
                <w:rFonts w:hint="eastAsia" w:eastAsia="宋体"/>
                <w:color w:val="auto"/>
                <w:sz w:val="21"/>
                <w:highlight w:val="none"/>
                <w:lang w:eastAsia="zh-CN"/>
              </w:rPr>
              <w:t>/</w:t>
            </w:r>
            <w:r>
              <w:rPr>
                <w:rFonts w:hint="eastAsia" w:ascii="宋体" w:hAnsi="宋体" w:eastAsia="宋体"/>
                <w:color w:val="auto"/>
                <w:sz w:val="21"/>
                <w:highlight w:val="none"/>
                <w:lang w:eastAsia="zh-CN"/>
              </w:rPr>
              <w:t>两包</w:t>
            </w:r>
          </w:p>
        </w:tc>
      </w:tr>
      <w:tr w14:paraId="5D834274">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5353" w:type="dxa"/>
            <w:noWrap w:val="0"/>
            <w:vAlign w:val="center"/>
          </w:tcPr>
          <w:p w14:paraId="1CD5F80C">
            <w:pPr>
              <w:keepNext w:val="0"/>
              <w:keepLines w:val="0"/>
              <w:pageBreakBefore w:val="0"/>
              <w:widowControl/>
              <w:kinsoku/>
              <w:wordWrap/>
              <w:autoSpaceDE/>
              <w:autoSpaceDN/>
              <w:snapToGrid/>
              <w:spacing w:before="0" w:beforeLines="0" w:beforeAutospacing="0" w:after="0" w:afterLines="0" w:afterAutospacing="0" w:line="240" w:lineRule="auto"/>
              <w:ind w:left="735" w:leftChars="350" w:right="0" w:firstLine="0" w:firstLineChars="0"/>
              <w:jc w:val="left"/>
              <w:textAlignment w:val="baseline"/>
              <w:outlineLvl w:val="9"/>
              <w:rPr>
                <w:rFonts w:hint="eastAsia" w:ascii="宋体" w:hAnsi="宋体" w:eastAsia="宋体"/>
                <w:color w:val="auto"/>
                <w:sz w:val="21"/>
                <w:highlight w:val="none"/>
              </w:rPr>
            </w:pPr>
            <w:r>
              <w:rPr>
                <w:rFonts w:hint="eastAsia" w:ascii="宋体" w:hAnsi="宋体"/>
                <w:color w:val="auto"/>
                <w:sz w:val="21"/>
                <w:highlight w:val="none"/>
                <w:lang w:val="en-US" w:eastAsia="zh-CN"/>
              </w:rPr>
              <w:t>6.</w:t>
            </w:r>
            <w:r>
              <w:rPr>
                <w:rFonts w:hint="eastAsia" w:ascii="宋体" w:hAnsi="宋体" w:eastAsia="宋体"/>
                <w:color w:val="auto"/>
                <w:sz w:val="21"/>
                <w:highlight w:val="none"/>
                <w:lang w:val="en-US" w:eastAsia="zh-CN"/>
              </w:rPr>
              <w:t>4</w:t>
            </w:r>
            <w:r>
              <w:rPr>
                <w:rFonts w:hint="eastAsia" w:ascii="宋体" w:hAnsi="宋体" w:eastAsia="宋体"/>
                <w:color w:val="auto"/>
                <w:sz w:val="21"/>
                <w:highlight w:val="none"/>
              </w:rPr>
              <w:t>、</w:t>
            </w:r>
            <w:r>
              <w:rPr>
                <w:rFonts w:hint="eastAsia" w:ascii="宋体" w:hAnsi="宋体" w:eastAsia="宋体"/>
                <w:color w:val="auto"/>
                <w:sz w:val="21"/>
                <w:highlight w:val="none"/>
                <w:lang w:val="en-US" w:eastAsia="zh-CN"/>
              </w:rPr>
              <w:t>尿动力学分析仪配件</w:t>
            </w:r>
            <w:r>
              <w:rPr>
                <w:rFonts w:hint="eastAsia" w:ascii="宋体" w:hAnsi="宋体" w:eastAsia="宋体"/>
                <w:color w:val="auto"/>
                <w:sz w:val="21"/>
                <w:highlight w:val="none"/>
              </w:rPr>
              <w:t>液路连接</w:t>
            </w:r>
            <w:r>
              <w:rPr>
                <w:rFonts w:hint="eastAsia" w:ascii="宋体" w:hAnsi="宋体" w:eastAsia="宋体"/>
                <w:color w:val="auto"/>
                <w:sz w:val="21"/>
                <w:highlight w:val="none"/>
                <w:lang w:eastAsia="zh-CN"/>
              </w:rPr>
              <w:t>管</w:t>
            </w:r>
          </w:p>
        </w:tc>
        <w:tc>
          <w:tcPr>
            <w:tcW w:w="3119" w:type="dxa"/>
            <w:noWrap w:val="0"/>
            <w:vAlign w:val="center"/>
          </w:tcPr>
          <w:p w14:paraId="59C67D36">
            <w:pPr>
              <w:keepNext w:val="0"/>
              <w:keepLines w:val="0"/>
              <w:pageBreakBefore w:val="0"/>
              <w:widowControl/>
              <w:kinsoku/>
              <w:wordWrap/>
              <w:autoSpaceDE/>
              <w:autoSpaceDN/>
              <w:snapToGrid/>
              <w:spacing w:before="0" w:beforeLines="0" w:beforeAutospacing="0" w:after="0" w:afterLines="0" w:afterAutospacing="0" w:line="240" w:lineRule="auto"/>
              <w:ind w:left="0" w:leftChars="0" w:right="0" w:firstLine="0" w:firstLineChars="0"/>
              <w:jc w:val="center"/>
              <w:textAlignment w:val="baseline"/>
              <w:outlineLvl w:val="9"/>
              <w:rPr>
                <w:rFonts w:hint="eastAsia" w:ascii="宋体" w:hAnsi="宋体" w:eastAsia="宋体"/>
                <w:color w:val="auto"/>
                <w:sz w:val="21"/>
                <w:highlight w:val="none"/>
              </w:rPr>
            </w:pPr>
            <w:r>
              <w:rPr>
                <w:rFonts w:hint="eastAsia" w:ascii="宋体" w:hAnsi="宋体" w:eastAsia="宋体"/>
                <w:color w:val="auto"/>
                <w:sz w:val="21"/>
                <w:highlight w:val="none"/>
                <w:lang w:eastAsia="zh-CN"/>
              </w:rPr>
              <w:t>一盒</w:t>
            </w:r>
            <w:r>
              <w:rPr>
                <w:rFonts w:hint="eastAsia" w:eastAsia="宋体"/>
                <w:color w:val="auto"/>
                <w:sz w:val="21"/>
                <w:highlight w:val="none"/>
                <w:lang w:eastAsia="zh-CN"/>
              </w:rPr>
              <w:t>/</w:t>
            </w:r>
            <w:r>
              <w:rPr>
                <w:rFonts w:hint="eastAsia" w:ascii="宋体" w:hAnsi="宋体" w:eastAsia="宋体"/>
                <w:color w:val="auto"/>
                <w:sz w:val="21"/>
                <w:highlight w:val="none"/>
                <w:lang w:eastAsia="zh-CN"/>
              </w:rPr>
              <w:t>十包</w:t>
            </w:r>
          </w:p>
        </w:tc>
      </w:tr>
      <w:tr w14:paraId="368F1A8F">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5353" w:type="dxa"/>
            <w:noWrap w:val="0"/>
            <w:vAlign w:val="center"/>
          </w:tcPr>
          <w:p w14:paraId="34205B0C">
            <w:pPr>
              <w:keepNext w:val="0"/>
              <w:keepLines w:val="0"/>
              <w:pageBreakBefore w:val="0"/>
              <w:widowControl/>
              <w:kinsoku/>
              <w:wordWrap/>
              <w:autoSpaceDE/>
              <w:autoSpaceDN/>
              <w:snapToGrid/>
              <w:spacing w:before="0" w:beforeLines="0" w:beforeAutospacing="0" w:after="0" w:afterLines="0" w:afterAutospacing="0" w:line="240" w:lineRule="auto"/>
              <w:ind w:left="735" w:leftChars="350" w:right="0" w:firstLine="0" w:firstLineChars="0"/>
              <w:jc w:val="left"/>
              <w:textAlignment w:val="baseline"/>
              <w:outlineLvl w:val="9"/>
              <w:rPr>
                <w:rFonts w:hint="eastAsia" w:ascii="宋体" w:hAnsi="宋体" w:eastAsia="宋体"/>
                <w:color w:val="auto"/>
                <w:sz w:val="21"/>
                <w:highlight w:val="none"/>
              </w:rPr>
            </w:pPr>
            <w:r>
              <w:rPr>
                <w:rFonts w:hint="eastAsia" w:ascii="宋体" w:hAnsi="宋体"/>
                <w:color w:val="auto"/>
                <w:sz w:val="21"/>
                <w:highlight w:val="none"/>
                <w:lang w:val="en-US" w:eastAsia="zh-CN"/>
              </w:rPr>
              <w:t>6.</w:t>
            </w:r>
            <w:r>
              <w:rPr>
                <w:rFonts w:hint="eastAsia" w:ascii="宋体" w:hAnsi="宋体" w:eastAsia="宋体"/>
                <w:color w:val="auto"/>
                <w:sz w:val="21"/>
                <w:highlight w:val="none"/>
                <w:lang w:val="en-US" w:eastAsia="zh-CN"/>
              </w:rPr>
              <w:t>5</w:t>
            </w:r>
            <w:r>
              <w:rPr>
                <w:rFonts w:hint="eastAsia" w:ascii="宋体" w:hAnsi="宋体" w:eastAsia="宋体"/>
                <w:color w:val="auto"/>
                <w:sz w:val="21"/>
                <w:highlight w:val="none"/>
              </w:rPr>
              <w:t>、</w:t>
            </w:r>
            <w:r>
              <w:rPr>
                <w:rFonts w:hint="eastAsia" w:ascii="宋体" w:hAnsi="宋体" w:eastAsia="宋体"/>
                <w:color w:val="auto"/>
                <w:sz w:val="21"/>
                <w:highlight w:val="none"/>
                <w:lang w:val="en-US" w:eastAsia="zh-CN"/>
              </w:rPr>
              <w:t>尿动力学分析仪配件</w:t>
            </w:r>
            <w:r>
              <w:rPr>
                <w:rFonts w:hint="eastAsia" w:ascii="宋体" w:hAnsi="宋体" w:eastAsia="宋体"/>
                <w:color w:val="auto"/>
                <w:sz w:val="21"/>
                <w:highlight w:val="none"/>
              </w:rPr>
              <w:t>液路连接</w:t>
            </w:r>
            <w:r>
              <w:rPr>
                <w:rFonts w:hint="eastAsia" w:ascii="宋体" w:hAnsi="宋体" w:eastAsia="宋体"/>
                <w:color w:val="auto"/>
                <w:sz w:val="21"/>
                <w:highlight w:val="none"/>
                <w:lang w:eastAsia="zh-CN"/>
              </w:rPr>
              <w:t>管</w:t>
            </w:r>
          </w:p>
        </w:tc>
        <w:tc>
          <w:tcPr>
            <w:tcW w:w="3119" w:type="dxa"/>
            <w:noWrap w:val="0"/>
            <w:vAlign w:val="center"/>
          </w:tcPr>
          <w:p w14:paraId="2785D4C4">
            <w:pPr>
              <w:keepNext w:val="0"/>
              <w:keepLines w:val="0"/>
              <w:pageBreakBefore w:val="0"/>
              <w:widowControl/>
              <w:kinsoku/>
              <w:wordWrap/>
              <w:autoSpaceDE/>
              <w:autoSpaceDN/>
              <w:snapToGrid/>
              <w:spacing w:before="0" w:beforeLines="0" w:beforeAutospacing="0" w:after="0" w:afterLines="0" w:afterAutospacing="0" w:line="240" w:lineRule="auto"/>
              <w:ind w:left="0" w:leftChars="0" w:right="0" w:firstLine="0" w:firstLineChars="0"/>
              <w:jc w:val="center"/>
              <w:textAlignment w:val="baseline"/>
              <w:outlineLvl w:val="9"/>
              <w:rPr>
                <w:rFonts w:hint="eastAsia" w:ascii="宋体" w:hAnsi="宋体" w:eastAsia="宋体"/>
                <w:color w:val="auto"/>
                <w:sz w:val="21"/>
                <w:highlight w:val="none"/>
              </w:rPr>
            </w:pPr>
            <w:r>
              <w:rPr>
                <w:rFonts w:hint="eastAsia" w:ascii="宋体" w:hAnsi="宋体" w:eastAsia="宋体"/>
                <w:color w:val="auto"/>
                <w:sz w:val="21"/>
                <w:highlight w:val="none"/>
                <w:lang w:eastAsia="zh-CN"/>
              </w:rPr>
              <w:t>一盒</w:t>
            </w:r>
            <w:r>
              <w:rPr>
                <w:rFonts w:hint="eastAsia" w:eastAsia="宋体"/>
                <w:color w:val="auto"/>
                <w:sz w:val="21"/>
                <w:highlight w:val="none"/>
                <w:lang w:eastAsia="zh-CN"/>
              </w:rPr>
              <w:t>/</w:t>
            </w:r>
            <w:r>
              <w:rPr>
                <w:rFonts w:hint="eastAsia" w:ascii="宋体" w:hAnsi="宋体" w:eastAsia="宋体"/>
                <w:color w:val="auto"/>
                <w:sz w:val="21"/>
                <w:highlight w:val="none"/>
                <w:lang w:eastAsia="zh-CN"/>
              </w:rPr>
              <w:t>十包</w:t>
            </w:r>
          </w:p>
        </w:tc>
      </w:tr>
      <w:tr w14:paraId="5A88BD63">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5353" w:type="dxa"/>
            <w:noWrap w:val="0"/>
            <w:vAlign w:val="center"/>
          </w:tcPr>
          <w:p w14:paraId="2A2D1246">
            <w:pPr>
              <w:keepNext w:val="0"/>
              <w:keepLines w:val="0"/>
              <w:pageBreakBefore w:val="0"/>
              <w:widowControl/>
              <w:kinsoku/>
              <w:wordWrap/>
              <w:autoSpaceDE/>
              <w:autoSpaceDN/>
              <w:snapToGrid/>
              <w:spacing w:before="0" w:beforeLines="0" w:beforeAutospacing="0" w:after="0" w:afterLines="0" w:afterAutospacing="0" w:line="240" w:lineRule="auto"/>
              <w:ind w:left="735" w:leftChars="350" w:right="0" w:firstLine="0" w:firstLineChars="0"/>
              <w:jc w:val="left"/>
              <w:textAlignment w:val="baseline"/>
              <w:outlineLvl w:val="9"/>
              <w:rPr>
                <w:rFonts w:hint="eastAsia" w:ascii="宋体" w:hAnsi="宋体" w:eastAsia="宋体"/>
                <w:color w:val="auto"/>
                <w:sz w:val="21"/>
                <w:highlight w:val="none"/>
              </w:rPr>
            </w:pPr>
            <w:r>
              <w:rPr>
                <w:rFonts w:hint="eastAsia"/>
                <w:color w:val="auto"/>
                <w:sz w:val="21"/>
                <w:lang w:val="en-US" w:eastAsia="zh-CN"/>
              </w:rPr>
              <w:t>6.6</w:t>
            </w:r>
            <w:r>
              <w:rPr>
                <w:rFonts w:hint="eastAsia" w:ascii="宋体" w:hAnsi="宋体" w:eastAsia="宋体"/>
                <w:color w:val="auto"/>
                <w:sz w:val="21"/>
                <w:lang w:eastAsia="zh-CN"/>
              </w:rPr>
              <w:t>、</w:t>
            </w:r>
            <w:r>
              <w:rPr>
                <w:rFonts w:hint="eastAsia" w:ascii="宋体" w:hAnsi="宋体" w:eastAsia="宋体"/>
                <w:color w:val="auto"/>
                <w:sz w:val="21"/>
              </w:rPr>
              <w:t>压力传感器</w:t>
            </w:r>
          </w:p>
        </w:tc>
        <w:tc>
          <w:tcPr>
            <w:tcW w:w="3119" w:type="dxa"/>
            <w:noWrap w:val="0"/>
            <w:vAlign w:val="center"/>
          </w:tcPr>
          <w:p w14:paraId="273DDF38">
            <w:pPr>
              <w:keepNext w:val="0"/>
              <w:keepLines w:val="0"/>
              <w:pageBreakBefore w:val="0"/>
              <w:widowControl/>
              <w:kinsoku/>
              <w:wordWrap/>
              <w:autoSpaceDE/>
              <w:autoSpaceDN/>
              <w:snapToGrid/>
              <w:spacing w:before="0" w:beforeLines="0" w:beforeAutospacing="0" w:after="0" w:afterLines="0" w:afterAutospacing="0" w:line="240" w:lineRule="auto"/>
              <w:ind w:left="0" w:leftChars="0" w:right="0" w:firstLine="0" w:firstLineChars="0"/>
              <w:jc w:val="center"/>
              <w:textAlignment w:val="baseline"/>
              <w:outlineLvl w:val="9"/>
              <w:rPr>
                <w:rFonts w:hint="eastAsia" w:ascii="宋体" w:hAnsi="宋体" w:eastAsia="宋体"/>
                <w:color w:val="auto"/>
                <w:sz w:val="21"/>
                <w:highlight w:val="none"/>
              </w:rPr>
            </w:pPr>
            <w:r>
              <w:rPr>
                <w:rFonts w:hint="eastAsia" w:ascii="宋体" w:hAnsi="宋体" w:eastAsia="宋体"/>
                <w:color w:val="auto"/>
                <w:sz w:val="21"/>
                <w:highlight w:val="none"/>
              </w:rPr>
              <w:t>三  个</w:t>
            </w:r>
          </w:p>
        </w:tc>
      </w:tr>
      <w:tr w14:paraId="5088610B">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5353" w:type="dxa"/>
            <w:noWrap w:val="0"/>
            <w:vAlign w:val="center"/>
          </w:tcPr>
          <w:p w14:paraId="4AF70AEE">
            <w:pPr>
              <w:keepNext w:val="0"/>
              <w:keepLines w:val="0"/>
              <w:pageBreakBefore w:val="0"/>
              <w:widowControl/>
              <w:kinsoku/>
              <w:wordWrap/>
              <w:autoSpaceDE/>
              <w:autoSpaceDN/>
              <w:snapToGrid/>
              <w:spacing w:before="0" w:beforeLines="0" w:beforeAutospacing="0" w:after="0" w:afterLines="0" w:afterAutospacing="0" w:line="240" w:lineRule="auto"/>
              <w:ind w:left="735" w:leftChars="350" w:right="0" w:firstLine="0" w:firstLineChars="0"/>
              <w:jc w:val="left"/>
              <w:textAlignment w:val="baseline"/>
              <w:outlineLvl w:val="9"/>
              <w:rPr>
                <w:rFonts w:hint="eastAsia" w:ascii="宋体" w:hAnsi="宋体" w:eastAsia="宋体"/>
                <w:color w:val="auto"/>
                <w:sz w:val="21"/>
                <w:highlight w:val="none"/>
              </w:rPr>
            </w:pPr>
            <w:r>
              <w:rPr>
                <w:rFonts w:hint="eastAsia"/>
                <w:color w:val="auto"/>
                <w:sz w:val="21"/>
                <w:highlight w:val="none"/>
                <w:lang w:val="en-US" w:eastAsia="zh-CN"/>
              </w:rPr>
              <w:t>6.7</w:t>
            </w:r>
            <w:r>
              <w:rPr>
                <w:rFonts w:hint="eastAsia" w:eastAsia="宋体"/>
                <w:color w:val="auto"/>
                <w:sz w:val="21"/>
                <w:highlight w:val="none"/>
                <w:lang w:eastAsia="zh-CN"/>
              </w:rPr>
              <w:t>、</w:t>
            </w:r>
            <w:r>
              <w:rPr>
                <w:rFonts w:hint="eastAsia" w:ascii="宋体" w:hAnsi="宋体" w:eastAsia="宋体"/>
                <w:color w:val="auto"/>
                <w:sz w:val="21"/>
                <w:highlight w:val="none"/>
                <w:lang w:eastAsia="zh-CN"/>
              </w:rPr>
              <w:t>压力套装（含带阀三通）</w:t>
            </w:r>
          </w:p>
        </w:tc>
        <w:tc>
          <w:tcPr>
            <w:tcW w:w="3119" w:type="dxa"/>
            <w:noWrap w:val="0"/>
            <w:vAlign w:val="center"/>
          </w:tcPr>
          <w:p w14:paraId="591A642A">
            <w:pPr>
              <w:keepNext w:val="0"/>
              <w:keepLines w:val="0"/>
              <w:pageBreakBefore w:val="0"/>
              <w:widowControl/>
              <w:kinsoku/>
              <w:wordWrap/>
              <w:autoSpaceDE/>
              <w:autoSpaceDN/>
              <w:snapToGrid/>
              <w:spacing w:before="0" w:beforeLines="0" w:beforeAutospacing="0" w:after="0" w:afterLines="0" w:afterAutospacing="0" w:line="240" w:lineRule="auto"/>
              <w:ind w:left="0" w:leftChars="0" w:right="0" w:firstLine="0" w:firstLineChars="0"/>
              <w:jc w:val="center"/>
              <w:textAlignment w:val="baseline"/>
              <w:outlineLvl w:val="9"/>
              <w:rPr>
                <w:rFonts w:hint="eastAsia" w:ascii="宋体" w:hAnsi="宋体" w:eastAsia="宋体"/>
                <w:color w:val="auto"/>
                <w:sz w:val="21"/>
                <w:highlight w:val="none"/>
              </w:rPr>
            </w:pPr>
            <w:r>
              <w:rPr>
                <w:rFonts w:hint="eastAsia" w:ascii="宋体" w:hAnsi="宋体" w:eastAsia="宋体"/>
                <w:color w:val="auto"/>
                <w:sz w:val="21"/>
                <w:highlight w:val="none"/>
              </w:rPr>
              <w:t>三  个</w:t>
            </w:r>
          </w:p>
        </w:tc>
      </w:tr>
      <w:tr w14:paraId="1CDC5404">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5353" w:type="dxa"/>
            <w:noWrap w:val="0"/>
            <w:vAlign w:val="center"/>
          </w:tcPr>
          <w:p w14:paraId="26AD69AE">
            <w:pPr>
              <w:keepNext w:val="0"/>
              <w:keepLines w:val="0"/>
              <w:pageBreakBefore w:val="0"/>
              <w:widowControl/>
              <w:kinsoku/>
              <w:wordWrap/>
              <w:autoSpaceDE/>
              <w:autoSpaceDN/>
              <w:snapToGrid/>
              <w:spacing w:before="0" w:beforeLines="0" w:beforeAutospacing="0" w:after="0" w:afterLines="0" w:afterAutospacing="0" w:line="240" w:lineRule="auto"/>
              <w:ind w:left="735" w:leftChars="350" w:right="0" w:firstLine="0" w:firstLineChars="0"/>
              <w:jc w:val="left"/>
              <w:textAlignment w:val="baseline"/>
              <w:outlineLvl w:val="9"/>
              <w:rPr>
                <w:rFonts w:hint="eastAsia" w:ascii="宋体" w:hAnsi="宋体" w:eastAsia="宋体"/>
                <w:color w:val="auto"/>
                <w:sz w:val="21"/>
                <w:highlight w:val="none"/>
              </w:rPr>
            </w:pPr>
            <w:r>
              <w:rPr>
                <w:rFonts w:hint="eastAsia"/>
                <w:color w:val="auto"/>
                <w:sz w:val="21"/>
                <w:highlight w:val="none"/>
                <w:lang w:val="en-US" w:eastAsia="zh-CN"/>
              </w:rPr>
              <w:t>6.8</w:t>
            </w:r>
            <w:r>
              <w:rPr>
                <w:rFonts w:hint="eastAsia" w:ascii="宋体" w:hAnsi="宋体" w:eastAsia="宋体"/>
                <w:color w:val="auto"/>
                <w:sz w:val="21"/>
                <w:highlight w:val="none"/>
              </w:rPr>
              <w:t>、</w:t>
            </w:r>
            <w:r>
              <w:rPr>
                <w:rFonts w:hint="default" w:ascii="Times New Roman" w:hAnsi="Times New Roman" w:eastAsia="宋体"/>
                <w:color w:val="auto"/>
                <w:sz w:val="21"/>
                <w:highlight w:val="none"/>
              </w:rPr>
              <w:t>100mL</w:t>
            </w:r>
            <w:r>
              <w:rPr>
                <w:rFonts w:hint="eastAsia" w:ascii="宋体" w:hAnsi="宋体" w:eastAsia="宋体"/>
                <w:color w:val="auto"/>
                <w:sz w:val="21"/>
                <w:highlight w:val="none"/>
              </w:rPr>
              <w:t>量筒</w:t>
            </w:r>
          </w:p>
        </w:tc>
        <w:tc>
          <w:tcPr>
            <w:tcW w:w="3119" w:type="dxa"/>
            <w:noWrap w:val="0"/>
            <w:vAlign w:val="center"/>
          </w:tcPr>
          <w:p w14:paraId="2FB72DD4">
            <w:pPr>
              <w:keepNext w:val="0"/>
              <w:keepLines w:val="0"/>
              <w:pageBreakBefore w:val="0"/>
              <w:widowControl/>
              <w:kinsoku/>
              <w:wordWrap/>
              <w:autoSpaceDE/>
              <w:autoSpaceDN/>
              <w:snapToGrid/>
              <w:spacing w:before="0" w:beforeLines="0" w:beforeAutospacing="0" w:after="0" w:afterLines="0" w:afterAutospacing="0" w:line="240" w:lineRule="auto"/>
              <w:ind w:left="0" w:leftChars="0" w:right="0" w:firstLine="0" w:firstLineChars="0"/>
              <w:jc w:val="center"/>
              <w:textAlignment w:val="baseline"/>
              <w:outlineLvl w:val="9"/>
              <w:rPr>
                <w:rFonts w:hint="eastAsia" w:ascii="宋体" w:hAnsi="宋体" w:eastAsia="宋体"/>
                <w:color w:val="auto"/>
                <w:sz w:val="21"/>
                <w:highlight w:val="none"/>
                <w:lang w:eastAsia="zh-CN"/>
              </w:rPr>
            </w:pPr>
            <w:r>
              <w:rPr>
                <w:rFonts w:hint="eastAsia" w:ascii="宋体" w:hAnsi="宋体" w:eastAsia="宋体"/>
                <w:color w:val="auto"/>
                <w:sz w:val="21"/>
              </w:rPr>
              <w:t>一  个</w:t>
            </w:r>
          </w:p>
        </w:tc>
      </w:tr>
      <w:tr w14:paraId="5721F5F3">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5353" w:type="dxa"/>
            <w:noWrap w:val="0"/>
            <w:vAlign w:val="center"/>
          </w:tcPr>
          <w:p w14:paraId="67C43CEC">
            <w:pPr>
              <w:keepNext w:val="0"/>
              <w:keepLines w:val="0"/>
              <w:pageBreakBefore w:val="0"/>
              <w:widowControl/>
              <w:kinsoku/>
              <w:wordWrap/>
              <w:autoSpaceDE/>
              <w:autoSpaceDN/>
              <w:snapToGrid/>
              <w:spacing w:before="0" w:beforeLines="0" w:beforeAutospacing="0" w:after="0" w:afterLines="0" w:afterAutospacing="0" w:line="240" w:lineRule="auto"/>
              <w:ind w:left="525" w:leftChars="250" w:right="0" w:firstLine="0" w:firstLineChars="0"/>
              <w:jc w:val="left"/>
              <w:textAlignment w:val="baseline"/>
              <w:outlineLvl w:val="9"/>
              <w:rPr>
                <w:rFonts w:hint="eastAsia" w:ascii="宋体" w:hAnsi="宋体" w:eastAsia="宋体"/>
                <w:color w:val="auto"/>
                <w:sz w:val="21"/>
                <w:highlight w:val="none"/>
                <w:lang w:eastAsia="zh-CN"/>
              </w:rPr>
            </w:pPr>
            <w:r>
              <w:rPr>
                <w:rFonts w:hint="eastAsia"/>
                <w:b/>
                <w:color w:val="auto"/>
                <w:sz w:val="21"/>
                <w:highlight w:val="none"/>
                <w:lang w:val="en-US" w:eastAsia="zh-CN"/>
              </w:rPr>
              <w:t>7</w:t>
            </w:r>
            <w:r>
              <w:rPr>
                <w:rFonts w:hint="eastAsia" w:eastAsia="宋体"/>
                <w:b/>
                <w:color w:val="auto"/>
                <w:sz w:val="21"/>
                <w:highlight w:val="none"/>
                <w:lang w:eastAsia="zh-CN"/>
              </w:rPr>
              <w:t>、产品资料</w:t>
            </w:r>
          </w:p>
        </w:tc>
        <w:tc>
          <w:tcPr>
            <w:tcW w:w="3119" w:type="dxa"/>
            <w:noWrap w:val="0"/>
            <w:vAlign w:val="center"/>
          </w:tcPr>
          <w:p w14:paraId="727EEE60">
            <w:pPr>
              <w:keepNext w:val="0"/>
              <w:keepLines w:val="0"/>
              <w:pageBreakBefore w:val="0"/>
              <w:widowControl/>
              <w:kinsoku/>
              <w:wordWrap/>
              <w:autoSpaceDE/>
              <w:autoSpaceDN/>
              <w:snapToGrid/>
              <w:spacing w:before="0" w:beforeLines="0" w:beforeAutospacing="0" w:after="0" w:afterLines="0" w:afterAutospacing="0" w:line="240" w:lineRule="auto"/>
              <w:ind w:left="0" w:leftChars="0" w:right="0" w:firstLine="0" w:firstLineChars="0"/>
              <w:jc w:val="center"/>
              <w:textAlignment w:val="baseline"/>
              <w:outlineLvl w:val="9"/>
              <w:rPr>
                <w:rFonts w:hint="eastAsia" w:ascii="宋体" w:hAnsi="宋体" w:eastAsia="宋体"/>
                <w:color w:val="auto"/>
                <w:sz w:val="21"/>
                <w:highlight w:val="none"/>
                <w:lang w:eastAsia="zh-CN"/>
              </w:rPr>
            </w:pPr>
            <w:r>
              <w:rPr>
                <w:rFonts w:hint="eastAsia" w:eastAsia="宋体"/>
                <w:b/>
                <w:color w:val="auto"/>
                <w:sz w:val="21"/>
                <w:highlight w:val="none"/>
                <w:lang w:eastAsia="zh-CN"/>
              </w:rPr>
              <w:t>一  套</w:t>
            </w:r>
          </w:p>
        </w:tc>
      </w:tr>
      <w:tr w14:paraId="4B29DF47">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5353" w:type="dxa"/>
            <w:noWrap w:val="0"/>
            <w:vAlign w:val="center"/>
          </w:tcPr>
          <w:p w14:paraId="0B192AE8">
            <w:pPr>
              <w:keepNext w:val="0"/>
              <w:keepLines w:val="0"/>
              <w:pageBreakBefore w:val="0"/>
              <w:widowControl/>
              <w:kinsoku/>
              <w:wordWrap/>
              <w:autoSpaceDE/>
              <w:autoSpaceDN/>
              <w:snapToGrid/>
              <w:spacing w:before="0" w:beforeLines="0" w:beforeAutospacing="0" w:after="0" w:afterLines="0" w:afterAutospacing="0" w:line="240" w:lineRule="auto"/>
              <w:ind w:left="735" w:leftChars="350" w:right="0" w:firstLine="0" w:firstLineChars="0"/>
              <w:jc w:val="left"/>
              <w:textAlignment w:val="baseline"/>
              <w:outlineLvl w:val="9"/>
              <w:rPr>
                <w:rFonts w:hint="eastAsia"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7.1、使用说明书</w:t>
            </w:r>
          </w:p>
        </w:tc>
        <w:tc>
          <w:tcPr>
            <w:tcW w:w="3119" w:type="dxa"/>
            <w:noWrap w:val="0"/>
            <w:vAlign w:val="center"/>
          </w:tcPr>
          <w:p w14:paraId="7888443F">
            <w:pPr>
              <w:keepNext w:val="0"/>
              <w:keepLines w:val="0"/>
              <w:pageBreakBefore w:val="0"/>
              <w:widowControl/>
              <w:kinsoku/>
              <w:wordWrap/>
              <w:autoSpaceDE/>
              <w:autoSpaceDN/>
              <w:snapToGrid/>
              <w:spacing w:before="0" w:beforeLines="0" w:beforeAutospacing="0" w:after="0" w:afterLines="0" w:afterAutospacing="0" w:line="240" w:lineRule="auto"/>
              <w:ind w:right="0" w:firstLine="1260" w:firstLineChars="600"/>
              <w:jc w:val="both"/>
              <w:textAlignment w:val="baseline"/>
              <w:outlineLvl w:val="9"/>
              <w:rPr>
                <w:rFonts w:hint="eastAsia"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两  本</w:t>
            </w:r>
          </w:p>
        </w:tc>
      </w:tr>
      <w:tr w14:paraId="2A757601">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5353" w:type="dxa"/>
            <w:noWrap w:val="0"/>
            <w:vAlign w:val="center"/>
          </w:tcPr>
          <w:p w14:paraId="179BCC3A">
            <w:pPr>
              <w:keepNext w:val="0"/>
              <w:keepLines w:val="0"/>
              <w:pageBreakBefore w:val="0"/>
              <w:widowControl/>
              <w:kinsoku/>
              <w:wordWrap/>
              <w:autoSpaceDE/>
              <w:autoSpaceDN/>
              <w:snapToGrid/>
              <w:spacing w:before="0" w:beforeLines="0" w:beforeAutospacing="0" w:after="0" w:afterLines="0" w:afterAutospacing="0" w:line="240" w:lineRule="auto"/>
              <w:ind w:left="735" w:leftChars="350" w:right="0" w:firstLine="0" w:firstLineChars="0"/>
              <w:jc w:val="left"/>
              <w:textAlignment w:val="baseline"/>
              <w:outlineLvl w:val="9"/>
              <w:rPr>
                <w:rFonts w:hint="eastAsia"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7.2、产品保修卡及合格证</w:t>
            </w:r>
          </w:p>
        </w:tc>
        <w:tc>
          <w:tcPr>
            <w:tcW w:w="3119" w:type="dxa"/>
            <w:noWrap w:val="0"/>
            <w:vAlign w:val="center"/>
          </w:tcPr>
          <w:p w14:paraId="7EFA8DD4">
            <w:pPr>
              <w:keepNext w:val="0"/>
              <w:keepLines w:val="0"/>
              <w:pageBreakBefore w:val="0"/>
              <w:widowControl/>
              <w:kinsoku/>
              <w:wordWrap/>
              <w:autoSpaceDE/>
              <w:autoSpaceDN/>
              <w:snapToGrid/>
              <w:spacing w:before="0" w:beforeLines="0" w:beforeAutospacing="0" w:after="0" w:afterLines="0" w:afterAutospacing="0" w:line="240" w:lineRule="auto"/>
              <w:ind w:left="735" w:leftChars="350" w:right="0" w:firstLine="420" w:firstLineChars="200"/>
              <w:jc w:val="both"/>
              <w:textAlignment w:val="baseline"/>
              <w:outlineLvl w:val="9"/>
              <w:rPr>
                <w:rFonts w:hint="eastAsia"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一  份</w:t>
            </w:r>
          </w:p>
        </w:tc>
      </w:tr>
      <w:tr w14:paraId="3D60B0FE">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5353" w:type="dxa"/>
            <w:noWrap w:val="0"/>
            <w:vAlign w:val="center"/>
          </w:tcPr>
          <w:p w14:paraId="5379FFAB">
            <w:pPr>
              <w:keepNext w:val="0"/>
              <w:keepLines w:val="0"/>
              <w:pageBreakBefore w:val="0"/>
              <w:widowControl/>
              <w:kinsoku/>
              <w:wordWrap/>
              <w:autoSpaceDE/>
              <w:autoSpaceDN/>
              <w:snapToGrid/>
              <w:spacing w:before="0" w:beforeLines="0" w:beforeAutospacing="0" w:after="0" w:afterLines="0" w:afterAutospacing="0" w:line="240" w:lineRule="auto"/>
              <w:ind w:right="0" w:firstLine="632" w:firstLineChars="300"/>
              <w:jc w:val="left"/>
              <w:textAlignment w:val="baseline"/>
              <w:outlineLvl w:val="9"/>
              <w:rPr>
                <w:rFonts w:hint="default" w:ascii="Times New Roman" w:hAnsi="Times New Roman" w:cs="Times New Roman"/>
                <w:b/>
                <w:bCs/>
                <w:color w:val="auto"/>
                <w:sz w:val="21"/>
                <w:highlight w:val="yellow"/>
                <w:lang w:val="en-US" w:eastAsia="zh-CN"/>
              </w:rPr>
            </w:pPr>
            <w:r>
              <w:rPr>
                <w:rFonts w:hint="eastAsia" w:cs="Times New Roman"/>
                <w:b/>
                <w:bCs/>
                <w:color w:val="auto"/>
                <w:sz w:val="21"/>
                <w:highlight w:val="yellow"/>
                <w:lang w:val="en-US" w:eastAsia="zh-CN"/>
              </w:rPr>
              <w:t>8、</w:t>
            </w:r>
            <w:r>
              <w:rPr>
                <w:rFonts w:hint="eastAsia" w:ascii="宋体" w:hAnsi="宋体" w:eastAsia="宋体"/>
                <w:b/>
                <w:bCs/>
                <w:sz w:val="24"/>
                <w:highlight w:val="yellow"/>
                <w:lang w:val="en-US" w:eastAsia="zh-CN"/>
              </w:rPr>
              <w:t>尿流量监测仪</w:t>
            </w:r>
          </w:p>
        </w:tc>
        <w:tc>
          <w:tcPr>
            <w:tcW w:w="3119" w:type="dxa"/>
            <w:noWrap w:val="0"/>
            <w:vAlign w:val="center"/>
          </w:tcPr>
          <w:p w14:paraId="7EA190CE">
            <w:pPr>
              <w:keepNext w:val="0"/>
              <w:keepLines w:val="0"/>
              <w:pageBreakBefore w:val="0"/>
              <w:widowControl/>
              <w:kinsoku/>
              <w:wordWrap/>
              <w:autoSpaceDE/>
              <w:autoSpaceDN/>
              <w:snapToGrid/>
              <w:spacing w:before="0" w:beforeLines="0" w:beforeAutospacing="0" w:after="0" w:afterLines="0" w:afterAutospacing="0" w:line="240" w:lineRule="auto"/>
              <w:ind w:left="735" w:leftChars="350" w:right="0" w:firstLine="632" w:firstLineChars="300"/>
              <w:jc w:val="both"/>
              <w:textAlignment w:val="baseline"/>
              <w:outlineLvl w:val="9"/>
              <w:rPr>
                <w:rFonts w:hint="default" w:ascii="Times New Roman" w:hAnsi="Times New Roman" w:cs="Times New Roman"/>
                <w:b/>
                <w:bCs/>
                <w:color w:val="auto"/>
                <w:sz w:val="21"/>
                <w:highlight w:val="yellow"/>
                <w:lang w:val="en-US" w:eastAsia="zh-CN"/>
              </w:rPr>
            </w:pPr>
            <w:r>
              <w:rPr>
                <w:rFonts w:hint="eastAsia" w:cs="Times New Roman"/>
                <w:b/>
                <w:bCs/>
                <w:color w:val="auto"/>
                <w:sz w:val="21"/>
                <w:highlight w:val="yellow"/>
                <w:lang w:val="en-US" w:eastAsia="zh-CN"/>
              </w:rPr>
              <w:t>一台</w:t>
            </w:r>
          </w:p>
        </w:tc>
      </w:tr>
    </w:tbl>
    <w:p w14:paraId="0C29255C">
      <w:pPr>
        <w:rPr>
          <w:rFonts w:hint="default"/>
          <w:lang w:val="en-US" w:eastAsia="zh-CN"/>
        </w:rPr>
      </w:pPr>
    </w:p>
    <w:p w14:paraId="15EC7489">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3C5278E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14:paraId="490DFA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14:paraId="2BEC70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14:paraId="35A555D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14:paraId="492D172D">
      <w:pPr>
        <w:numPr>
          <w:ilvl w:val="0"/>
          <w:numId w:val="0"/>
        </w:numPr>
        <w:tabs>
          <w:tab w:val="left" w:pos="360"/>
        </w:tabs>
        <w:autoSpaceDE w:val="0"/>
        <w:autoSpaceDN w:val="0"/>
        <w:adjustRightInd w:val="0"/>
        <w:snapToGrid w:val="0"/>
        <w:spacing w:line="360" w:lineRule="auto"/>
        <w:ind w:leftChars="0" w:firstLine="480" w:firstLineChars="200"/>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7、中标</w:t>
      </w:r>
      <w:r>
        <w:rPr>
          <w:rFonts w:hint="eastAsia" w:ascii="宋体" w:hAnsi="宋体" w:cs="宋体"/>
          <w:color w:val="auto"/>
          <w:kern w:val="2"/>
          <w:sz w:val="24"/>
          <w:szCs w:val="24"/>
          <w:lang w:val="en-US" w:eastAsia="zh-CN" w:bidi="ar-SA"/>
        </w:rPr>
        <w:t>人</w:t>
      </w:r>
      <w:r>
        <w:rPr>
          <w:rFonts w:hint="eastAsia" w:ascii="宋体" w:hAnsi="宋体" w:eastAsia="宋体" w:cs="宋体"/>
          <w:color w:val="auto"/>
          <w:kern w:val="2"/>
          <w:sz w:val="24"/>
          <w:szCs w:val="24"/>
          <w:lang w:val="en-US" w:eastAsia="zh-CN" w:bidi="ar-SA"/>
        </w:rPr>
        <w:t>负责3名护士、2名医生各自不少于一周的培训(必须保证护士、医生的培训质量，培训不合格延期培训到合格为止）。</w:t>
      </w:r>
    </w:p>
    <w:p w14:paraId="15553E9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p>
    <w:p w14:paraId="2CE758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CB5D5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465A4B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1E32B9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29E1EE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E16B4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193384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1CF55D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1E0BA8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7DE2E6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64D07C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382A4F5C">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4560DD6D">
      <w:pPr>
        <w:keepNext w:val="0"/>
        <w:keepLines w:val="0"/>
        <w:pageBreakBefore w:val="0"/>
        <w:widowControl w:val="0"/>
        <w:kinsoku/>
        <w:wordWrap/>
        <w:overflowPunct/>
        <w:topLinePunct w:val="0"/>
        <w:autoSpaceDE/>
        <w:autoSpaceDN/>
        <w:bidi w:val="0"/>
        <w:adjustRightInd/>
        <w:snapToGrid/>
        <w:spacing w:line="480" w:lineRule="exact"/>
        <w:ind w:firstLine="6720" w:firstLineChars="28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合同编号：</w:t>
      </w:r>
    </w:p>
    <w:p w14:paraId="7B123B8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44"/>
          <w:szCs w:val="44"/>
          <w:lang w:val="en-US" w:eastAsia="zh-CN"/>
          <w14:textFill>
            <w14:solidFill>
              <w14:schemeClr w14:val="tx1"/>
            </w14:solidFill>
          </w14:textFill>
        </w:rPr>
        <w:t>医疗设备及专机专用耗材采购合同</w:t>
      </w:r>
    </w:p>
    <w:p w14:paraId="68138DF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14:paraId="41C7BFE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甲方（采购方）：</w:t>
      </w:r>
      <w:r>
        <w:rPr>
          <w:rFonts w:hint="eastAsia" w:ascii="宋体" w:hAnsi="宋体" w:eastAsia="宋体" w:cs="宋体"/>
          <w:color w:val="000000" w:themeColor="text1"/>
          <w:sz w:val="24"/>
          <w:szCs w:val="24"/>
          <w:lang w:val="en-US" w:eastAsia="zh-CN"/>
          <w14:textFill>
            <w14:solidFill>
              <w14:schemeClr w14:val="tx1"/>
            </w14:solidFill>
          </w14:textFill>
        </w:rPr>
        <w:t>娄底市中心医院</w:t>
      </w:r>
    </w:p>
    <w:p w14:paraId="4D995F3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法定代表人：</w:t>
      </w:r>
    </w:p>
    <w:p w14:paraId="43E2B40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统一社会信用代码：12431300447162073W</w:t>
      </w:r>
    </w:p>
    <w:p w14:paraId="5107DE4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地址：湖南省娄底市娄星区长青中街51号</w:t>
      </w:r>
    </w:p>
    <w:p w14:paraId="4A92EB5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联系人：朱振宇</w:t>
      </w:r>
    </w:p>
    <w:p w14:paraId="5731DAF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联系电话：15673845559</w:t>
      </w:r>
    </w:p>
    <w:p w14:paraId="074D2F9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乙方（供货方）：</w:t>
      </w:r>
    </w:p>
    <w:p w14:paraId="00B314F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法定代表人：</w:t>
      </w:r>
    </w:p>
    <w:p w14:paraId="67E326D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统一社会信用代码：</w:t>
      </w:r>
    </w:p>
    <w:p w14:paraId="0F67D01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w:t>
      </w:r>
    </w:p>
    <w:p w14:paraId="662F9127">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联系人：</w:t>
      </w:r>
    </w:p>
    <w:p w14:paraId="3187C88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p>
    <w:p w14:paraId="60FF152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361044D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甲方通过</w:t>
      </w:r>
      <w:r>
        <w:rPr>
          <w:rFonts w:hint="eastAsia" w:ascii="宋体" w:hAnsi="宋体" w:eastAsia="宋体" w:cs="宋体"/>
          <w:color w:val="000000" w:themeColor="text1"/>
          <w:sz w:val="24"/>
          <w:szCs w:val="24"/>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u w:val="none"/>
          <w:lang w:val="en-US" w:eastAsia="zh-CN"/>
          <w14:textFill>
            <w14:solidFill>
              <w14:schemeClr w14:val="tx1"/>
            </w14:solidFill>
          </w14:textFill>
        </w:rPr>
        <w:t>方式</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尿动力学分析仪及专机专用耗材</w:t>
      </w:r>
      <w:r>
        <w:rPr>
          <w:rFonts w:hint="eastAsia" w:ascii="宋体" w:hAnsi="宋体" w:eastAsia="宋体" w:cs="宋体"/>
          <w:color w:val="000000" w:themeColor="text1"/>
          <w:sz w:val="24"/>
          <w:szCs w:val="24"/>
          <w:lang w:val="en-US" w:eastAsia="zh-CN"/>
          <w14:textFill>
            <w14:solidFill>
              <w14:schemeClr w14:val="tx1"/>
            </w14:solidFill>
          </w14:textFill>
        </w:rPr>
        <w:t>，乙方为成交供应商。根据《中华人民共和国民法典》《中华人民共和国政府采购法》等相关法律规定，甲乙双方在采购项目确定的基础上，就采购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u w:val="single"/>
          <w:lang w:val="en-US" w:eastAsia="zh-CN"/>
          <w14:textFill>
            <w14:solidFill>
              <w14:schemeClr w14:val="tx1"/>
            </w14:solidFill>
          </w14:textFill>
        </w:rPr>
        <w:t>尿动力学分析仪及专机专用耗材</w:t>
      </w:r>
      <w:r>
        <w:rPr>
          <w:rFonts w:hint="eastAsia" w:ascii="宋体" w:hAnsi="宋体" w:eastAsia="宋体" w:cs="宋体"/>
          <w:color w:val="000000" w:themeColor="text1"/>
          <w:sz w:val="24"/>
          <w:szCs w:val="24"/>
          <w:lang w:val="en-US" w:eastAsia="zh-CN"/>
          <w14:textFill>
            <w14:solidFill>
              <w14:schemeClr w14:val="tx1"/>
            </w14:solidFill>
          </w14:textFill>
        </w:rPr>
        <w:t>事宜平等、自愿、公平、诚信协商，达成一致，特订立本合同，以资共同遵守。</w:t>
      </w:r>
    </w:p>
    <w:p w14:paraId="3C7167B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lang w:val="en-US" w:eastAsia="zh-CN"/>
          <w14:textFill>
            <w14:solidFill>
              <w14:schemeClr w14:val="tx1"/>
            </w14:solidFill>
          </w14:textFill>
        </w:rPr>
        <w:t>采购内容</w:t>
      </w:r>
    </w:p>
    <w:p w14:paraId="5B381CA5">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default" w:ascii="宋体" w:hAnsi="宋体" w:eastAsia="宋体" w:cs="宋体"/>
          <w:b/>
          <w:bCs/>
          <w:color w:val="000000" w:themeColor="text1"/>
          <w:kern w:val="2"/>
          <w:sz w:val="24"/>
          <w:szCs w:val="24"/>
          <w:lang w:val="en-US" w:eastAsia="zh-CN" w:bidi="ar-SA"/>
          <w14:textFill>
            <w14:solidFill>
              <w14:schemeClr w14:val="tx1"/>
            </w14:solidFill>
          </w14:textFill>
        </w:rPr>
        <w:t>1.1</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采购设备</w:t>
      </w:r>
    </w:p>
    <w:p w14:paraId="727E2C3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 设备名称、品牌、型号、价格</w:t>
      </w:r>
    </w:p>
    <w:tbl>
      <w:tblPr>
        <w:tblStyle w:val="9"/>
        <w:tblpPr w:leftFromText="180" w:rightFromText="180" w:vertAnchor="text" w:horzAnchor="page" w:tblpX="1779" w:tblpY="148"/>
        <w:tblOverlap w:val="never"/>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320"/>
        <w:gridCol w:w="1367"/>
        <w:gridCol w:w="1320"/>
        <w:gridCol w:w="1377"/>
        <w:gridCol w:w="1388"/>
      </w:tblGrid>
      <w:tr w14:paraId="7D61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996" w:type="dxa"/>
            <w:vAlign w:val="top"/>
          </w:tcPr>
          <w:p w14:paraId="467F7EC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320" w:type="dxa"/>
            <w:vAlign w:val="top"/>
          </w:tcPr>
          <w:p w14:paraId="5BF08A0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367" w:type="dxa"/>
            <w:vAlign w:val="top"/>
          </w:tcPr>
          <w:p w14:paraId="1769E0F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vAlign w:val="top"/>
          </w:tcPr>
          <w:p w14:paraId="7E9DCCA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1377" w:type="dxa"/>
            <w:vAlign w:val="top"/>
          </w:tcPr>
          <w:p w14:paraId="7B8FD92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388" w:type="dxa"/>
            <w:vAlign w:val="top"/>
          </w:tcPr>
          <w:p w14:paraId="6931F4E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14:paraId="0BA4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96" w:type="dxa"/>
            <w:vAlign w:val="center"/>
          </w:tcPr>
          <w:p w14:paraId="040ABCE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尿动力学分析仪</w:t>
            </w:r>
          </w:p>
        </w:tc>
        <w:tc>
          <w:tcPr>
            <w:tcW w:w="1320" w:type="dxa"/>
            <w:vAlign w:val="center"/>
          </w:tcPr>
          <w:p w14:paraId="30A8321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67" w:type="dxa"/>
            <w:vAlign w:val="center"/>
          </w:tcPr>
          <w:p w14:paraId="5EEADD1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center"/>
          </w:tcPr>
          <w:p w14:paraId="4DAEA05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77" w:type="dxa"/>
            <w:vAlign w:val="center"/>
          </w:tcPr>
          <w:p w14:paraId="18FF741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1台</w:t>
            </w:r>
          </w:p>
        </w:tc>
        <w:tc>
          <w:tcPr>
            <w:tcW w:w="1388" w:type="dxa"/>
            <w:vAlign w:val="center"/>
          </w:tcPr>
          <w:p w14:paraId="17541F2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14:paraId="19C7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68" w:type="dxa"/>
            <w:gridSpan w:val="6"/>
            <w:vAlign w:val="top"/>
          </w:tcPr>
          <w:p w14:paraId="125A3519">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14:paraId="2529335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p w14:paraId="3652319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72E8DC0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76B3AA9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4F5596A0">
      <w:pPr>
        <w:keepNext w:val="0"/>
        <w:keepLines w:val="0"/>
        <w:pageBreakBefore w:val="0"/>
        <w:widowControl w:val="0"/>
        <w:numPr>
          <w:ilvl w:val="1"/>
          <w:numId w:val="0"/>
        </w:numPr>
        <w:kinsoku/>
        <w:wordWrap/>
        <w:overflowPunct/>
        <w:topLinePunct w:val="0"/>
        <w:autoSpaceDE/>
        <w:autoSpaceDN/>
        <w:bidi w:val="0"/>
        <w:adjustRightInd w:val="0"/>
        <w:snapToGrid w:val="0"/>
        <w:spacing w:line="440" w:lineRule="exact"/>
        <w:ind w:left="479" w:leftChars="228" w:firstLine="0" w:firstLine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1.1.2 本合同设备约定价格为固定价格，不因物价、市场波动变更，该约定价格包括且不限于设计费、材料费、人工费、安装费、包装费、运输费、装卸费、调试费、接口费、检测费、检验费、税费、保险费、售后服务费、附随服务费等在内所有费用。</w:t>
      </w:r>
    </w:p>
    <w:p w14:paraId="64B1C868">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 本合同设备无需与甲方使用的信息系统对接。</w:t>
      </w:r>
    </w:p>
    <w:p w14:paraId="2A2934F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1.2 设备专机专用耗材供应</w:t>
      </w:r>
    </w:p>
    <w:p w14:paraId="0760D94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1.2.1 耗材名称、规格型号、编号、单价</w:t>
      </w:r>
    </w:p>
    <w:tbl>
      <w:tblPr>
        <w:tblStyle w:val="9"/>
        <w:tblW w:w="8895" w:type="dxa"/>
        <w:tblInd w:w="1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80"/>
        <w:gridCol w:w="1605"/>
        <w:gridCol w:w="1665"/>
        <w:gridCol w:w="1545"/>
      </w:tblGrid>
      <w:tr w14:paraId="2295E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DCA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专机专用耗材名称</w:t>
            </w:r>
          </w:p>
        </w:tc>
        <w:tc>
          <w:tcPr>
            <w:tcW w:w="1605" w:type="dxa"/>
            <w:tcBorders>
              <w:top w:val="single" w:color="auto" w:sz="4" w:space="0"/>
              <w:left w:val="single" w:color="000000" w:sz="4" w:space="0"/>
              <w:bottom w:val="single" w:color="000000" w:sz="4" w:space="0"/>
              <w:right w:val="single" w:color="auto" w:sz="4" w:space="0"/>
            </w:tcBorders>
            <w:shd w:val="clear" w:color="auto" w:fill="auto"/>
            <w:vAlign w:val="center"/>
          </w:tcPr>
          <w:p w14:paraId="35984CB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规格型号</w:t>
            </w:r>
          </w:p>
        </w:tc>
        <w:tc>
          <w:tcPr>
            <w:tcW w:w="1665" w:type="dxa"/>
            <w:tcBorders>
              <w:top w:val="single" w:color="auto" w:sz="4" w:space="0"/>
              <w:left w:val="single" w:color="auto" w:sz="4" w:space="0"/>
              <w:bottom w:val="single" w:color="000000" w:sz="4" w:space="0"/>
              <w:right w:val="single" w:color="000000" w:sz="4" w:space="0"/>
            </w:tcBorders>
            <w:shd w:val="clear" w:color="auto" w:fill="auto"/>
            <w:vAlign w:val="center"/>
          </w:tcPr>
          <w:p w14:paraId="5406E25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组件编号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988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单价（份/元）</w:t>
            </w:r>
          </w:p>
        </w:tc>
      </w:tr>
      <w:tr w14:paraId="02C90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31A33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t>尿道测压导管</w:t>
            </w:r>
          </w:p>
        </w:tc>
        <w:tc>
          <w:tcPr>
            <w:tcW w:w="1605" w:type="dxa"/>
            <w:tcBorders>
              <w:top w:val="single" w:color="000000" w:sz="4" w:space="0"/>
              <w:left w:val="single" w:color="000000" w:sz="4" w:space="0"/>
              <w:bottom w:val="single" w:color="000000" w:sz="4" w:space="0"/>
              <w:right w:val="single" w:color="auto" w:sz="4" w:space="0"/>
            </w:tcBorders>
            <w:shd w:val="clear" w:color="auto" w:fill="auto"/>
            <w:vAlign w:val="bottom"/>
          </w:tcPr>
          <w:p w14:paraId="60622EB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665" w:type="dxa"/>
            <w:tcBorders>
              <w:top w:val="single" w:color="000000" w:sz="4" w:space="0"/>
              <w:left w:val="single" w:color="auto" w:sz="4" w:space="0"/>
              <w:bottom w:val="single" w:color="000000" w:sz="4" w:space="0"/>
              <w:right w:val="single" w:color="000000" w:sz="4" w:space="0"/>
            </w:tcBorders>
            <w:shd w:val="clear" w:color="auto" w:fill="auto"/>
            <w:vAlign w:val="bottom"/>
          </w:tcPr>
          <w:p w14:paraId="227F9AE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C61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r>
      <w:tr w14:paraId="75C15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BF6A6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直肠测压导管</w:t>
            </w:r>
          </w:p>
        </w:tc>
        <w:tc>
          <w:tcPr>
            <w:tcW w:w="1605" w:type="dxa"/>
            <w:tcBorders>
              <w:top w:val="single" w:color="000000" w:sz="4" w:space="0"/>
              <w:left w:val="single" w:color="000000" w:sz="4" w:space="0"/>
              <w:bottom w:val="single" w:color="000000" w:sz="4" w:space="0"/>
              <w:right w:val="single" w:color="auto" w:sz="4" w:space="0"/>
            </w:tcBorders>
            <w:shd w:val="clear" w:color="auto" w:fill="auto"/>
            <w:vAlign w:val="bottom"/>
          </w:tcPr>
          <w:p w14:paraId="0D85EA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665" w:type="dxa"/>
            <w:tcBorders>
              <w:top w:val="single" w:color="000000" w:sz="4" w:space="0"/>
              <w:left w:val="single" w:color="auto" w:sz="4" w:space="0"/>
              <w:bottom w:val="single" w:color="000000" w:sz="4" w:space="0"/>
              <w:right w:val="single" w:color="000000" w:sz="4" w:space="0"/>
            </w:tcBorders>
            <w:shd w:val="clear" w:color="auto" w:fill="auto"/>
            <w:vAlign w:val="bottom"/>
          </w:tcPr>
          <w:p w14:paraId="4250E3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4BD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r>
      <w:tr w14:paraId="4C62D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81B90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尿动力测压连接管套装</w:t>
            </w:r>
          </w:p>
        </w:tc>
        <w:tc>
          <w:tcPr>
            <w:tcW w:w="1605" w:type="dxa"/>
            <w:tcBorders>
              <w:top w:val="single" w:color="000000" w:sz="4" w:space="0"/>
              <w:left w:val="single" w:color="000000" w:sz="4" w:space="0"/>
              <w:bottom w:val="single" w:color="000000" w:sz="4" w:space="0"/>
              <w:right w:val="single" w:color="auto" w:sz="4" w:space="0"/>
            </w:tcBorders>
            <w:shd w:val="clear" w:color="auto" w:fill="auto"/>
            <w:vAlign w:val="bottom"/>
          </w:tcPr>
          <w:p w14:paraId="04F0D86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665" w:type="dxa"/>
            <w:tcBorders>
              <w:top w:val="single" w:color="000000" w:sz="4" w:space="0"/>
              <w:left w:val="single" w:color="auto" w:sz="4" w:space="0"/>
              <w:bottom w:val="single" w:color="000000" w:sz="4" w:space="0"/>
              <w:right w:val="single" w:color="000000" w:sz="4" w:space="0"/>
            </w:tcBorders>
            <w:shd w:val="clear" w:color="auto" w:fill="auto"/>
            <w:vAlign w:val="bottom"/>
          </w:tcPr>
          <w:p w14:paraId="5264D87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E4B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r>
    </w:tbl>
    <w:p w14:paraId="1F06E4DF">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kern w:val="2"/>
          <w:sz w:val="24"/>
          <w:szCs w:val="24"/>
          <w:lang w:val="en-US" w:eastAsia="zh-CN" w:bidi="ar-SA"/>
          <w14:textFill>
            <w14:solidFill>
              <w14:schemeClr w14:val="tx1"/>
            </w14:solidFill>
          </w14:textFill>
        </w:rPr>
        <w:t>1.2</w:t>
      </w: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.2  </w:t>
      </w:r>
      <w:r>
        <w:rPr>
          <w:rFonts w:hint="eastAsia" w:ascii="宋体" w:hAnsi="宋体" w:eastAsia="宋体" w:cs="宋体"/>
          <w:color w:val="000000" w:themeColor="text1"/>
          <w:sz w:val="24"/>
          <w:szCs w:val="24"/>
          <w:lang w:val="en-US" w:eastAsia="zh-CN"/>
          <w14:textFill>
            <w14:solidFill>
              <w14:schemeClr w14:val="tx1"/>
            </w14:solidFill>
          </w14:textFill>
        </w:rPr>
        <w:t>本合同专机专用耗材供货期限为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年，自本合同设备经总体验收合格之日起算；供应期限内，如甲方停止使用</w:t>
      </w:r>
      <w:r>
        <w:rPr>
          <w:rFonts w:hint="eastAsia" w:ascii="宋体" w:hAnsi="宋体" w:eastAsia="宋体" w:cs="宋体"/>
          <w:color w:val="000000" w:themeColor="text1"/>
          <w:kern w:val="0"/>
          <w:sz w:val="24"/>
          <w:szCs w:val="24"/>
          <w:lang w:eastAsia="zh-CN"/>
          <w14:textFill>
            <w14:solidFill>
              <w14:schemeClr w14:val="tx1"/>
            </w14:solidFill>
          </w14:textFill>
        </w:rPr>
        <w:t>尿动力学分析仪</w:t>
      </w: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sz w:val="24"/>
          <w:szCs w:val="24"/>
          <w:lang w:val="en-US" w:eastAsia="zh-CN"/>
          <w14:textFill>
            <w14:solidFill>
              <w14:schemeClr w14:val="tx1"/>
            </w14:solidFill>
          </w14:textFill>
        </w:rPr>
        <w:t>专机</w:t>
      </w:r>
      <w:r>
        <w:rPr>
          <w:rFonts w:hint="eastAsia" w:ascii="宋体" w:hAnsi="宋体" w:eastAsia="宋体" w:cs="宋体"/>
          <w:color w:val="000000" w:themeColor="text1"/>
          <w:kern w:val="0"/>
          <w:sz w:val="24"/>
          <w:szCs w:val="24"/>
          <w:lang w:val="en-US" w:eastAsia="zh-CN"/>
          <w14:textFill>
            <w14:solidFill>
              <w14:schemeClr w14:val="tx1"/>
            </w14:solidFill>
          </w14:textFill>
        </w:rPr>
        <w:t>专用耗材供应自动终止。</w:t>
      </w:r>
    </w:p>
    <w:p w14:paraId="516CAA3C">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 本合同耗材约定价格包括但不限于材料费、运输费、包装费、装卸费、搬运费、附随服务费、税费、保险费等。</w:t>
      </w:r>
    </w:p>
    <w:p w14:paraId="4FDCE58D">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1.2.4 本合同耗材供货期限内，如遇政府政策性或交易平台调价：调整后的价格低于本合同价格的，自调价之后发送的书面订单一律按调整后的价格执行；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调整后的价格高于本合同价格的，原则上按本合同约定价格执行，如乙方因特殊情况需要调整，应先书面通知甲方，经甲乙双方协商一致后按协商后的价格执行，如双方无法达成一致，甲方有权对该耗材公开遴选</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。本合同约定的医用耗材集采后，甲方库存中剩余耗材均按新的集采价格进行结算。</w:t>
      </w:r>
    </w:p>
    <w:p w14:paraId="12D0765F">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1.2.5 如无政府政策性或交易平台调价，甲方接受乙方对本合同约定价格进行下调，自乙方发出价格下调通知之日起，甲方发送的书面订单一律按下调后的价格执行。</w:t>
      </w:r>
    </w:p>
    <w:p w14:paraId="7886BC0C">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1.2.6 乙方承诺严格遵守法律法规、政策和甲方制度履行合同，接受甲方供应商管理考核，无条件配合甲方管理，包括但不限于配合甲方耗材HRP系统信息录入、赋码、耗材SPD配送管理等工作，因SPD配送产生的服务费用由乙方自行承担。</w:t>
      </w:r>
    </w:p>
    <w:p w14:paraId="47F5F3C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lang w:val="en-US" w:eastAsia="zh-CN"/>
          <w14:textFill>
            <w14:solidFill>
              <w14:schemeClr w14:val="tx1"/>
            </w14:solidFill>
          </w14:textFill>
        </w:rPr>
        <w:t>交货时间、地点、运输及装卸</w:t>
      </w:r>
    </w:p>
    <w:p w14:paraId="6994035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2.1  设备</w:t>
      </w:r>
      <w:r>
        <w:rPr>
          <w:rFonts w:hint="default" w:ascii="宋体" w:hAnsi="宋体" w:eastAsia="宋体" w:cs="宋体"/>
          <w:b/>
          <w:bCs/>
          <w:color w:val="000000" w:themeColor="text1"/>
          <w:sz w:val="24"/>
          <w:szCs w:val="24"/>
          <w:lang w:val="en-US" w:eastAsia="zh-CN"/>
          <w14:textFill>
            <w14:solidFill>
              <w14:schemeClr w14:val="tx1"/>
            </w14:solidFill>
          </w14:textFill>
        </w:rPr>
        <w:t>交货时间地点、运输及装卸</w:t>
      </w:r>
    </w:p>
    <w:p w14:paraId="1EC695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2.1.1</w:t>
      </w:r>
      <w:r>
        <w:rPr>
          <w:rFonts w:hint="default" w:ascii="宋体" w:hAnsi="宋体" w:eastAsia="宋体" w:cs="宋体"/>
          <w:color w:val="000000" w:themeColor="text1"/>
          <w:sz w:val="24"/>
          <w:szCs w:val="24"/>
          <w:lang w:val="en-US" w:eastAsia="zh-CN"/>
          <w14:textFill>
            <w14:solidFill>
              <w14:schemeClr w14:val="tx1"/>
            </w14:solidFill>
          </w14:textFill>
        </w:rPr>
        <w:t>乙方应在</w:t>
      </w:r>
      <w:r>
        <w:rPr>
          <w:rFonts w:hint="eastAsia" w:ascii="宋体" w:hAnsi="宋体" w:cs="宋体"/>
          <w:color w:val="000000" w:themeColor="text1"/>
          <w:sz w:val="24"/>
          <w:szCs w:val="24"/>
          <w:lang w:val="en-US" w:eastAsia="zh-CN"/>
          <w14:textFill>
            <w14:solidFill>
              <w14:schemeClr w14:val="tx1"/>
            </w14:solidFill>
          </w14:textFill>
        </w:rPr>
        <w:t>接到甲方通知30日内</w:t>
      </w:r>
      <w:r>
        <w:rPr>
          <w:rFonts w:hint="default" w:ascii="宋体" w:hAnsi="宋体" w:eastAsia="宋体" w:cs="宋体"/>
          <w:color w:val="000000" w:themeColor="text1"/>
          <w:sz w:val="24"/>
          <w:szCs w:val="24"/>
          <w:lang w:val="en-US" w:eastAsia="zh-CN"/>
          <w14:textFill>
            <w14:solidFill>
              <w14:schemeClr w14:val="tx1"/>
            </w14:solidFill>
          </w14:textFill>
        </w:rPr>
        <w:t>将设备运至</w:t>
      </w:r>
      <w:r>
        <w:rPr>
          <w:rFonts w:hint="eastAsia" w:ascii="宋体" w:hAnsi="宋体" w:eastAsia="宋体" w:cs="宋体"/>
          <w:color w:val="000000" w:themeColor="text1"/>
          <w:sz w:val="24"/>
          <w:szCs w:val="24"/>
          <w:lang w:val="en-US" w:eastAsia="zh-CN"/>
          <w14:textFill>
            <w14:solidFill>
              <w14:schemeClr w14:val="tx1"/>
            </w14:solidFill>
          </w14:textFill>
        </w:rPr>
        <w:t>甲方指定交货</w:t>
      </w:r>
      <w:r>
        <w:rPr>
          <w:rFonts w:hint="default" w:ascii="宋体" w:hAnsi="宋体" w:eastAsia="宋体" w:cs="宋体"/>
          <w:color w:val="000000" w:themeColor="text1"/>
          <w:sz w:val="24"/>
          <w:szCs w:val="24"/>
          <w:lang w:val="en-US" w:eastAsia="zh-CN"/>
          <w14:textFill>
            <w14:solidFill>
              <w14:schemeClr w14:val="tx1"/>
            </w14:solidFill>
          </w14:textFill>
        </w:rPr>
        <w:t>地点，</w:t>
      </w:r>
      <w:r>
        <w:rPr>
          <w:rFonts w:hint="eastAsia" w:ascii="宋体" w:hAnsi="宋体" w:eastAsia="宋体" w:cs="宋体"/>
          <w:color w:val="000000" w:themeColor="text1"/>
          <w:sz w:val="24"/>
          <w:szCs w:val="24"/>
          <w:lang w:val="en-US" w:eastAsia="zh-CN"/>
          <w14:textFill>
            <w14:solidFill>
              <w14:schemeClr w14:val="tx1"/>
            </w14:solidFill>
          </w14:textFill>
        </w:rPr>
        <w:t>并在到货后7日内</w:t>
      </w:r>
      <w:r>
        <w:rPr>
          <w:rFonts w:hint="default" w:ascii="宋体" w:hAnsi="宋体" w:eastAsia="宋体" w:cs="宋体"/>
          <w:color w:val="000000" w:themeColor="text1"/>
          <w:sz w:val="24"/>
          <w:szCs w:val="24"/>
          <w:lang w:val="en-US" w:eastAsia="zh-CN"/>
          <w14:textFill>
            <w14:solidFill>
              <w14:schemeClr w14:val="tx1"/>
            </w14:solidFill>
          </w14:textFill>
        </w:rPr>
        <w:t>完成安装、调试，办理验收手续并交付甲方使用。</w:t>
      </w:r>
    </w:p>
    <w:p w14:paraId="1C0DB54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.1.2 甲方指定</w:t>
      </w:r>
      <w:r>
        <w:rPr>
          <w:rFonts w:hint="default" w:ascii="宋体" w:hAnsi="宋体" w:eastAsia="宋体" w:cs="宋体"/>
          <w:color w:val="000000" w:themeColor="text1"/>
          <w:sz w:val="24"/>
          <w:szCs w:val="24"/>
          <w:lang w:val="en-US" w:eastAsia="zh-CN"/>
          <w14:textFill>
            <w14:solidFill>
              <w14:schemeClr w14:val="tx1"/>
            </w14:solidFill>
          </w14:textFill>
        </w:rPr>
        <w:t>交货地点：娄底市中心医院</w:t>
      </w:r>
      <w:r>
        <w:rPr>
          <w:rFonts w:hint="eastAsia" w:ascii="宋体" w:hAnsi="宋体" w:eastAsia="宋体" w:cs="宋体"/>
          <w:color w:val="000000" w:themeColor="text1"/>
          <w:sz w:val="24"/>
          <w:szCs w:val="24"/>
          <w:lang w:val="en-US" w:eastAsia="zh-CN"/>
          <w14:textFill>
            <w14:solidFill>
              <w14:schemeClr w14:val="tx1"/>
            </w14:solidFill>
          </w14:textFill>
        </w:rPr>
        <w:t>设备科</w:t>
      </w:r>
      <w:r>
        <w:rPr>
          <w:rFonts w:hint="default" w:ascii="宋体" w:hAnsi="宋体" w:eastAsia="宋体" w:cs="宋体"/>
          <w:color w:val="000000" w:themeColor="text1"/>
          <w:sz w:val="24"/>
          <w:szCs w:val="24"/>
          <w:lang w:val="en-US" w:eastAsia="zh-CN"/>
          <w14:textFill>
            <w14:solidFill>
              <w14:schemeClr w14:val="tx1"/>
            </w14:solidFill>
          </w14:textFill>
        </w:rPr>
        <w:t>（湖南省娄底市</w:t>
      </w:r>
      <w:r>
        <w:rPr>
          <w:rFonts w:hint="eastAsia" w:ascii="宋体" w:hAnsi="宋体" w:eastAsia="宋体" w:cs="宋体"/>
          <w:color w:val="000000" w:themeColor="text1"/>
          <w:sz w:val="24"/>
          <w:szCs w:val="24"/>
          <w:lang w:val="en-US" w:eastAsia="zh-CN"/>
          <w14:textFill>
            <w14:solidFill>
              <w14:schemeClr w14:val="tx1"/>
            </w14:solidFill>
          </w14:textFill>
        </w:rPr>
        <w:t>娄星区</w:t>
      </w:r>
      <w:r>
        <w:rPr>
          <w:rFonts w:hint="default" w:ascii="宋体" w:hAnsi="宋体" w:eastAsia="宋体" w:cs="宋体"/>
          <w:color w:val="000000" w:themeColor="text1"/>
          <w:sz w:val="24"/>
          <w:szCs w:val="24"/>
          <w:lang w:val="en-US" w:eastAsia="zh-CN"/>
          <w14:textFill>
            <w14:solidFill>
              <w14:schemeClr w14:val="tx1"/>
            </w14:solidFill>
          </w14:textFill>
        </w:rPr>
        <w:t xml:space="preserve">长青中街51号）。 </w:t>
      </w:r>
    </w:p>
    <w:p w14:paraId="119BD7A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2.1.3  </w:t>
      </w:r>
      <w:r>
        <w:rPr>
          <w:rFonts w:hint="default" w:ascii="宋体" w:hAnsi="宋体" w:eastAsia="宋体" w:cs="宋体"/>
          <w:color w:val="000000" w:themeColor="text1"/>
          <w:sz w:val="24"/>
          <w:szCs w:val="24"/>
          <w:lang w:val="en-US" w:eastAsia="zh-CN"/>
          <w14:textFill>
            <w14:solidFill>
              <w14:schemeClr w14:val="tx1"/>
            </w14:solidFill>
          </w14:textFill>
        </w:rPr>
        <w:t>运输及装卸：由乙方自备交通运输工具将设备运至合同约定地点，并负责设备装卸</w:t>
      </w:r>
      <w:r>
        <w:rPr>
          <w:rFonts w:hint="eastAsia" w:ascii="宋体" w:hAnsi="宋体" w:eastAsia="宋体" w:cs="宋体"/>
          <w:color w:val="000000" w:themeColor="text1"/>
          <w:sz w:val="24"/>
          <w:szCs w:val="24"/>
          <w:lang w:val="en-US" w:eastAsia="zh-CN"/>
          <w14:textFill>
            <w14:solidFill>
              <w14:schemeClr w14:val="tx1"/>
            </w14:solidFill>
          </w14:textFill>
        </w:rPr>
        <w:t>的人工及费用</w:t>
      </w:r>
      <w:r>
        <w:rPr>
          <w:rFonts w:hint="default" w:ascii="宋体" w:hAnsi="宋体" w:eastAsia="宋体" w:cs="宋体"/>
          <w:color w:val="000000" w:themeColor="text1"/>
          <w:sz w:val="24"/>
          <w:szCs w:val="24"/>
          <w:lang w:val="en-US" w:eastAsia="zh-CN"/>
          <w14:textFill>
            <w14:solidFill>
              <w14:schemeClr w14:val="tx1"/>
            </w14:solidFill>
          </w14:textFill>
        </w:rPr>
        <w:t>。</w:t>
      </w:r>
    </w:p>
    <w:p w14:paraId="4A81C23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2.2 设备专机专用耗材交货时间地点、运输及装卸</w:t>
      </w:r>
    </w:p>
    <w:p w14:paraId="4DD64C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2.2.1 交货时间：乙方自甲方发送专机专用耗材书面订单之日起5日内，按书面订单要求将耗材送至甲方指定地点，非工作日、节假日正常执行。</w:t>
      </w:r>
    </w:p>
    <w:p w14:paraId="267110D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2.2.2 交货地点：娄底市中心医院设备科仓库，指定收货人：娄底市中心医院设备科仓库管理员。</w:t>
      </w:r>
    </w:p>
    <w:p w14:paraId="3B3228D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2.2.3 由乙方自备交通运输工具将耗材运至合同约定地点，并负责耗材装卸的人工及费用。</w:t>
      </w:r>
    </w:p>
    <w:p w14:paraId="65EF87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14:paraId="199D56B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3.1  设备质量标准、质量验收、包装要求</w:t>
      </w:r>
    </w:p>
    <w:p w14:paraId="3EC0A2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3.1.1 乙方提供设备的质量、安装应符合或优于国家标准；如响应文件中的技术参数和质量标准高于国家标准，则设备的技术参数和质量标准以响应文件为准。</w:t>
      </w:r>
    </w:p>
    <w:p w14:paraId="7318F59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3.1.2 设备质量验收：以本合同约定标准按以下方式进行验收： </w:t>
      </w:r>
    </w:p>
    <w:p w14:paraId="7B3007C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1B79CAE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3.1.2.2 设备总体验收：乙方将设备全部拆包、安装、调试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0777496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69882AD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3.1.3 包装要求：乙方提供的设备必须为原厂包装，外包装到货时应保证完好无损，否则甲方有权拒绝收货，由此造成的延期交货违约责任和一切经济损失全部由乙方承担。</w:t>
      </w:r>
    </w:p>
    <w:p w14:paraId="597C5F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3.2 专机专用耗材质量标准、质量验收、包装要求</w:t>
      </w:r>
    </w:p>
    <w:p w14:paraId="3F2DE0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3.2.1 国内生产的耗材应当符合国家质量标准和行业强制性标准；进口耗材须具备进口医用耗材注册证、批件，口岸药检所出具的检验报告书或注明“已抽样”的通关单；乙方送交的耗材均应提供相应合格证书。</w:t>
      </w:r>
    </w:p>
    <w:p w14:paraId="5E2FEC3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3.2.2 耗材质量验收：甲方每次收到乙方提供耗材时，应组织人员对耗材的数量、包装、有效期等外观进行验收，乙方提供的耗材外观标准与中标（挂网）医用耗材目录品种信息和甲方书面订单要求相符的，甲方在乙方送货单上签字确认验收；乙方提供的医用耗材外观标准与中标（挂网）医用耗材目录品种信息、甲方订单要求不符的，甲方有权拒收。乙方应在甲方拒收之日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3</w:t>
      </w:r>
      <w:r>
        <w:rPr>
          <w:rFonts w:hint="eastAsia" w:ascii="宋体" w:hAnsi="宋体" w:eastAsia="宋体" w:cs="宋体"/>
          <w:color w:val="000000" w:themeColor="text1"/>
          <w:sz w:val="24"/>
          <w:szCs w:val="24"/>
          <w:lang w:val="en-US" w:eastAsia="zh-CN"/>
          <w14:textFill>
            <w14:solidFill>
              <w14:schemeClr w14:val="tx1"/>
            </w14:solidFill>
          </w14:textFill>
        </w:rPr>
        <w:t>日内，向甲方更换合格的医用耗材。</w:t>
      </w:r>
    </w:p>
    <w:p w14:paraId="26A68D0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3.2.3 效期要求：乙方提供的耗材效期须在12个月以上，如乙方提供的医用耗材效期少于12个月的，甲方有权拒收，乙方应在甲方拒收之日起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lang w:val="en-US" w:eastAsia="zh-CN"/>
          <w14:textFill>
            <w14:solidFill>
              <w14:schemeClr w14:val="tx1"/>
            </w14:solidFill>
          </w14:textFill>
        </w:rPr>
        <w:t>日内，向甲方更换符合效期要求的医用耗材。</w:t>
      </w:r>
    </w:p>
    <w:p w14:paraId="1BEF96A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3.2.4 包装要求：医用耗材包装须与交易平台上中标（挂网）医用耗材的信息一致，包装为原产包装且应完全无损，如甲方对包装有特殊要求时，乙方应按甲方订单要求包装。</w:t>
      </w:r>
    </w:p>
    <w:p w14:paraId="63A2B88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第四条 安装、培训、通知等事项</w:t>
      </w:r>
    </w:p>
    <w:p w14:paraId="1A854B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  甲方负责协调、处理与安装、调试有关事宜，为乙方创造良好的安装、调试环境。</w:t>
      </w:r>
    </w:p>
    <w:p w14:paraId="53292AA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  甲方委派</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lang w:val="en-US" w:eastAsia="zh-CN"/>
          <w14:textFill>
            <w14:solidFill>
              <w14:schemeClr w14:val="tx1"/>
            </w14:solidFill>
          </w14:textFill>
        </w:rPr>
        <w:t>作为代表，跟踪、检查安装、调试现场。</w:t>
      </w:r>
    </w:p>
    <w:p w14:paraId="66F9814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4.3  乙方负责甲方操作人员培训，确保甲方</w:t>
      </w:r>
      <w:r>
        <w:rPr>
          <w:rFonts w:hint="eastAsia" w:ascii="宋体" w:hAnsi="宋体" w:eastAsia="宋体" w:cs="宋体"/>
          <w:color w:val="0000FF"/>
          <w:sz w:val="24"/>
          <w:szCs w:val="24"/>
          <w:lang w:val="en-US" w:eastAsia="zh-CN"/>
        </w:rPr>
        <w:t>每名</w:t>
      </w:r>
      <w:r>
        <w:rPr>
          <w:rFonts w:hint="eastAsia" w:ascii="宋体" w:hAnsi="宋体" w:eastAsia="宋体" w:cs="宋体"/>
          <w:color w:val="000000" w:themeColor="text1"/>
          <w:sz w:val="24"/>
          <w:szCs w:val="24"/>
          <w:lang w:val="en-US" w:eastAsia="zh-CN"/>
          <w14:textFill>
            <w14:solidFill>
              <w14:schemeClr w14:val="tx1"/>
            </w14:solidFill>
          </w14:textFill>
        </w:rPr>
        <w:t>操作人员</w:t>
      </w:r>
      <w:r>
        <w:rPr>
          <w:rFonts w:hint="eastAsia" w:ascii="宋体" w:hAnsi="宋体" w:eastAsia="宋体" w:cs="宋体"/>
          <w:color w:val="0000FF"/>
          <w:sz w:val="24"/>
          <w:szCs w:val="24"/>
          <w:lang w:val="en-US" w:eastAsia="zh-CN"/>
        </w:rPr>
        <w:t>（3名护士、2名医生）</w:t>
      </w:r>
      <w:r>
        <w:rPr>
          <w:rFonts w:hint="eastAsia" w:ascii="宋体" w:hAnsi="宋体" w:eastAsia="宋体" w:cs="宋体"/>
          <w:color w:val="FF0000"/>
          <w:sz w:val="24"/>
          <w:szCs w:val="24"/>
          <w:lang w:val="en-US" w:eastAsia="zh-CN"/>
        </w:rPr>
        <w:t>的</w:t>
      </w:r>
      <w:r>
        <w:rPr>
          <w:rFonts w:hint="eastAsia" w:ascii="宋体" w:hAnsi="宋体" w:eastAsia="宋体" w:cs="宋体"/>
          <w:color w:val="000000" w:themeColor="text1"/>
          <w:sz w:val="24"/>
          <w:szCs w:val="24"/>
          <w:lang w:val="en-US" w:eastAsia="zh-CN"/>
          <w14:textFill>
            <w14:solidFill>
              <w14:schemeClr w14:val="tx1"/>
            </w14:solidFill>
          </w14:textFill>
        </w:rPr>
        <w:t>培训时间</w:t>
      </w:r>
      <w:r>
        <w:rPr>
          <w:rFonts w:hint="eastAsia" w:ascii="宋体" w:hAnsi="宋体" w:eastAsia="宋体" w:cs="宋体"/>
          <w:color w:val="FF0000"/>
          <w:sz w:val="24"/>
          <w:szCs w:val="24"/>
          <w:lang w:val="en-US" w:eastAsia="zh-CN"/>
        </w:rPr>
        <w:t>不少于一周且培训质量合格，</w:t>
      </w:r>
      <w:r>
        <w:rPr>
          <w:rFonts w:hint="eastAsia" w:ascii="宋体" w:hAnsi="宋体" w:eastAsia="宋体" w:cs="宋体"/>
          <w:color w:val="0000FF"/>
          <w:sz w:val="24"/>
          <w:szCs w:val="24"/>
          <w:lang w:val="en-US" w:eastAsia="zh-CN"/>
        </w:rPr>
        <w:t>如甲方人员培训不合格</w:t>
      </w:r>
      <w:r>
        <w:rPr>
          <w:rFonts w:hint="eastAsia" w:ascii="宋体" w:hAnsi="宋体" w:eastAsia="宋体" w:cs="宋体"/>
          <w:color w:val="FF0000"/>
          <w:sz w:val="24"/>
          <w:szCs w:val="24"/>
          <w:lang w:val="en-US" w:eastAsia="zh-CN"/>
        </w:rPr>
        <w:t>，</w:t>
      </w:r>
      <w:r>
        <w:rPr>
          <w:rFonts w:hint="eastAsia" w:ascii="宋体" w:hAnsi="宋体" w:eastAsia="宋体" w:cs="宋体"/>
          <w:color w:val="0000FF"/>
          <w:sz w:val="24"/>
          <w:szCs w:val="24"/>
          <w:lang w:val="en-US" w:eastAsia="zh-CN"/>
        </w:rPr>
        <w:t>乙方负责培训到甲方人员培训合格为止；因培训产生的课时费、人工费、交通费、食宿费等所有费用均由乙方承担</w:t>
      </w:r>
      <w:r>
        <w:rPr>
          <w:rFonts w:hint="eastAsia" w:ascii="宋体" w:hAnsi="宋体" w:eastAsia="宋体" w:cs="宋体"/>
          <w:color w:val="000000" w:themeColor="text1"/>
          <w:sz w:val="24"/>
          <w:szCs w:val="24"/>
          <w:lang w:val="en-US" w:eastAsia="zh-CN"/>
          <w14:textFill>
            <w14:solidFill>
              <w14:schemeClr w14:val="tx1"/>
            </w14:solidFill>
          </w14:textFill>
        </w:rPr>
        <w:t>。</w:t>
      </w:r>
    </w:p>
    <w:p w14:paraId="17316F6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4.4  乙方在安装、调试过程中应加强操作人员的安全教育，杜绝安全事故的发生。 </w:t>
      </w:r>
    </w:p>
    <w:p w14:paraId="0C2166E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第五条 售后服务</w:t>
      </w:r>
    </w:p>
    <w:p w14:paraId="1829C8F2">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2" w:firstLineChars="200"/>
        <w:jc w:val="left"/>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5.1 设备售后服务</w:t>
      </w:r>
    </w:p>
    <w:p w14:paraId="65A08B44">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5.1.1 本合同设备质保期为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lang w:val="en-US" w:eastAsia="zh-CN"/>
          <w14:textFill>
            <w14:solidFill>
              <w14:schemeClr w14:val="tx1"/>
            </w14:solidFill>
          </w14:textFill>
        </w:rPr>
        <w:t>年，自甲方在总体验收报告单上签字确认合格之日起算。</w:t>
      </w:r>
    </w:p>
    <w:p w14:paraId="21D540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5.1.2  </w:t>
      </w:r>
      <w:r>
        <w:rPr>
          <w:rFonts w:hint="eastAsia" w:ascii="宋体" w:hAnsi="宋体" w:eastAsia="宋体" w:cs="宋体"/>
          <w:color w:val="000000" w:themeColor="text1"/>
          <w:sz w:val="24"/>
          <w14:textFill>
            <w14:solidFill>
              <w14:schemeClr w14:val="tx1"/>
            </w14:solidFill>
          </w14:textFill>
        </w:rPr>
        <w:t>乙方在质保期内免费提供</w:t>
      </w:r>
      <w:r>
        <w:rPr>
          <w:rFonts w:hint="eastAsia" w:ascii="宋体" w:hAnsi="宋体" w:eastAsia="宋体" w:cs="宋体"/>
          <w:color w:val="000000" w:themeColor="text1"/>
          <w:sz w:val="24"/>
          <w:szCs w:val="24"/>
          <w:lang w:val="en-US" w:eastAsia="zh-CN"/>
          <w14:textFill>
            <w14:solidFill>
              <w14:schemeClr w14:val="tx1"/>
            </w14:solidFill>
          </w14:textFill>
        </w:rPr>
        <w:t>设备</w:t>
      </w:r>
      <w:r>
        <w:rPr>
          <w:rFonts w:hint="eastAsia" w:ascii="宋体" w:hAnsi="宋体" w:eastAsia="宋体" w:cs="宋体"/>
          <w:color w:val="000000" w:themeColor="text1"/>
          <w:sz w:val="24"/>
          <w14:textFill>
            <w14:solidFill>
              <w14:schemeClr w14:val="tx1"/>
            </w14:solidFill>
          </w14:textFill>
        </w:rPr>
        <w:t>维修、更换、保养、咨询等服务。</w:t>
      </w:r>
      <w:r>
        <w:rPr>
          <w:rFonts w:hint="eastAsia" w:ascii="宋体" w:hAnsi="宋体" w:eastAsia="宋体" w:cs="宋体"/>
          <w:color w:val="000000" w:themeColor="text1"/>
          <w:sz w:val="24"/>
          <w:szCs w:val="24"/>
          <w:lang w:val="en-US" w:eastAsia="zh-CN"/>
          <w14:textFill>
            <w14:solidFill>
              <w14:schemeClr w14:val="tx1"/>
            </w14:solidFill>
          </w14:textFill>
        </w:rPr>
        <w:t>如设备在</w:t>
      </w:r>
      <w:r>
        <w:rPr>
          <w:rFonts w:hint="eastAsia" w:ascii="宋体" w:hAnsi="宋体" w:eastAsia="宋体" w:cs="宋体"/>
          <w:color w:val="000000" w:themeColor="text1"/>
          <w:sz w:val="24"/>
          <w14:textFill>
            <w14:solidFill>
              <w14:schemeClr w14:val="tx1"/>
            </w14:solidFill>
          </w14:textFill>
        </w:rPr>
        <w:t>质</w:t>
      </w:r>
      <w:r>
        <w:rPr>
          <w:rFonts w:hint="eastAsia" w:ascii="宋体" w:hAnsi="宋体" w:eastAsia="宋体" w:cs="宋体"/>
          <w:color w:val="000000" w:themeColor="text1"/>
          <w:sz w:val="24"/>
          <w:szCs w:val="24"/>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u w:val="single"/>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u w:val="single"/>
          <w:lang w:val="en-US" w:eastAsia="zh-CN"/>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小时内赶到甲方提供服务，相关费用由乙方承担。如乙方不及时提供服务，甲方有权委托第三方提供维修、更换、保养、咨询等服务，由此产生的相关费用，甲方有权在应付款中扣除、不足部分由乙方另行补足，或要求乙方将第三方提供服务产生的相关费用直接支付给甲方。</w:t>
      </w:r>
    </w:p>
    <w:p w14:paraId="4C591DC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5.1.3  质保期内，乙方每年至少对设备进行一次巡检并向甲方提交巡检记录。</w:t>
      </w:r>
    </w:p>
    <w:p w14:paraId="29513FB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5.1.4  质保期届满后，如设备出现问题，乙方应在接到甲方通知（包括电话通知）24小时响应，响应后4小时上门服务，相关费用由甲方承担。</w:t>
      </w:r>
    </w:p>
    <w:p w14:paraId="123160D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5.2 耗材售后服务</w:t>
      </w:r>
    </w:p>
    <w:p w14:paraId="04F58FA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5.2.1 在乙方提供耗材的标识标注的有效期内，如出现质量问题，乙方应在接到甲方通知（包括电话通知）后1小时内响应，响应后24小时内赶到甲方提供更换服务，相关费用由乙方承担。</w:t>
      </w:r>
    </w:p>
    <w:p w14:paraId="6D25AA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5.2.2 乙方提供的耗材应为符合国家质量标准的合格产品且所有证件、手续合法齐全，如因产品质量原因或手续不齐不合法或未按要求储存、运输（冷链）、包装等给甲方造成损失和不良影响全部由乙方负责。</w:t>
      </w:r>
    </w:p>
    <w:p w14:paraId="17B806BC">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3 </w:t>
      </w:r>
      <w:r>
        <w:rPr>
          <w:rFonts w:hint="eastAsia" w:ascii="宋体" w:hAnsi="宋体" w:eastAsia="宋体" w:cs="宋体"/>
          <w:color w:val="000000" w:themeColor="text1"/>
          <w:sz w:val="24"/>
          <w:szCs w:val="24"/>
          <w14:textFill>
            <w14:solidFill>
              <w14:schemeClr w14:val="tx1"/>
            </w14:solidFill>
          </w14:textFill>
        </w:rPr>
        <w:t>乙方须指派</w:t>
      </w:r>
      <w:r>
        <w:rPr>
          <w:rFonts w:hint="eastAsia" w:ascii="宋体" w:hAnsi="宋体" w:eastAsia="宋体" w:cs="宋体"/>
          <w:color w:val="000000" w:themeColor="text1"/>
          <w:sz w:val="24"/>
          <w:szCs w:val="24"/>
          <w:u w:val="non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专门负责与甲方联系</w:t>
      </w:r>
      <w:r>
        <w:rPr>
          <w:rFonts w:hint="eastAsia" w:ascii="宋体" w:hAnsi="宋体" w:eastAsia="宋体" w:cs="宋体"/>
          <w:color w:val="000000" w:themeColor="text1"/>
          <w:sz w:val="24"/>
          <w:szCs w:val="24"/>
          <w:lang w:val="en-US" w:eastAsia="zh-CN"/>
          <w14:textFill>
            <w14:solidFill>
              <w14:schemeClr w14:val="tx1"/>
            </w14:solidFill>
          </w14:textFill>
        </w:rPr>
        <w:t>本合同</w:t>
      </w:r>
      <w:r>
        <w:rPr>
          <w:rFonts w:hint="eastAsia" w:ascii="宋体" w:hAnsi="宋体" w:eastAsia="宋体" w:cs="宋体"/>
          <w:color w:val="000000" w:themeColor="text1"/>
          <w:sz w:val="24"/>
          <w:szCs w:val="24"/>
          <w14:textFill>
            <w14:solidFill>
              <w14:schemeClr w14:val="tx1"/>
            </w14:solidFill>
          </w14:textFill>
        </w:rPr>
        <w:t>售后服务事宜，如人员</w:t>
      </w:r>
      <w:r>
        <w:rPr>
          <w:rFonts w:hint="eastAsia" w:ascii="宋体" w:hAnsi="宋体" w:eastAsia="宋体" w:cs="宋体"/>
          <w:color w:val="000000" w:themeColor="text1"/>
          <w:sz w:val="24"/>
          <w:szCs w:val="24"/>
          <w:lang w:val="en-US" w:eastAsia="zh-CN"/>
          <w14:textFill>
            <w14:solidFill>
              <w14:schemeClr w14:val="tx1"/>
            </w14:solidFill>
          </w14:textFill>
        </w:rPr>
        <w:t>及联系电话</w:t>
      </w:r>
      <w:r>
        <w:rPr>
          <w:rFonts w:hint="eastAsia" w:ascii="宋体" w:hAnsi="宋体" w:eastAsia="宋体" w:cs="宋体"/>
          <w:color w:val="000000" w:themeColor="text1"/>
          <w:sz w:val="24"/>
          <w:szCs w:val="24"/>
          <w14:textFill>
            <w14:solidFill>
              <w14:schemeClr w14:val="tx1"/>
            </w14:solidFill>
          </w14:textFill>
        </w:rPr>
        <w:t>发生变动，应及时通知甲方。</w:t>
      </w:r>
    </w:p>
    <w:p w14:paraId="6AC55EA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第六条 结算、付款方式</w:t>
      </w:r>
    </w:p>
    <w:p w14:paraId="76A520F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6.1  设备结算</w:t>
      </w:r>
    </w:p>
    <w:p w14:paraId="69C721C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6.1.1 </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甲方在设备总体验收报告单上签字确认合格之日起4个月内，向乙方支付设备结算价款的90%；余款10%，甲方在质保期届满且不存在需被扣除情形之日起10个工作日内，免息支付给乙方。</w:t>
      </w:r>
    </w:p>
    <w:p w14:paraId="65154D5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6.1.2 乙方应在甲方首次支付设备货款前，</w:t>
      </w:r>
      <w:r>
        <w:rPr>
          <w:rFonts w:hint="eastAsia" w:ascii="宋体" w:hAnsi="宋体" w:eastAsia="宋体" w:cs="宋体"/>
          <w:color w:val="000000" w:themeColor="text1"/>
          <w:sz w:val="24"/>
          <w:szCs w:val="24"/>
          <w:highlight w:val="none"/>
          <w:lang w:val="en-US" w:eastAsia="zh-CN"/>
          <w14:textFill>
            <w14:solidFill>
              <w14:schemeClr w14:val="tx1"/>
            </w14:solidFill>
          </w14:textFill>
        </w:rPr>
        <w:t>向甲方提供以乙方</w:t>
      </w:r>
      <w:r>
        <w:rPr>
          <w:rFonts w:hint="eastAsia" w:ascii="宋体" w:hAnsi="宋体" w:eastAsia="宋体" w:cs="宋体"/>
          <w:color w:val="000000" w:themeColor="text1"/>
          <w:sz w:val="24"/>
          <w:szCs w:val="24"/>
          <w:lang w:val="en-US" w:eastAsia="zh-CN"/>
          <w14:textFill>
            <w14:solidFill>
              <w14:schemeClr w14:val="tx1"/>
            </w14:solidFill>
          </w14:textFill>
        </w:rPr>
        <w:t>自己名义开具的与设备结算价款对应的增值税普通发票，</w:t>
      </w:r>
      <w:r>
        <w:rPr>
          <w:rFonts w:hint="eastAsia" w:ascii="宋体" w:hAnsi="宋体" w:eastAsia="宋体" w:cs="宋体"/>
          <w:color w:val="000000" w:themeColor="text1"/>
          <w:sz w:val="24"/>
          <w:szCs w:val="24"/>
          <w:highlight w:val="none"/>
          <w:lang w:val="en-US" w:eastAsia="zh-CN"/>
          <w14:textFill>
            <w14:solidFill>
              <w14:schemeClr w14:val="tx1"/>
            </w14:solidFill>
          </w14:textFill>
        </w:rPr>
        <w:t>如乙方未及时提供发票，甲方有权顺延付款，由此产生的责任均由乙方自行承担</w:t>
      </w:r>
      <w:r>
        <w:rPr>
          <w:rFonts w:hint="eastAsia" w:ascii="宋体" w:hAnsi="宋体" w:eastAsia="宋体" w:cs="宋体"/>
          <w:color w:val="000000" w:themeColor="text1"/>
          <w:sz w:val="24"/>
          <w:szCs w:val="24"/>
          <w:lang w:val="en-US" w:eastAsia="zh-CN"/>
          <w14:textFill>
            <w14:solidFill>
              <w14:schemeClr w14:val="tx1"/>
            </w14:solidFill>
          </w14:textFill>
        </w:rPr>
        <w:t>。</w:t>
      </w:r>
    </w:p>
    <w:p w14:paraId="6480F6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6.1.3 乙方开具的发票金额应与设备总体验收报告单内容一致，甲方不支付超出设备总体验收报告单内容以外的任何费用。</w:t>
      </w:r>
    </w:p>
    <w:p w14:paraId="0E720D1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6.2  耗材结算：</w:t>
      </w:r>
    </w:p>
    <w:p w14:paraId="6093A7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耗材结算价款</w:t>
      </w:r>
      <w:r>
        <w:rPr>
          <w:rFonts w:hint="default" w:ascii="宋体" w:hAnsi="宋体" w:eastAsia="宋体" w:cs="宋体"/>
          <w:color w:val="000000" w:themeColor="text1"/>
          <w:sz w:val="24"/>
          <w:szCs w:val="24"/>
          <w:lang w:val="en-US" w:eastAsia="zh-CN"/>
          <w14:textFill>
            <w14:solidFill>
              <w14:schemeClr w14:val="tx1"/>
            </w14:solidFill>
          </w14:textFill>
        </w:rPr>
        <w:t>根据</w:t>
      </w:r>
      <w:r>
        <w:rPr>
          <w:rFonts w:hint="eastAsia" w:ascii="宋体" w:hAnsi="宋体" w:eastAsia="宋体" w:cs="宋体"/>
          <w:color w:val="000000" w:themeColor="text1"/>
          <w:sz w:val="24"/>
          <w:szCs w:val="24"/>
          <w:lang w:val="en-US" w:eastAsia="zh-CN"/>
          <w14:textFill>
            <w14:solidFill>
              <w14:schemeClr w14:val="tx1"/>
            </w14:solidFill>
          </w14:textFill>
        </w:rPr>
        <w:t>甲方的</w:t>
      </w:r>
      <w:r>
        <w:rPr>
          <w:rFonts w:hint="default" w:ascii="宋体" w:hAnsi="宋体" w:eastAsia="宋体" w:cs="宋体"/>
          <w:color w:val="000000" w:themeColor="text1"/>
          <w:sz w:val="24"/>
          <w:szCs w:val="24"/>
          <w:lang w:val="en-US" w:eastAsia="zh-CN"/>
          <w14:textFill>
            <w14:solidFill>
              <w14:schemeClr w14:val="tx1"/>
            </w14:solidFill>
          </w14:textFill>
        </w:rPr>
        <w:t>书面订单、经甲方签字确认的乙方送货单按</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月 </w:t>
      </w:r>
      <w:r>
        <w:rPr>
          <w:rFonts w:hint="eastAsia" w:ascii="宋体" w:hAnsi="宋体" w:eastAsia="宋体" w:cs="宋体"/>
          <w:color w:val="000000" w:themeColor="text1"/>
          <w:sz w:val="24"/>
          <w:szCs w:val="24"/>
          <w:lang w:val="en-US" w:eastAsia="zh-CN"/>
          <w14:textFill>
            <w14:solidFill>
              <w14:schemeClr w14:val="tx1"/>
            </w14:solidFill>
          </w14:textFill>
        </w:rPr>
        <w:t>据实</w:t>
      </w:r>
      <w:r>
        <w:rPr>
          <w:rFonts w:hint="default" w:ascii="宋体" w:hAnsi="宋体" w:eastAsia="宋体" w:cs="宋体"/>
          <w:color w:val="000000" w:themeColor="text1"/>
          <w:sz w:val="24"/>
          <w:szCs w:val="24"/>
          <w:lang w:val="en-US" w:eastAsia="zh-CN"/>
          <w14:textFill>
            <w14:solidFill>
              <w14:schemeClr w14:val="tx1"/>
            </w14:solidFill>
          </w14:textFill>
        </w:rPr>
        <w:t>结算</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乙方</w:t>
      </w:r>
      <w:r>
        <w:rPr>
          <w:rFonts w:hint="default" w:ascii="宋体" w:hAnsi="宋体" w:eastAsia="宋体" w:cs="宋体"/>
          <w:color w:val="FF0000"/>
          <w:sz w:val="24"/>
          <w:szCs w:val="24"/>
          <w:lang w:val="en-US" w:eastAsia="zh-CN"/>
        </w:rPr>
        <w:t>应</w:t>
      </w:r>
      <w:r>
        <w:rPr>
          <w:rFonts w:hint="eastAsia" w:ascii="宋体" w:hAnsi="宋体" w:eastAsia="宋体" w:cs="宋体"/>
          <w:color w:val="FF0000"/>
          <w:sz w:val="24"/>
          <w:szCs w:val="24"/>
          <w:lang w:val="en-US" w:eastAsia="zh-CN"/>
        </w:rPr>
        <w:t>在每月完成结算后</w:t>
      </w:r>
      <w:r>
        <w:rPr>
          <w:rFonts w:hint="default" w:ascii="宋体" w:hAnsi="宋体" w:eastAsia="宋体" w:cs="宋体"/>
          <w:color w:val="000000" w:themeColor="text1"/>
          <w:sz w:val="24"/>
          <w:szCs w:val="24"/>
          <w:lang w:val="en-US" w:eastAsia="zh-CN"/>
          <w14:textFill>
            <w14:solidFill>
              <w14:schemeClr w14:val="tx1"/>
            </w14:solidFill>
          </w14:textFill>
        </w:rPr>
        <w:t>向甲方提供以乙方名义开具的与</w:t>
      </w:r>
      <w:r>
        <w:rPr>
          <w:rFonts w:hint="eastAsia" w:ascii="宋体" w:hAnsi="宋体" w:eastAsia="宋体" w:cs="宋体"/>
          <w:color w:val="000000" w:themeColor="text1"/>
          <w:sz w:val="24"/>
          <w:szCs w:val="24"/>
          <w:lang w:val="en-US" w:eastAsia="zh-CN"/>
          <w14:textFill>
            <w14:solidFill>
              <w14:schemeClr w14:val="tx1"/>
            </w14:solidFill>
          </w14:textFill>
        </w:rPr>
        <w:t>该批次</w:t>
      </w:r>
      <w:r>
        <w:rPr>
          <w:rFonts w:hint="default" w:ascii="宋体" w:hAnsi="宋体" w:eastAsia="宋体" w:cs="宋体"/>
          <w:color w:val="000000" w:themeColor="text1"/>
          <w:sz w:val="24"/>
          <w:szCs w:val="24"/>
          <w:lang w:val="en-US" w:eastAsia="zh-CN"/>
          <w14:textFill>
            <w14:solidFill>
              <w14:schemeClr w14:val="tx1"/>
            </w14:solidFill>
          </w14:textFill>
        </w:rPr>
        <w:t>结算金额对应的增值税普通发票；如乙方未能及时提供符合约定的发票，甲方有权顺延付款期限</w:t>
      </w:r>
      <w:r>
        <w:rPr>
          <w:rFonts w:hint="eastAsia" w:ascii="宋体" w:hAnsi="宋体" w:eastAsia="宋体" w:cs="宋体"/>
          <w:color w:val="000000" w:themeColor="text1"/>
          <w:sz w:val="24"/>
          <w:szCs w:val="24"/>
          <w:lang w:val="en-US" w:eastAsia="zh-CN"/>
          <w14:textFill>
            <w14:solidFill>
              <w14:schemeClr w14:val="tx1"/>
            </w14:solidFill>
          </w14:textFill>
        </w:rPr>
        <w:t>，由此产生的责任均由乙方自行承担</w:t>
      </w:r>
      <w:r>
        <w:rPr>
          <w:rFonts w:hint="default"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甲方自收到乙方发票且财务入账后180日内（如遇特殊情况顺延）向乙方支付该批次结算价款</w:t>
      </w:r>
      <w:r>
        <w:rPr>
          <w:rFonts w:hint="default" w:ascii="宋体" w:hAnsi="宋体" w:eastAsia="宋体" w:cs="宋体"/>
          <w:color w:val="000000" w:themeColor="text1"/>
          <w:sz w:val="24"/>
          <w:szCs w:val="24"/>
          <w:lang w:val="en-US" w:eastAsia="zh-CN"/>
          <w14:textFill>
            <w14:solidFill>
              <w14:schemeClr w14:val="tx1"/>
            </w14:solidFill>
          </w14:textFill>
        </w:rPr>
        <w:t>。</w:t>
      </w:r>
    </w:p>
    <w:p w14:paraId="41EA97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6.3  乙方委派</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与甲方办理结算手续。</w:t>
      </w:r>
    </w:p>
    <w:p w14:paraId="0D8DD32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6.4  甲方通过银行转账方式向乙方指定银行账户支付设备和耗材结算价款，乙方指定账户：</w:t>
      </w:r>
    </w:p>
    <w:p w14:paraId="4CEF9A3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开户名：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5EBA6A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开户银行：</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 xml:space="preserve">       </w:t>
      </w:r>
    </w:p>
    <w:p w14:paraId="132FB6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账号：</w:t>
      </w:r>
      <w:r>
        <w:rPr>
          <w:rFonts w:hint="eastAsia" w:ascii="宋体" w:hAnsi="宋体"/>
          <w:color w:val="000000" w:themeColor="text1"/>
          <w:sz w:val="28"/>
          <w:szCs w:val="28"/>
          <w:u w:val="none"/>
          <w:lang w:val="en-US" w:eastAsia="zh-CN"/>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 xml:space="preserve">   </w:t>
      </w:r>
    </w:p>
    <w:p w14:paraId="08FF8C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第七条 风险承担</w:t>
      </w:r>
    </w:p>
    <w:p w14:paraId="7920C3C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21AF6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7.2  设备毁损、丢失的风险自甲方在设备总体验收报告单上签字确认合格后转移给甲方；医用耗材毁损、灭失的风险自甲方在供货单上签字验收之日起转移给甲方。</w:t>
      </w:r>
    </w:p>
    <w:p w14:paraId="731D502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  如耗材在有效期内出现质量问题，给甲方、乙方或第三方人身、财产造成的所有损失，均由乙方负责处理和承担全部法律责任、经济赔偿。</w:t>
      </w:r>
    </w:p>
    <w:p w14:paraId="1B3A43E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7.4  乙方确保本合同约定设备及耗材的权利均无瑕疵，包括所有权及知识产权等权利，否则由乙方承担全部法律责任和经济赔偿。</w:t>
      </w:r>
    </w:p>
    <w:p w14:paraId="2D7DB2E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第八条 廉洁条款</w:t>
      </w:r>
    </w:p>
    <w:p w14:paraId="5398F1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6163FB1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default" w:ascii="宋体" w:hAnsi="宋体" w:eastAsia="宋体" w:cs="宋体"/>
          <w:b/>
          <w:bCs/>
          <w:color w:val="000000" w:themeColor="text1"/>
          <w:sz w:val="24"/>
          <w:szCs w:val="24"/>
          <w:u w:val="single"/>
          <w:lang w:val="en-US" w:eastAsia="zh-CN"/>
          <w14:textFill>
            <w14:solidFill>
              <w14:schemeClr w14:val="tx1"/>
            </w14:solidFill>
          </w14:textFill>
        </w:rPr>
      </w:pPr>
      <w:r>
        <w:rPr>
          <w:rFonts w:hint="default" w:ascii="宋体" w:hAnsi="宋体" w:eastAsia="宋体" w:cs="宋体"/>
          <w:b/>
          <w:bCs/>
          <w:color w:val="000000" w:themeColor="text1"/>
          <w:sz w:val="24"/>
          <w:szCs w:val="24"/>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3412F22F">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441649E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4A6C596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1BA6D8C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4A762D2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5D33D366">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44EB0FB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79CC43E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2DE36B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35D2813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7F3CCC0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4672139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6B070798">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4532ED2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4B2920D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11.2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2C74718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r>
        <w:rPr>
          <w:rFonts w:hint="eastAsia" w:ascii="宋体" w:hAnsi="宋体" w:eastAsia="宋体" w:cs="宋体"/>
          <w:color w:val="000000" w:themeColor="text1"/>
          <w:sz w:val="24"/>
          <w:highlight w:val="none"/>
          <w:lang w:eastAsia="zh-CN"/>
          <w14:textFill>
            <w14:solidFill>
              <w14:schemeClr w14:val="tx1"/>
            </w14:solidFill>
          </w14:textFill>
        </w:rPr>
        <w:t>。</w:t>
      </w:r>
    </w:p>
    <w:p w14:paraId="4D2E625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.2 乙方提供的设备</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耗材</w:t>
      </w:r>
      <w:r>
        <w:rPr>
          <w:rFonts w:hint="eastAsia" w:ascii="宋体" w:hAnsi="宋体" w:eastAsia="宋体" w:cs="宋体"/>
          <w:color w:val="000000" w:themeColor="text1"/>
          <w:sz w:val="24"/>
          <w:highlight w:val="none"/>
          <w14:textFill>
            <w14:solidFill>
              <w14:schemeClr w14:val="tx1"/>
            </w14:solidFill>
          </w14:textFill>
        </w:rPr>
        <w:t>质量不符合国家标准、本合同标准或响应文件约定标准</w:t>
      </w:r>
      <w:r>
        <w:rPr>
          <w:rFonts w:hint="eastAsia" w:ascii="宋体" w:hAnsi="宋体" w:eastAsia="宋体" w:cs="宋体"/>
          <w:color w:val="000000" w:themeColor="text1"/>
          <w:sz w:val="24"/>
          <w:highlight w:val="none"/>
          <w:lang w:eastAsia="zh-CN"/>
          <w14:textFill>
            <w14:solidFill>
              <w14:schemeClr w14:val="tx1"/>
            </w14:solidFill>
          </w14:textFill>
        </w:rPr>
        <w:t>。</w:t>
      </w:r>
    </w:p>
    <w:p w14:paraId="058C9CA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11.2.3 乙方未在甲方订单规定的时间内提供耗材，经甲方催告3次以上后仍不能提供的；或耗材经甲方验收不合格或乙方提供的耗材在有效期内出现质量问题，经连续2次更换仍不合格的；或提供的耗材、证件手续不齐，甲方不能合法使用的。</w:t>
      </w:r>
    </w:p>
    <w:p w14:paraId="0EBB9C9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11.2.4 乙方供应的耗材被生产厂家取消配送权的；或乙方不配合耗材管理工作的，如不配合耗材HRP系统信息录入、赋码等、不配合耗材SPD配送管理、未向SPD配送公司交纳配送服务费等。</w:t>
      </w:r>
    </w:p>
    <w:p w14:paraId="4B0C46E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11.2.5 乙方违反甲方制度的，或乙方经甲方供应商管理考核为不合格供应商的。</w:t>
      </w:r>
    </w:p>
    <w:p w14:paraId="4761A54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11.2.6 乙方未经甲方设备科发出书面订单采购私自向甲方科室配送的。</w:t>
      </w:r>
    </w:p>
    <w:p w14:paraId="7EEC8D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11.2.7 乙方将订单转包、分包给第三方。</w:t>
      </w:r>
    </w:p>
    <w:p w14:paraId="6BA8EC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11.2.8 乙方在本合同履行期间因违法行为被追究刑事责任的，或被予以吊销营业执照、取消资质等行政处罚，或乙方被接管、资金被冻结的。</w:t>
      </w:r>
    </w:p>
    <w:p w14:paraId="2084197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11.2.9 其他根本违约的情形。</w:t>
      </w:r>
    </w:p>
    <w:p w14:paraId="554F2CF4">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BDE90E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391BEC3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.2 </w:t>
      </w:r>
      <w:r>
        <w:rPr>
          <w:rFonts w:hint="eastAsia" w:ascii="宋体" w:hAnsi="宋体" w:eastAsia="宋体" w:cs="宋体"/>
          <w:color w:val="000000" w:themeColor="text1"/>
          <w:sz w:val="24"/>
          <w:szCs w:val="24"/>
          <w:lang w:val="en-US" w:eastAsia="zh-CN"/>
          <w14:textFill>
            <w14:solidFill>
              <w14:schemeClr w14:val="tx1"/>
            </w14:solidFill>
          </w14:textFill>
        </w:rPr>
        <w:t>如乙方未在本合同约定时间内将验收合格的设备交付给甲方使用，除应赔偿甲方因此造成的损失外，每逾期一日，按本合同约定设备总价款的千分之一向甲方支付违约金。</w:t>
      </w:r>
    </w:p>
    <w:p w14:paraId="508EF7F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.3 </w:t>
      </w:r>
      <w:r>
        <w:rPr>
          <w:rFonts w:hint="eastAsia" w:ascii="宋体" w:hAnsi="宋体" w:eastAsia="宋体" w:cs="宋体"/>
          <w:color w:val="000000" w:themeColor="text1"/>
          <w:sz w:val="24"/>
          <w:szCs w:val="24"/>
          <w:lang w:val="en-US" w:eastAsia="zh-CN"/>
          <w14:textFill>
            <w14:solidFill>
              <w14:schemeClr w14:val="tx1"/>
            </w14:solidFill>
          </w14:textFill>
        </w:rPr>
        <w:t>如乙方未在本合同约定时间内将验收合格的耗材交付给甲方使用，除应赔偿甲方因此造成的损失外，每逾期一日，按该批次耗材结算金额的百分之五向甲方支付违约金。</w:t>
      </w:r>
    </w:p>
    <w:p w14:paraId="19AC57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  如乙方单方解除合同或甲方因乙方原因解除合同，乙方应赔偿给甲方造成的全部经济损失外还应向甲方支付违约金</w:t>
      </w:r>
      <w:r>
        <w:rPr>
          <w:rFonts w:hint="eastAsia" w:ascii="宋体" w:hAnsi="宋体" w:eastAsia="宋体" w:cs="宋体"/>
          <w:color w:val="000000" w:themeColor="text1"/>
          <w:sz w:val="24"/>
          <w:szCs w:val="24"/>
          <w:u w:val="single"/>
          <w:lang w:val="en-US" w:eastAsia="zh-CN"/>
          <w14:textFill>
            <w14:solidFill>
              <w14:schemeClr w14:val="tx1"/>
            </w14:solidFill>
          </w14:textFill>
        </w:rPr>
        <w:t>88000</w:t>
      </w:r>
      <w:r>
        <w:rPr>
          <w:rFonts w:hint="eastAsia" w:ascii="宋体" w:hAnsi="宋体" w:eastAsia="宋体" w:cs="宋体"/>
          <w:color w:val="000000" w:themeColor="text1"/>
          <w:sz w:val="24"/>
          <w:szCs w:val="24"/>
          <w:u w:val="none"/>
          <w:lang w:val="en-US" w:eastAsia="zh-CN"/>
          <w14:textFill>
            <w14:solidFill>
              <w14:schemeClr w14:val="tx1"/>
            </w14:solidFill>
          </w14:textFill>
        </w:rPr>
        <w:t>元</w:t>
      </w:r>
      <w:r>
        <w:rPr>
          <w:rFonts w:hint="eastAsia" w:ascii="宋体" w:hAnsi="宋体" w:eastAsia="宋体" w:cs="宋体"/>
          <w:color w:val="000000" w:themeColor="text1"/>
          <w:sz w:val="24"/>
          <w:szCs w:val="24"/>
          <w:lang w:val="en-US" w:eastAsia="zh-CN"/>
          <w14:textFill>
            <w14:solidFill>
              <w14:schemeClr w14:val="tx1"/>
            </w14:solidFill>
          </w14:textFill>
        </w:rPr>
        <w:t>。</w:t>
      </w:r>
    </w:p>
    <w:p w14:paraId="3E623D7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50000.00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5904A60C">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0E98246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36A10CF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28F6FC2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CB8E459">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7C1D6E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14.1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szCs w:val="24"/>
          <w:highlight w:val="none"/>
          <w:lang w:val="en-US" w:eastAsia="zh-CN"/>
          <w14:textFill>
            <w14:solidFill>
              <w14:schemeClr w14:val="tx1"/>
            </w14:solidFill>
          </w14:textFill>
        </w:rPr>
        <w:t>本合同补充协议；本合同及附件；议价结果公示；响应文件；采购文件；其他与本合同有关的资料。</w:t>
      </w:r>
    </w:p>
    <w:p w14:paraId="4650C73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007B31E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14:paraId="0CE0E3C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甲方（盖章）：</w:t>
      </w:r>
      <w:r>
        <w:rPr>
          <w:rFonts w:hint="eastAsia" w:ascii="宋体" w:hAnsi="宋体" w:eastAsia="宋体" w:cs="宋体"/>
          <w:color w:val="000000" w:themeColor="text1"/>
          <w:sz w:val="24"/>
          <w:szCs w:val="24"/>
          <w:lang w:val="en-US" w:eastAsia="zh-CN"/>
          <w14:textFill>
            <w14:solidFill>
              <w14:schemeClr w14:val="tx1"/>
            </w14:solidFill>
          </w14:textFill>
        </w:rPr>
        <w:t>娄底市中心医院</w:t>
      </w:r>
      <w:r>
        <w:rPr>
          <w:rFonts w:hint="default"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乙方（盖章）</w:t>
      </w:r>
      <w:r>
        <w:rPr>
          <w:rFonts w:hint="eastAsia" w:ascii="宋体" w:hAnsi="宋体" w:eastAsia="宋体" w:cs="宋体"/>
          <w:color w:val="000000" w:themeColor="text1"/>
          <w:sz w:val="24"/>
          <w:szCs w:val="24"/>
          <w:lang w:val="en-US" w:eastAsia="zh-CN"/>
          <w14:textFill>
            <w14:solidFill>
              <w14:schemeClr w14:val="tx1"/>
            </w14:solidFill>
          </w14:textFill>
        </w:rPr>
        <w:t>：</w:t>
      </w:r>
    </w:p>
    <w:p w14:paraId="12EC360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14:paraId="058D316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 xml:space="preserve">法定代表人（签字）：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 xml:space="preserve">法定代表人（签字）：  </w:t>
      </w:r>
    </w:p>
    <w:p w14:paraId="62D984D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724FF9C7">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default" w:ascii="宋体" w:hAnsi="宋体" w:eastAsia="宋体" w:cs="宋体"/>
          <w:color w:val="000000" w:themeColor="text1"/>
          <w:sz w:val="24"/>
          <w:szCs w:val="24"/>
          <w:lang w:val="en-US" w:eastAsia="zh-CN"/>
          <w14:textFill>
            <w14:solidFill>
              <w14:schemeClr w14:val="tx1"/>
            </w14:solidFill>
          </w14:textFill>
        </w:rPr>
        <w:t xml:space="preserve">委托代理人（签字）：        </w:t>
      </w:r>
      <w:r>
        <w:rPr>
          <w:rFonts w:hint="eastAsia" w:ascii="宋体" w:hAnsi="宋体" w:eastAsia="宋体" w:cs="宋体"/>
          <w:color w:val="000000" w:themeColor="text1"/>
          <w:sz w:val="24"/>
          <w:szCs w:val="24"/>
          <w:lang w:val="en-US" w:eastAsia="zh-CN"/>
          <w14:textFill>
            <w14:solidFill>
              <w14:schemeClr w14:val="tx1"/>
            </w14:solidFill>
          </w14:textFill>
        </w:rPr>
        <w:t xml:space="preserve">      或</w:t>
      </w:r>
      <w:r>
        <w:rPr>
          <w:rFonts w:hint="default" w:ascii="宋体" w:hAnsi="宋体" w:eastAsia="宋体" w:cs="宋体"/>
          <w:color w:val="000000" w:themeColor="text1"/>
          <w:sz w:val="24"/>
          <w:szCs w:val="24"/>
          <w:lang w:val="en-US" w:eastAsia="zh-CN"/>
          <w14:textFill>
            <w14:solidFill>
              <w14:schemeClr w14:val="tx1"/>
            </w14:solidFill>
          </w14:textFill>
        </w:rPr>
        <w:t>委托代理人（签字）：</w:t>
      </w:r>
    </w:p>
    <w:p w14:paraId="26C3515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14:paraId="57DEBBA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000000" w:themeColor="text1"/>
          <w:sz w:val="24"/>
          <w:szCs w:val="24"/>
          <w:lang w:val="en-US" w:eastAsia="zh-CN"/>
          <w14:textFill>
            <w14:solidFill>
              <w14:schemeClr w14:val="tx1"/>
            </w14:solidFill>
          </w14:textFill>
        </w:rPr>
        <w:t>合同签订地</w:t>
      </w:r>
      <w:r>
        <w:rPr>
          <w:rFonts w:hint="eastAsia" w:ascii="宋体" w:hAnsi="宋体" w:eastAsia="宋体" w:cs="宋体"/>
          <w:color w:val="000000" w:themeColor="text1"/>
          <w:sz w:val="24"/>
          <w:szCs w:val="24"/>
          <w:lang w:val="en-US" w:eastAsia="zh-CN"/>
          <w14:textFill>
            <w14:solidFill>
              <w14:schemeClr w14:val="tx1"/>
            </w14:solidFill>
          </w14:textFill>
        </w:rPr>
        <w:t>履行地</w:t>
      </w:r>
      <w:r>
        <w:rPr>
          <w:rFonts w:hint="default" w:ascii="宋体" w:hAnsi="宋体" w:eastAsia="宋体" w:cs="宋体"/>
          <w:color w:val="000000" w:themeColor="text1"/>
          <w:sz w:val="24"/>
          <w:szCs w:val="24"/>
          <w:lang w:val="en-US" w:eastAsia="zh-CN"/>
          <w14:textFill>
            <w14:solidFill>
              <w14:schemeClr w14:val="tx1"/>
            </w14:solidFill>
          </w14:textFill>
        </w:rPr>
        <w:t xml:space="preserve">：娄底市娄星区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签订时间：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日</w:t>
      </w:r>
    </w:p>
    <w:p w14:paraId="50C278F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6450FBD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68CE2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17CB8BC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72001243">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C8AEFFF">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678A02A4">
      <w:pPr>
        <w:rPr>
          <w:rFonts w:hint="eastAsia" w:ascii="宋体" w:hAnsi="宋体" w:cs="宋体"/>
          <w:color w:val="auto"/>
        </w:rPr>
      </w:pPr>
    </w:p>
    <w:bookmarkEnd w:id="1"/>
    <w:p w14:paraId="35955023">
      <w:pPr>
        <w:rPr>
          <w:rFonts w:hint="eastAsia"/>
          <w:color w:val="auto"/>
        </w:rPr>
      </w:pPr>
    </w:p>
    <w:p w14:paraId="7269B6E8">
      <w:pPr>
        <w:jc w:val="center"/>
        <w:rPr>
          <w:b/>
          <w:color w:val="auto"/>
          <w:sz w:val="24"/>
        </w:rPr>
      </w:pPr>
      <w:r>
        <w:rPr>
          <w:b/>
          <w:color w:val="auto"/>
          <w:sz w:val="28"/>
          <w:szCs w:val="28"/>
        </w:rPr>
        <w:t>第一部分、开标一览表</w:t>
      </w:r>
    </w:p>
    <w:p w14:paraId="3272D69C">
      <w:pPr>
        <w:jc w:val="center"/>
        <w:rPr>
          <w:b/>
          <w:color w:val="auto"/>
          <w:sz w:val="24"/>
        </w:rPr>
      </w:pPr>
    </w:p>
    <w:p w14:paraId="298B673A">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016E4D9E">
      <w:pPr>
        <w:pStyle w:val="16"/>
        <w:rPr>
          <w:color w:val="auto"/>
        </w:rPr>
      </w:pPr>
    </w:p>
    <w:p w14:paraId="31B03680">
      <w:pPr>
        <w:adjustRightInd w:val="0"/>
        <w:snapToGrid w:val="0"/>
        <w:spacing w:line="360" w:lineRule="auto"/>
        <w:jc w:val="center"/>
        <w:rPr>
          <w:rFonts w:hint="eastAsia" w:ascii="宋体" w:hAnsi="宋体" w:cs="宋体"/>
          <w:b/>
          <w:color w:val="auto"/>
          <w:sz w:val="28"/>
          <w:szCs w:val="28"/>
        </w:rPr>
      </w:pPr>
    </w:p>
    <w:p w14:paraId="68AFC285">
      <w:pPr>
        <w:adjustRightInd w:val="0"/>
        <w:snapToGrid w:val="0"/>
        <w:spacing w:line="360" w:lineRule="auto"/>
        <w:jc w:val="center"/>
        <w:rPr>
          <w:rFonts w:hint="eastAsia" w:ascii="宋体" w:hAnsi="宋体" w:cs="宋体"/>
          <w:b/>
          <w:color w:val="auto"/>
          <w:sz w:val="28"/>
          <w:szCs w:val="28"/>
        </w:rPr>
      </w:pPr>
    </w:p>
    <w:p w14:paraId="7C2866BF">
      <w:pPr>
        <w:adjustRightInd w:val="0"/>
        <w:snapToGrid w:val="0"/>
        <w:spacing w:line="360" w:lineRule="auto"/>
        <w:jc w:val="center"/>
        <w:rPr>
          <w:rFonts w:hint="eastAsia" w:ascii="宋体" w:hAnsi="宋体" w:cs="宋体"/>
          <w:b/>
          <w:color w:val="auto"/>
          <w:sz w:val="28"/>
          <w:szCs w:val="28"/>
        </w:rPr>
      </w:pPr>
    </w:p>
    <w:p w14:paraId="615E578F">
      <w:pPr>
        <w:adjustRightInd w:val="0"/>
        <w:snapToGrid w:val="0"/>
        <w:spacing w:line="360" w:lineRule="auto"/>
        <w:jc w:val="center"/>
        <w:rPr>
          <w:rFonts w:hint="eastAsia" w:ascii="宋体" w:hAnsi="宋体" w:cs="宋体"/>
          <w:b/>
          <w:color w:val="auto"/>
          <w:sz w:val="28"/>
          <w:szCs w:val="28"/>
        </w:rPr>
      </w:pPr>
    </w:p>
    <w:p w14:paraId="066856DF">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31413198">
      <w:pPr>
        <w:pStyle w:val="15"/>
        <w:rPr>
          <w:rFonts w:hint="eastAsia"/>
          <w:lang w:eastAsia="zh-CN"/>
        </w:rPr>
      </w:pPr>
    </w:p>
    <w:p w14:paraId="019592F8">
      <w:pPr>
        <w:adjustRightInd w:val="0"/>
        <w:snapToGrid w:val="0"/>
        <w:spacing w:line="360" w:lineRule="auto"/>
        <w:jc w:val="center"/>
        <w:rPr>
          <w:rFonts w:hint="eastAsia" w:ascii="宋体" w:hAnsi="宋体" w:cs="宋体"/>
          <w:b/>
          <w:color w:val="auto"/>
          <w:sz w:val="24"/>
          <w:szCs w:val="20"/>
        </w:rPr>
      </w:pPr>
    </w:p>
    <w:p w14:paraId="7AB1D287">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19D9A224">
      <w:pPr>
        <w:adjustRightInd w:val="0"/>
        <w:snapToGrid w:val="0"/>
        <w:spacing w:line="360" w:lineRule="auto"/>
        <w:rPr>
          <w:rFonts w:hint="eastAsia" w:ascii="宋体" w:hAnsi="宋体" w:cs="宋体"/>
          <w:b/>
          <w:color w:val="auto"/>
          <w:sz w:val="28"/>
          <w:szCs w:val="28"/>
        </w:rPr>
      </w:pPr>
    </w:p>
    <w:p w14:paraId="39DAF27A">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685B83AE">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3588009D">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6A2C43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7A7A2B04">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182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AD6F504">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ADBF687">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816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1BD33D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388ADC4B">
      <w:pPr>
        <w:adjustRightInd w:val="0"/>
        <w:snapToGrid w:val="0"/>
        <w:spacing w:line="360" w:lineRule="auto"/>
        <w:rPr>
          <w:rFonts w:hint="eastAsia" w:ascii="宋体" w:hAnsi="宋体" w:cs="宋体"/>
          <w:color w:val="auto"/>
          <w:sz w:val="24"/>
        </w:rPr>
      </w:pPr>
    </w:p>
    <w:p w14:paraId="4EF410B2">
      <w:pPr>
        <w:adjustRightInd w:val="0"/>
        <w:snapToGrid w:val="0"/>
        <w:spacing w:line="360" w:lineRule="auto"/>
        <w:rPr>
          <w:rFonts w:hint="eastAsia" w:ascii="宋体" w:hAnsi="宋体" w:cs="宋体"/>
          <w:color w:val="auto"/>
          <w:sz w:val="24"/>
        </w:rPr>
      </w:pPr>
    </w:p>
    <w:p w14:paraId="01D6C8A2">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209E3B">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166B55A9">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33DE4FC9">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5BD972E1">
      <w:pPr>
        <w:adjustRightInd w:val="0"/>
        <w:snapToGrid w:val="0"/>
        <w:spacing w:line="360" w:lineRule="auto"/>
        <w:rPr>
          <w:rFonts w:hint="eastAsia" w:ascii="宋体" w:hAnsi="宋体" w:cs="宋体"/>
          <w:b/>
          <w:color w:val="auto"/>
          <w:sz w:val="28"/>
          <w:szCs w:val="28"/>
        </w:rPr>
      </w:pPr>
    </w:p>
    <w:p w14:paraId="0D7AFB46">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46A4900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00809F4">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6935A6F5">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987EC0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051D8A1">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4A80FF2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67D8786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B07B463">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076F71C1">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103CB81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789DC03F">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B6ACE0B">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18C54B1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41C88097">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443A3CF4">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241ED5E">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76F255">
      <w:pPr>
        <w:adjustRightInd w:val="0"/>
        <w:snapToGrid w:val="0"/>
        <w:spacing w:line="360" w:lineRule="auto"/>
        <w:jc w:val="center"/>
        <w:rPr>
          <w:rFonts w:hint="eastAsia" w:ascii="宋体" w:hAnsi="宋体" w:cs="宋体"/>
          <w:b/>
          <w:color w:val="auto"/>
          <w:sz w:val="24"/>
          <w:szCs w:val="20"/>
        </w:rPr>
      </w:pPr>
    </w:p>
    <w:p w14:paraId="30B66BA7">
      <w:pPr>
        <w:adjustRightInd w:val="0"/>
        <w:snapToGrid w:val="0"/>
        <w:spacing w:line="360" w:lineRule="auto"/>
        <w:rPr>
          <w:rFonts w:hint="eastAsia" w:ascii="宋体" w:hAnsi="宋体" w:cs="宋体"/>
          <w:b/>
          <w:color w:val="auto"/>
          <w:sz w:val="24"/>
          <w:szCs w:val="20"/>
        </w:rPr>
      </w:pPr>
    </w:p>
    <w:p w14:paraId="0D50DA8D">
      <w:pPr>
        <w:adjustRightInd w:val="0"/>
        <w:snapToGrid w:val="0"/>
        <w:spacing w:line="360" w:lineRule="auto"/>
        <w:rPr>
          <w:rFonts w:hint="eastAsia" w:ascii="宋体" w:hAnsi="宋体" w:cs="宋体"/>
          <w:b/>
          <w:color w:val="auto"/>
          <w:sz w:val="24"/>
          <w:szCs w:val="20"/>
        </w:rPr>
      </w:pPr>
    </w:p>
    <w:p w14:paraId="062C0D10">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3750B7E5">
      <w:pPr>
        <w:adjustRightInd w:val="0"/>
        <w:snapToGrid w:val="0"/>
        <w:spacing w:line="360" w:lineRule="auto"/>
        <w:jc w:val="center"/>
        <w:rPr>
          <w:rFonts w:hint="eastAsia" w:ascii="宋体" w:hAnsi="宋体" w:cs="宋体"/>
          <w:b/>
          <w:color w:val="auto"/>
          <w:sz w:val="24"/>
          <w:szCs w:val="20"/>
        </w:rPr>
      </w:pPr>
    </w:p>
    <w:p w14:paraId="05A0F057">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18699FB8">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717CFF3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6C69E6B1">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0F4CDC2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6ADFC4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330DDAE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16C398B4">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8BA54E5">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70A514C0">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25DC19E3">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385972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62B1F785">
      <w:pPr>
        <w:jc w:val="left"/>
        <w:rPr>
          <w:rFonts w:hint="eastAsia" w:ascii="宋体" w:hAnsi="宋体" w:eastAsia="宋体" w:cs="Times New Roman"/>
          <w:b w:val="0"/>
          <w:bCs w:val="0"/>
          <w:color w:val="auto"/>
          <w:kern w:val="2"/>
          <w:sz w:val="24"/>
          <w:szCs w:val="24"/>
          <w:lang w:val="en-US" w:eastAsia="zh-CN" w:bidi="ar-SA"/>
        </w:rPr>
      </w:pPr>
    </w:p>
    <w:p w14:paraId="47FB3CFC">
      <w:pPr>
        <w:jc w:val="left"/>
        <w:rPr>
          <w:rFonts w:hint="eastAsia" w:ascii="宋体" w:hAnsi="宋体" w:eastAsia="宋体" w:cs="Times New Roman"/>
          <w:b w:val="0"/>
          <w:bCs w:val="0"/>
          <w:color w:val="auto"/>
          <w:kern w:val="2"/>
          <w:sz w:val="24"/>
          <w:szCs w:val="24"/>
          <w:lang w:val="en-US" w:eastAsia="zh-CN" w:bidi="ar-SA"/>
        </w:rPr>
      </w:pPr>
    </w:p>
    <w:p w14:paraId="59901A1D">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0FF1C33C">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0BE5A702">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510721AA">
      <w:pPr>
        <w:pStyle w:val="15"/>
        <w:rPr>
          <w:rFonts w:hint="eastAsia"/>
          <w:lang w:eastAsia="zh-CN"/>
        </w:rPr>
      </w:pPr>
    </w:p>
    <w:p w14:paraId="06DB0CA7">
      <w:pPr>
        <w:spacing w:before="120" w:beforeLines="50" w:after="120" w:afterLines="50" w:line="276" w:lineRule="auto"/>
        <w:jc w:val="center"/>
        <w:rPr>
          <w:b/>
          <w:color w:val="auto"/>
          <w:sz w:val="24"/>
        </w:rPr>
      </w:pPr>
      <w:r>
        <w:rPr>
          <w:b/>
          <w:color w:val="auto"/>
          <w:sz w:val="24"/>
        </w:rPr>
        <w:t>采购需求响应/偏离表</w:t>
      </w:r>
    </w:p>
    <w:p w14:paraId="7D7E809A">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39814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1B026CC">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20CD9C14">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13A17B38">
            <w:pPr>
              <w:adjustRightInd w:val="0"/>
              <w:snapToGrid w:val="0"/>
              <w:spacing w:before="50" w:line="360" w:lineRule="auto"/>
              <w:jc w:val="center"/>
              <w:rPr>
                <w:color w:val="auto"/>
              </w:rPr>
            </w:pPr>
            <w:r>
              <w:rPr>
                <w:color w:val="auto"/>
              </w:rPr>
              <w:t>招标文件要求</w:t>
            </w:r>
          </w:p>
        </w:tc>
        <w:tc>
          <w:tcPr>
            <w:tcW w:w="962" w:type="pct"/>
            <w:noWrap w:val="0"/>
            <w:vAlign w:val="top"/>
          </w:tcPr>
          <w:p w14:paraId="64365777">
            <w:pPr>
              <w:adjustRightInd w:val="0"/>
              <w:snapToGrid w:val="0"/>
              <w:spacing w:before="50" w:line="360" w:lineRule="auto"/>
              <w:jc w:val="center"/>
              <w:rPr>
                <w:color w:val="auto"/>
              </w:rPr>
            </w:pPr>
            <w:r>
              <w:rPr>
                <w:color w:val="auto"/>
              </w:rPr>
              <w:t>投标文件应答</w:t>
            </w:r>
          </w:p>
        </w:tc>
        <w:tc>
          <w:tcPr>
            <w:tcW w:w="905" w:type="pct"/>
            <w:noWrap w:val="0"/>
            <w:vAlign w:val="center"/>
          </w:tcPr>
          <w:p w14:paraId="715E9691">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66CE6E">
            <w:pPr>
              <w:adjustRightInd w:val="0"/>
              <w:snapToGrid w:val="0"/>
              <w:spacing w:before="50" w:line="360" w:lineRule="auto"/>
              <w:ind w:left="-88" w:leftChars="-42"/>
              <w:jc w:val="center"/>
              <w:rPr>
                <w:color w:val="auto"/>
                <w:szCs w:val="21"/>
              </w:rPr>
            </w:pPr>
            <w:r>
              <w:rPr>
                <w:color w:val="auto"/>
                <w:szCs w:val="21"/>
              </w:rPr>
              <w:t>偏离说明</w:t>
            </w:r>
          </w:p>
        </w:tc>
      </w:tr>
      <w:tr w14:paraId="6CB96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8991144">
            <w:pPr>
              <w:adjustRightInd w:val="0"/>
              <w:snapToGrid w:val="0"/>
              <w:spacing w:before="50" w:line="360" w:lineRule="auto"/>
              <w:ind w:left="-88" w:leftChars="-42"/>
              <w:jc w:val="center"/>
              <w:rPr>
                <w:color w:val="auto"/>
                <w:szCs w:val="21"/>
              </w:rPr>
            </w:pPr>
          </w:p>
        </w:tc>
        <w:tc>
          <w:tcPr>
            <w:tcW w:w="1123" w:type="pct"/>
            <w:noWrap w:val="0"/>
            <w:vAlign w:val="center"/>
          </w:tcPr>
          <w:p w14:paraId="6A90705A">
            <w:pPr>
              <w:adjustRightInd w:val="0"/>
              <w:snapToGrid w:val="0"/>
              <w:spacing w:before="50" w:line="360" w:lineRule="auto"/>
              <w:ind w:left="-88" w:leftChars="-42"/>
              <w:jc w:val="center"/>
              <w:rPr>
                <w:color w:val="auto"/>
                <w:szCs w:val="21"/>
              </w:rPr>
            </w:pPr>
          </w:p>
        </w:tc>
        <w:tc>
          <w:tcPr>
            <w:tcW w:w="1000" w:type="pct"/>
            <w:noWrap w:val="0"/>
            <w:vAlign w:val="center"/>
          </w:tcPr>
          <w:p w14:paraId="04271540">
            <w:pPr>
              <w:adjustRightInd w:val="0"/>
              <w:snapToGrid w:val="0"/>
              <w:spacing w:before="50" w:line="360" w:lineRule="auto"/>
              <w:ind w:left="-88" w:leftChars="-42"/>
              <w:jc w:val="center"/>
              <w:rPr>
                <w:color w:val="auto"/>
                <w:szCs w:val="21"/>
              </w:rPr>
            </w:pPr>
          </w:p>
        </w:tc>
        <w:tc>
          <w:tcPr>
            <w:tcW w:w="962" w:type="pct"/>
            <w:noWrap w:val="0"/>
            <w:vAlign w:val="center"/>
          </w:tcPr>
          <w:p w14:paraId="5E622A19">
            <w:pPr>
              <w:adjustRightInd w:val="0"/>
              <w:snapToGrid w:val="0"/>
              <w:spacing w:before="50" w:line="360" w:lineRule="auto"/>
              <w:ind w:left="-88" w:leftChars="-42"/>
              <w:jc w:val="center"/>
              <w:rPr>
                <w:color w:val="auto"/>
                <w:szCs w:val="21"/>
              </w:rPr>
            </w:pPr>
          </w:p>
        </w:tc>
        <w:tc>
          <w:tcPr>
            <w:tcW w:w="905" w:type="pct"/>
            <w:noWrap w:val="0"/>
            <w:vAlign w:val="center"/>
          </w:tcPr>
          <w:p w14:paraId="2738D904">
            <w:pPr>
              <w:adjustRightInd w:val="0"/>
              <w:snapToGrid w:val="0"/>
              <w:spacing w:before="50" w:line="360" w:lineRule="auto"/>
              <w:ind w:left="-88" w:leftChars="-42"/>
              <w:jc w:val="center"/>
              <w:rPr>
                <w:color w:val="auto"/>
                <w:szCs w:val="21"/>
              </w:rPr>
            </w:pPr>
          </w:p>
        </w:tc>
        <w:tc>
          <w:tcPr>
            <w:tcW w:w="634" w:type="pct"/>
            <w:noWrap w:val="0"/>
            <w:vAlign w:val="center"/>
          </w:tcPr>
          <w:p w14:paraId="3CC471ED">
            <w:pPr>
              <w:adjustRightInd w:val="0"/>
              <w:snapToGrid w:val="0"/>
              <w:spacing w:before="50" w:line="360" w:lineRule="auto"/>
              <w:ind w:left="-88" w:leftChars="-42"/>
              <w:jc w:val="center"/>
              <w:rPr>
                <w:color w:val="auto"/>
                <w:szCs w:val="21"/>
              </w:rPr>
            </w:pPr>
          </w:p>
        </w:tc>
      </w:tr>
      <w:tr w14:paraId="1D24B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1589AC7">
            <w:pPr>
              <w:adjustRightInd w:val="0"/>
              <w:snapToGrid w:val="0"/>
              <w:spacing w:before="50" w:line="360" w:lineRule="auto"/>
              <w:ind w:left="-88" w:leftChars="-42"/>
              <w:jc w:val="center"/>
              <w:rPr>
                <w:color w:val="auto"/>
                <w:szCs w:val="21"/>
              </w:rPr>
            </w:pPr>
          </w:p>
        </w:tc>
        <w:tc>
          <w:tcPr>
            <w:tcW w:w="1123" w:type="pct"/>
            <w:noWrap w:val="0"/>
            <w:vAlign w:val="center"/>
          </w:tcPr>
          <w:p w14:paraId="0034D4B1">
            <w:pPr>
              <w:adjustRightInd w:val="0"/>
              <w:snapToGrid w:val="0"/>
              <w:spacing w:before="50" w:line="360" w:lineRule="auto"/>
              <w:ind w:left="-88" w:leftChars="-42"/>
              <w:jc w:val="center"/>
              <w:rPr>
                <w:color w:val="auto"/>
                <w:szCs w:val="21"/>
              </w:rPr>
            </w:pPr>
          </w:p>
        </w:tc>
        <w:tc>
          <w:tcPr>
            <w:tcW w:w="1000" w:type="pct"/>
            <w:noWrap w:val="0"/>
            <w:vAlign w:val="center"/>
          </w:tcPr>
          <w:p w14:paraId="4C6754B5">
            <w:pPr>
              <w:adjustRightInd w:val="0"/>
              <w:snapToGrid w:val="0"/>
              <w:spacing w:before="50" w:line="360" w:lineRule="auto"/>
              <w:ind w:left="-88" w:leftChars="-42"/>
              <w:jc w:val="center"/>
              <w:rPr>
                <w:color w:val="auto"/>
                <w:szCs w:val="21"/>
              </w:rPr>
            </w:pPr>
          </w:p>
        </w:tc>
        <w:tc>
          <w:tcPr>
            <w:tcW w:w="962" w:type="pct"/>
            <w:noWrap w:val="0"/>
            <w:vAlign w:val="center"/>
          </w:tcPr>
          <w:p w14:paraId="1A255DC2">
            <w:pPr>
              <w:adjustRightInd w:val="0"/>
              <w:snapToGrid w:val="0"/>
              <w:spacing w:before="50" w:line="360" w:lineRule="auto"/>
              <w:ind w:left="-88" w:leftChars="-42"/>
              <w:jc w:val="center"/>
              <w:rPr>
                <w:color w:val="auto"/>
                <w:szCs w:val="21"/>
              </w:rPr>
            </w:pPr>
          </w:p>
        </w:tc>
        <w:tc>
          <w:tcPr>
            <w:tcW w:w="905" w:type="pct"/>
            <w:noWrap w:val="0"/>
            <w:vAlign w:val="center"/>
          </w:tcPr>
          <w:p w14:paraId="1C19F4F4">
            <w:pPr>
              <w:adjustRightInd w:val="0"/>
              <w:snapToGrid w:val="0"/>
              <w:spacing w:before="50" w:line="360" w:lineRule="auto"/>
              <w:ind w:left="-88" w:leftChars="-42"/>
              <w:jc w:val="center"/>
              <w:rPr>
                <w:color w:val="auto"/>
                <w:szCs w:val="21"/>
              </w:rPr>
            </w:pPr>
          </w:p>
        </w:tc>
        <w:tc>
          <w:tcPr>
            <w:tcW w:w="634" w:type="pct"/>
            <w:noWrap w:val="0"/>
            <w:vAlign w:val="center"/>
          </w:tcPr>
          <w:p w14:paraId="1DB72303">
            <w:pPr>
              <w:adjustRightInd w:val="0"/>
              <w:snapToGrid w:val="0"/>
              <w:spacing w:before="50" w:line="360" w:lineRule="auto"/>
              <w:ind w:left="-88" w:leftChars="-42"/>
              <w:jc w:val="center"/>
              <w:rPr>
                <w:color w:val="auto"/>
                <w:szCs w:val="21"/>
              </w:rPr>
            </w:pPr>
          </w:p>
        </w:tc>
      </w:tr>
      <w:tr w14:paraId="69E4D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64DFE605">
            <w:pPr>
              <w:adjustRightInd w:val="0"/>
              <w:snapToGrid w:val="0"/>
              <w:spacing w:before="50" w:line="360" w:lineRule="auto"/>
              <w:ind w:left="-88" w:leftChars="-42"/>
              <w:jc w:val="center"/>
              <w:rPr>
                <w:color w:val="auto"/>
                <w:szCs w:val="21"/>
              </w:rPr>
            </w:pPr>
          </w:p>
        </w:tc>
        <w:tc>
          <w:tcPr>
            <w:tcW w:w="1123" w:type="pct"/>
            <w:noWrap w:val="0"/>
            <w:vAlign w:val="center"/>
          </w:tcPr>
          <w:p w14:paraId="63674615">
            <w:pPr>
              <w:adjustRightInd w:val="0"/>
              <w:snapToGrid w:val="0"/>
              <w:spacing w:before="50" w:line="360" w:lineRule="auto"/>
              <w:ind w:left="-88" w:leftChars="-42"/>
              <w:jc w:val="center"/>
              <w:rPr>
                <w:color w:val="auto"/>
                <w:szCs w:val="21"/>
              </w:rPr>
            </w:pPr>
          </w:p>
        </w:tc>
        <w:tc>
          <w:tcPr>
            <w:tcW w:w="1000" w:type="pct"/>
            <w:noWrap w:val="0"/>
            <w:vAlign w:val="center"/>
          </w:tcPr>
          <w:p w14:paraId="4F855F41">
            <w:pPr>
              <w:adjustRightInd w:val="0"/>
              <w:snapToGrid w:val="0"/>
              <w:spacing w:before="50" w:line="360" w:lineRule="auto"/>
              <w:ind w:left="-88" w:leftChars="-42"/>
              <w:jc w:val="center"/>
              <w:rPr>
                <w:color w:val="auto"/>
                <w:szCs w:val="21"/>
              </w:rPr>
            </w:pPr>
          </w:p>
        </w:tc>
        <w:tc>
          <w:tcPr>
            <w:tcW w:w="962" w:type="pct"/>
            <w:noWrap w:val="0"/>
            <w:vAlign w:val="center"/>
          </w:tcPr>
          <w:p w14:paraId="7D19764F">
            <w:pPr>
              <w:adjustRightInd w:val="0"/>
              <w:snapToGrid w:val="0"/>
              <w:spacing w:before="50" w:line="360" w:lineRule="auto"/>
              <w:ind w:left="-88" w:leftChars="-42"/>
              <w:jc w:val="center"/>
              <w:rPr>
                <w:color w:val="auto"/>
                <w:szCs w:val="21"/>
              </w:rPr>
            </w:pPr>
          </w:p>
        </w:tc>
        <w:tc>
          <w:tcPr>
            <w:tcW w:w="905" w:type="pct"/>
            <w:noWrap w:val="0"/>
            <w:vAlign w:val="center"/>
          </w:tcPr>
          <w:p w14:paraId="387E2D80">
            <w:pPr>
              <w:adjustRightInd w:val="0"/>
              <w:snapToGrid w:val="0"/>
              <w:spacing w:before="50" w:line="360" w:lineRule="auto"/>
              <w:ind w:left="-88" w:leftChars="-42"/>
              <w:jc w:val="center"/>
              <w:rPr>
                <w:color w:val="auto"/>
                <w:szCs w:val="21"/>
              </w:rPr>
            </w:pPr>
          </w:p>
        </w:tc>
        <w:tc>
          <w:tcPr>
            <w:tcW w:w="634" w:type="pct"/>
            <w:noWrap w:val="0"/>
            <w:vAlign w:val="center"/>
          </w:tcPr>
          <w:p w14:paraId="1F8879A3">
            <w:pPr>
              <w:adjustRightInd w:val="0"/>
              <w:snapToGrid w:val="0"/>
              <w:spacing w:before="50" w:line="360" w:lineRule="auto"/>
              <w:ind w:left="-88" w:leftChars="-42"/>
              <w:jc w:val="center"/>
              <w:rPr>
                <w:color w:val="auto"/>
                <w:szCs w:val="21"/>
              </w:rPr>
            </w:pPr>
          </w:p>
        </w:tc>
      </w:tr>
      <w:tr w14:paraId="0DF1F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749B4687">
            <w:pPr>
              <w:rPr>
                <w:b/>
                <w:color w:val="auto"/>
              </w:rPr>
            </w:pPr>
          </w:p>
        </w:tc>
      </w:tr>
    </w:tbl>
    <w:p w14:paraId="697F230A">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5716E13">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139ED8A9">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14:paraId="106FD182">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3136756E">
      <w:pPr>
        <w:pStyle w:val="16"/>
        <w:rPr>
          <w:color w:val="auto"/>
        </w:rPr>
      </w:pPr>
    </w:p>
    <w:p w14:paraId="73D1C885">
      <w:pPr>
        <w:pStyle w:val="15"/>
        <w:rPr>
          <w:rFonts w:hint="eastAsia"/>
          <w:lang w:eastAsia="zh-CN"/>
        </w:rPr>
      </w:pPr>
    </w:p>
    <w:p w14:paraId="03C04ADB"/>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D478A">
    <w:pPr>
      <w:pStyle w:val="5"/>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64D75">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364D75">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04AA74B6">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15414">
    <w:pPr>
      <w:pStyle w:val="5"/>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C99FB">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D6C99FB">
                    <w:pPr>
                      <w:pStyle w:val="5"/>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A2EFDEE">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413EB">
    <w:pPr>
      <w:pStyle w:val="6"/>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39966C9"/>
    <w:rsid w:val="04653F41"/>
    <w:rsid w:val="04B72FC8"/>
    <w:rsid w:val="05AA7263"/>
    <w:rsid w:val="06E91EC4"/>
    <w:rsid w:val="0857071B"/>
    <w:rsid w:val="086F75C9"/>
    <w:rsid w:val="0A3F4F3C"/>
    <w:rsid w:val="0E331420"/>
    <w:rsid w:val="0E497FFD"/>
    <w:rsid w:val="0EDD1643"/>
    <w:rsid w:val="0FB9029C"/>
    <w:rsid w:val="10914EF9"/>
    <w:rsid w:val="12080B62"/>
    <w:rsid w:val="12942538"/>
    <w:rsid w:val="12994AC5"/>
    <w:rsid w:val="129F447F"/>
    <w:rsid w:val="12C86253"/>
    <w:rsid w:val="14581137"/>
    <w:rsid w:val="15060AC8"/>
    <w:rsid w:val="15675A4C"/>
    <w:rsid w:val="15F259FD"/>
    <w:rsid w:val="168F7D1A"/>
    <w:rsid w:val="17F91BB8"/>
    <w:rsid w:val="18C150CE"/>
    <w:rsid w:val="19721BD0"/>
    <w:rsid w:val="1AF56B46"/>
    <w:rsid w:val="1DDE324A"/>
    <w:rsid w:val="1E79119D"/>
    <w:rsid w:val="1F334F58"/>
    <w:rsid w:val="1F796B24"/>
    <w:rsid w:val="1FE73549"/>
    <w:rsid w:val="2038045E"/>
    <w:rsid w:val="20B41DA7"/>
    <w:rsid w:val="23263CBF"/>
    <w:rsid w:val="272B6E6C"/>
    <w:rsid w:val="27CF2BB7"/>
    <w:rsid w:val="28E81B29"/>
    <w:rsid w:val="29B45A41"/>
    <w:rsid w:val="2C0A2E19"/>
    <w:rsid w:val="2C7642D0"/>
    <w:rsid w:val="2DD77C64"/>
    <w:rsid w:val="2DDA1E78"/>
    <w:rsid w:val="2DE00B8C"/>
    <w:rsid w:val="2EAC037F"/>
    <w:rsid w:val="2EB67A5C"/>
    <w:rsid w:val="302741D2"/>
    <w:rsid w:val="308B184D"/>
    <w:rsid w:val="31FE3F40"/>
    <w:rsid w:val="33384C93"/>
    <w:rsid w:val="340F06E9"/>
    <w:rsid w:val="372F7378"/>
    <w:rsid w:val="39182A16"/>
    <w:rsid w:val="397348CD"/>
    <w:rsid w:val="3B3B544D"/>
    <w:rsid w:val="3B654F2B"/>
    <w:rsid w:val="3BB72BAE"/>
    <w:rsid w:val="3C8A61A4"/>
    <w:rsid w:val="3D5E17FF"/>
    <w:rsid w:val="3E1F0DA4"/>
    <w:rsid w:val="3E584E51"/>
    <w:rsid w:val="3EBE1ADE"/>
    <w:rsid w:val="403B4B34"/>
    <w:rsid w:val="409610BD"/>
    <w:rsid w:val="414D7889"/>
    <w:rsid w:val="41BB0BAE"/>
    <w:rsid w:val="429A4992"/>
    <w:rsid w:val="435B161D"/>
    <w:rsid w:val="43B25DAC"/>
    <w:rsid w:val="43B95222"/>
    <w:rsid w:val="44771DFD"/>
    <w:rsid w:val="45D569C3"/>
    <w:rsid w:val="499E5B0E"/>
    <w:rsid w:val="4AEE1A11"/>
    <w:rsid w:val="4B7F39F4"/>
    <w:rsid w:val="4BAE646F"/>
    <w:rsid w:val="4CAC1559"/>
    <w:rsid w:val="4D754257"/>
    <w:rsid w:val="4DCD6AB3"/>
    <w:rsid w:val="50216DCD"/>
    <w:rsid w:val="50540C20"/>
    <w:rsid w:val="51AC28BD"/>
    <w:rsid w:val="53984ABA"/>
    <w:rsid w:val="54413B33"/>
    <w:rsid w:val="581A7C72"/>
    <w:rsid w:val="583A4BD7"/>
    <w:rsid w:val="59C74B1F"/>
    <w:rsid w:val="5C705263"/>
    <w:rsid w:val="5D484535"/>
    <w:rsid w:val="5F8A052F"/>
    <w:rsid w:val="611B6B1B"/>
    <w:rsid w:val="62337787"/>
    <w:rsid w:val="62C222C2"/>
    <w:rsid w:val="632D7C40"/>
    <w:rsid w:val="64133D6A"/>
    <w:rsid w:val="676A25AA"/>
    <w:rsid w:val="678E4F5D"/>
    <w:rsid w:val="680E122C"/>
    <w:rsid w:val="6A4E1D63"/>
    <w:rsid w:val="6DE375E4"/>
    <w:rsid w:val="6E8E5287"/>
    <w:rsid w:val="6FBE332C"/>
    <w:rsid w:val="71554367"/>
    <w:rsid w:val="71584067"/>
    <w:rsid w:val="735201FF"/>
    <w:rsid w:val="737B50A4"/>
    <w:rsid w:val="73F40E72"/>
    <w:rsid w:val="74566F5C"/>
    <w:rsid w:val="749629E7"/>
    <w:rsid w:val="7500222B"/>
    <w:rsid w:val="750117A8"/>
    <w:rsid w:val="755B2270"/>
    <w:rsid w:val="76920D75"/>
    <w:rsid w:val="77423DFF"/>
    <w:rsid w:val="783B5EA9"/>
    <w:rsid w:val="79EB699D"/>
    <w:rsid w:val="7B0620DE"/>
    <w:rsid w:val="7BAA370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footer"/>
    <w:basedOn w:val="1"/>
    <w:autoRedefine/>
    <w:qFormat/>
    <w:uiPriority w:val="0"/>
    <w:pPr>
      <w:tabs>
        <w:tab w:val="center" w:pos="4153"/>
        <w:tab w:val="right" w:pos="8306"/>
      </w:tabs>
      <w:snapToGrid w:val="0"/>
      <w:jc w:val="left"/>
    </w:pPr>
    <w:rPr>
      <w:kern w:val="0"/>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rPr>
      <w:sz w:val="24"/>
    </w:rPr>
  </w:style>
  <w:style w:type="paragraph" w:styleId="8">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3">
    <w:name w:val="Default"/>
    <w:next w:val="14"/>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4">
    <w:name w:val="大标题"/>
    <w:basedOn w:val="1"/>
    <w:next w:val="8"/>
    <w:autoRedefine/>
    <w:qFormat/>
    <w:uiPriority w:val="0"/>
    <w:pPr>
      <w:jc w:val="center"/>
    </w:pPr>
    <w:rPr>
      <w:rFonts w:ascii="Arial" w:hAnsi="Arial" w:eastAsia="宋体"/>
      <w:b/>
      <w:sz w:val="28"/>
      <w:szCs w:val="24"/>
    </w:rPr>
  </w:style>
  <w:style w:type="paragraph" w:customStyle="1" w:styleId="15">
    <w:name w:val="列出段落1"/>
    <w:basedOn w:val="1"/>
    <w:autoRedefine/>
    <w:qFormat/>
    <w:uiPriority w:val="99"/>
    <w:pPr>
      <w:ind w:firstLine="420" w:firstLineChars="200"/>
    </w:pPr>
  </w:style>
  <w:style w:type="paragraph" w:customStyle="1" w:styleId="1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3534</Words>
  <Characters>3953</Characters>
  <Lines>0</Lines>
  <Paragraphs>0</Paragraphs>
  <TotalTime>15</TotalTime>
  <ScaleCrop>false</ScaleCrop>
  <LinksUpToDate>false</LinksUpToDate>
  <CharactersWithSpaces>4110</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2024-10-10T00:51:57Z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3505A2AB25E048A4A9B0E6A6741CA1BA_11</vt:lpwstr>
  </property>
</Properties>
</file>