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4"/>
        <w:snapToGrid w:val="0"/>
        <w:jc w:val="center"/>
        <w:rPr>
          <w:rFonts w:hint="eastAsia" w:ascii="Arial" w:hAnsi="Arial" w:eastAsia="方正小标宋简体" w:cs="Arial"/>
          <w:color w:val="auto"/>
          <w:sz w:val="72"/>
          <w:szCs w:val="72"/>
          <w:lang w:eastAsia="zh-CN"/>
        </w:rPr>
      </w:pPr>
      <w:bookmarkStart w:id="0" w:name="_Toc16523570"/>
    </w:p>
    <w:p w14:paraId="38648228">
      <w:pPr>
        <w:pStyle w:val="14"/>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4"/>
        <w:snapToGrid w:val="0"/>
        <w:jc w:val="center"/>
        <w:rPr>
          <w:rFonts w:ascii="Arial" w:hAnsi="Arial" w:eastAsia="方正小标宋简体" w:cs="Arial"/>
          <w:sz w:val="72"/>
          <w:szCs w:val="72"/>
        </w:rPr>
      </w:pPr>
    </w:p>
    <w:p w14:paraId="48AC3AC9">
      <w:pPr>
        <w:pStyle w:val="14"/>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4"/>
        <w:snapToGrid w:val="0"/>
        <w:jc w:val="center"/>
        <w:rPr>
          <w:rFonts w:ascii="Arial" w:hAnsi="Arial" w:eastAsia="方正小标宋简体" w:cs="Arial"/>
          <w:sz w:val="72"/>
          <w:szCs w:val="72"/>
        </w:rPr>
      </w:pPr>
    </w:p>
    <w:p w14:paraId="5AFE286C">
      <w:pPr>
        <w:pStyle w:val="14"/>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4"/>
        <w:snapToGrid w:val="0"/>
        <w:jc w:val="center"/>
        <w:rPr>
          <w:rFonts w:ascii="Arial" w:hAnsi="Arial" w:eastAsia="方正小标宋简体" w:cs="Arial"/>
          <w:sz w:val="72"/>
          <w:szCs w:val="72"/>
        </w:rPr>
      </w:pPr>
    </w:p>
    <w:p w14:paraId="705E1937">
      <w:pPr>
        <w:pStyle w:val="14"/>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4"/>
        <w:snapToGrid w:val="0"/>
        <w:jc w:val="center"/>
        <w:rPr>
          <w:rFonts w:ascii="Arial" w:hAnsi="Arial" w:eastAsia="方正小标宋简体" w:cs="Arial"/>
          <w:sz w:val="72"/>
          <w:szCs w:val="72"/>
        </w:rPr>
      </w:pPr>
    </w:p>
    <w:p w14:paraId="7E5286DA">
      <w:pPr>
        <w:pStyle w:val="14"/>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4"/>
        <w:snapToGrid w:val="0"/>
        <w:jc w:val="center"/>
        <w:rPr>
          <w:rFonts w:ascii="Arial" w:hAnsi="Arial" w:cs="Arial"/>
          <w:sz w:val="32"/>
          <w:szCs w:val="32"/>
        </w:rPr>
      </w:pPr>
    </w:p>
    <w:p w14:paraId="62F2469F">
      <w:pPr>
        <w:pStyle w:val="14"/>
        <w:snapToGrid w:val="0"/>
        <w:jc w:val="center"/>
        <w:rPr>
          <w:rFonts w:ascii="Arial" w:hAnsi="Arial" w:cs="Arial"/>
          <w:sz w:val="32"/>
          <w:szCs w:val="32"/>
        </w:rPr>
      </w:pPr>
    </w:p>
    <w:p w14:paraId="4BC89937">
      <w:pPr>
        <w:pStyle w:val="14"/>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（内科胸腔镜医院公开挂网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内科胸腔镜</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内科胸腔镜</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5"/>
        <w:rPr>
          <w:rFonts w:hint="eastAsia"/>
          <w:lang w:val="en-US" w:eastAsia="zh-CN"/>
        </w:rPr>
      </w:pPr>
    </w:p>
    <w:p w14:paraId="5F32D497">
      <w:pPr>
        <w:pStyle w:val="15"/>
        <w:jc w:val="both"/>
        <w:rPr>
          <w:rFonts w:hint="default"/>
          <w:lang w:val="en-US" w:eastAsia="zh-CN"/>
        </w:rPr>
      </w:pPr>
    </w:p>
    <w:p w14:paraId="635E3C4F">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5"/>
        <w:rPr>
          <w:rFonts w:hint="eastAsia" w:ascii="宋体" w:hAnsi="宋体" w:cs="宋体"/>
          <w:b/>
          <w:bCs/>
          <w:color w:val="auto"/>
          <w:sz w:val="44"/>
          <w:szCs w:val="44"/>
          <w:lang w:val="en-US" w:eastAsia="zh-CN"/>
        </w:rPr>
      </w:pPr>
    </w:p>
    <w:p w14:paraId="07F2E394">
      <w:pPr>
        <w:pStyle w:val="10"/>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3"/>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内科胸腔镜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jc w:val="center"/>
              <w:rPr>
                <w:rFonts w:hint="default" w:asciiTheme="minorEastAsia" w:hAnsiTheme="minorEastAsia" w:eastAsiaTheme="minorEastAsia" w:cstheme="minorEastAsia"/>
                <w:kern w:val="2"/>
                <w:sz w:val="24"/>
                <w:szCs w:val="24"/>
                <w:lang w:val="en-US" w:eastAsia="zh-CN" w:bidi="ar-SA"/>
              </w:rPr>
            </w:pPr>
            <w:r>
              <w:rPr>
                <w:rFonts w:hint="eastAsia"/>
                <w:lang w:val="en-US" w:eastAsia="zh-CN"/>
              </w:rPr>
              <w:t>33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3825AA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ABA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203441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B4E4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E9F6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0EB8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44030057">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4AD5B04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操作手柄（含插入管）：</w:t>
      </w:r>
    </w:p>
    <w:p w14:paraId="2C3116E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1.1适用范围：通过视频监视器提供图像，用于对胸腔进行观察、诊断、摄影和治疗。</w:t>
      </w:r>
    </w:p>
    <w:p w14:paraId="077B1B5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1.2成像原理：电子成像技术，工作软管不含导像、导光纤维。</w:t>
      </w:r>
    </w:p>
    <w:p w14:paraId="41EF9EB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 软镜插入管外径≤7.0mm，工作管道内径≥3.2mm。</w:t>
      </w:r>
    </w:p>
    <w:p w14:paraId="22B69E0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1.4插入部有效长度≥270mm。</w:t>
      </w:r>
    </w:p>
    <w:p w14:paraId="7778D8A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 视场角≥120°。</w:t>
      </w:r>
    </w:p>
    <w:p w14:paraId="3185DA7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1.6景深：3-150mm。</w:t>
      </w:r>
    </w:p>
    <w:p w14:paraId="6ECF19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 插入管前端弯曲部角度：向上弯曲＜180°，向下弯曲＜130°，双向弯曲＜310°，配合前端更小弯曲半径，精准诊疗。</w:t>
      </w:r>
    </w:p>
    <w:p w14:paraId="7787CA2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 弯角手轮上应有操作方向U、D标记，角度把手调节至D处时，弯曲部向下弯曲，角度把手调节至U处时，弯曲部向上弯曲。</w:t>
      </w:r>
    </w:p>
    <w:p w14:paraId="52460CE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 操作手柄具备左右旋转关节和转轴定位点，可带动插入软管部先端左右旋转，向左＜120°，向右＜120°。</w:t>
      </w:r>
    </w:p>
    <w:p w14:paraId="7F65CDB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1.10 吸引阀座一体式防脱设计，解决吸引按钮易脱落的临床风险，无需专机专用耗材。</w:t>
      </w:r>
    </w:p>
    <w:p w14:paraId="7459BA7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1.11 连接方式：视频转接线与操作手柄无需连接安装的一体式设计，转接线可耐受浸泡消毒。</w:t>
      </w:r>
    </w:p>
    <w:p w14:paraId="7ED9D79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1.12操作手柄具有≥3个具备独立电子功能的按键。</w:t>
      </w:r>
    </w:p>
    <w:p w14:paraId="17817A2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1.12.1 操作手柄上按键可控制大小屏切换功能；</w:t>
      </w:r>
    </w:p>
    <w:p w14:paraId="2BF7748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1.12.2 操作手柄上按键可控制拍照录像功能，可在图像冻结或录像的同时进行拍照；</w:t>
      </w:r>
    </w:p>
    <w:p w14:paraId="768732A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1.12.3 操作手柄上按键可控制图像冻结和解冻功能，提升病灶部位诊断精确度。</w:t>
      </w:r>
    </w:p>
    <w:p w14:paraId="19BB844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1.13吸引量≥1000mL/min。</w:t>
      </w:r>
    </w:p>
    <w:p w14:paraId="477C31B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1.14 内置LED冷光源，内镜镜头具备防雾功能，无需预热即可观察。</w:t>
      </w:r>
    </w:p>
    <w:p w14:paraId="3FE1089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1.15激光兼容性：兼容 。</w:t>
      </w:r>
    </w:p>
    <w:p w14:paraId="69318F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1.16 操作部防水等级：IPX7。配备防水盖，可进行全浸泡消毒。</w:t>
      </w:r>
    </w:p>
    <w:p w14:paraId="43B920F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1.17 消毒灭菌无需ETO帽、NT阀，无需更换配件。</w:t>
      </w:r>
    </w:p>
    <w:p w14:paraId="188841D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1.18 配备10寸图像处理器</w:t>
      </w:r>
    </w:p>
    <w:p w14:paraId="3BF905D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2.1具备独立的图像处理器医疗器械注册证（产品组成部分不含内镜）。</w:t>
      </w:r>
    </w:p>
    <w:p w14:paraId="3F9D604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 显示屏：TFT-LCD，液晶玻璃。</w:t>
      </w:r>
    </w:p>
    <w:p w14:paraId="5147A7B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 触摸屏：电容式触摸屏。</w:t>
      </w:r>
    </w:p>
    <w:p w14:paraId="1E48BDC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 高清视频信号输出分辨率：≥1280×800。</w:t>
      </w:r>
    </w:p>
    <w:p w14:paraId="0CBAEDF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2.5显示功能：自带显示屏≥10.1英寸，开机时间≤5秒，能实现图像实时显示,满足临床快速使用需求。</w:t>
      </w:r>
    </w:p>
    <w:p w14:paraId="0BD0268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bookmarkStart w:id="1" w:name="_Hlk52280854"/>
      <w:r>
        <w:rPr>
          <w:rFonts w:hint="eastAsia" w:asciiTheme="minorEastAsia" w:hAnsiTheme="minorEastAsia" w:eastAsiaTheme="minorEastAsia" w:cstheme="minorEastAsia"/>
          <w:bCs/>
          <w:color w:val="auto"/>
          <w:kern w:val="0"/>
          <w:sz w:val="24"/>
          <w:szCs w:val="24"/>
          <w:lang w:val="en-US" w:eastAsia="zh-CN" w:bidi="ar-SA"/>
        </w:rPr>
        <w:t>2.6通过操作部功能按键即可实现：图像放大缩小，图像冻结，拍照，录像功能（无需触摸屏幕，避免术后消毒问题）。</w:t>
      </w:r>
      <w:bookmarkEnd w:id="1"/>
    </w:p>
    <w:p w14:paraId="1A38886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 能够同时连接两条内窥镜，具备≥2路信号输入接口及双镜切换物理按键，切换实时视频输入信号。</w:t>
      </w:r>
    </w:p>
    <w:p w14:paraId="4B3A6CF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 存储功能：配备有外置存储卡，可以存储图片及视频，内存≥64G。</w:t>
      </w:r>
    </w:p>
    <w:p w14:paraId="44767D8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2.9 视频及照片回放：本机上可实时回放视频及照片。</w:t>
      </w:r>
    </w:p>
    <w:p w14:paraId="1995362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2.10 白平衡功能：具有白平衡功能，可一键恢复白平衡出厂值，具有开机记忆色彩功能。</w:t>
      </w:r>
    </w:p>
    <w:p w14:paraId="5D7BF80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bookmarkStart w:id="2" w:name="_Hlk52269290"/>
      <w:bookmarkStart w:id="3" w:name="_Hlk52281100"/>
      <w:r>
        <w:rPr>
          <w:rFonts w:hint="eastAsia" w:asciiTheme="minorEastAsia" w:hAnsiTheme="minorEastAsia" w:eastAsiaTheme="minorEastAsia" w:cstheme="minorEastAsia"/>
          <w:bCs/>
          <w:color w:val="auto"/>
          <w:kern w:val="0"/>
          <w:sz w:val="24"/>
          <w:szCs w:val="24"/>
          <w:lang w:val="en-US" w:eastAsia="zh-CN" w:bidi="ar-SA"/>
        </w:rPr>
        <w:t>2.11预览、隐藏功能：具有可实时观察、记录与回放功能，且可一键隐藏所有按键功能。有利于临床操作使用。</w:t>
      </w:r>
      <w:bookmarkEnd w:id="2"/>
      <w:bookmarkEnd w:id="3"/>
    </w:p>
    <w:p w14:paraId="699451F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2.12调节图像输出比例功能：在外接显示器时，外接显示器输出不少于3个模式16:9、4:3以及16:10三种显示比例的图像，满足不同场景下观看需求。</w:t>
      </w:r>
    </w:p>
    <w:p w14:paraId="1C000D2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2.13具有≥3种输出图像形状可选，满足不同操作者的习惯。</w:t>
      </w:r>
    </w:p>
    <w:p w14:paraId="06A8780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2.14亮度调节功能：≥4级亮度调节，可调节配套使用的电子内窥镜上的LED灯的亮度（非仅调节显示屏幕亮度）。</w:t>
      </w:r>
    </w:p>
    <w:p w14:paraId="08B049E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3配备高清工作站，打印报告。</w:t>
      </w: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w:t>
      </w:r>
      <w:r>
        <w:rPr>
          <w:rFonts w:hint="eastAsia" w:ascii="宋体" w:hAnsi="宋体" w:cs="宋体"/>
          <w:color w:val="auto"/>
          <w:sz w:val="24"/>
          <w:szCs w:val="24"/>
          <w:lang w:val="en-US" w:eastAsia="zh-CN"/>
        </w:rPr>
        <w:t>1</w:t>
      </w:r>
      <w:bookmarkStart w:id="7" w:name="_GoBack"/>
      <w:bookmarkEnd w:id="7"/>
      <w:r>
        <w:rPr>
          <w:rFonts w:hint="eastAsia" w:ascii="宋体" w:hAnsi="宋体" w:eastAsia="宋体" w:cs="宋体"/>
          <w:color w:val="auto"/>
          <w:sz w:val="24"/>
          <w:szCs w:val="24"/>
          <w:lang w:val="en-US" w:eastAsia="zh-CN"/>
        </w:rPr>
        <w:t>小时上门服务</w:t>
      </w:r>
      <w:r>
        <w:rPr>
          <w:rFonts w:hint="eastAsia" w:ascii="宋体" w:hAnsi="宋体" w:cs="宋体"/>
          <w:color w:val="auto"/>
          <w:sz w:val="24"/>
          <w:szCs w:val="24"/>
          <w:lang w:val="en-US" w:eastAsia="zh-CN"/>
        </w:rPr>
        <w:t>。</w:t>
      </w:r>
    </w:p>
    <w:p w14:paraId="10CEDB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35A555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7、设备如涉及网络接口费用，由中标人承担，采购人不再出具任何费用。</w:t>
      </w:r>
    </w:p>
    <w:p w14:paraId="2CE758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法定代表人：左建辉</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内科胸腔镜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内科胸腔镜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1"/>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内科胸腔镜</w:t>
            </w:r>
          </w:p>
        </w:tc>
        <w:tc>
          <w:tcPr>
            <w:tcW w:w="122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FB1943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4DC64B8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FB3D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7AF9DBD">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6450FBD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4"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4"/>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7"/>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6"/>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BFA4254">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5" w:name="_Toc486424819"/>
      <w:bookmarkStart w:id="6" w:name="_Toc476514128"/>
    </w:p>
    <w:p w14:paraId="510721AA">
      <w:pPr>
        <w:pStyle w:val="16"/>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5"/>
    <w:bookmarkEnd w:id="6"/>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7"/>
        <w:rPr>
          <w:color w:val="auto"/>
        </w:rPr>
      </w:pPr>
    </w:p>
    <w:p w14:paraId="73D1C885">
      <w:pPr>
        <w:pStyle w:val="16"/>
        <w:rPr>
          <w:rFonts w:hint="eastAsia"/>
          <w:lang w:eastAsia="zh-CN"/>
        </w:rPr>
      </w:pPr>
    </w:p>
    <w:p w14:paraId="6FE04B10"/>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064044"/>
    <w:rsid w:val="06E91EC4"/>
    <w:rsid w:val="08135FFD"/>
    <w:rsid w:val="086F75C9"/>
    <w:rsid w:val="0A3F4F3C"/>
    <w:rsid w:val="0E331420"/>
    <w:rsid w:val="0EDD1643"/>
    <w:rsid w:val="0FB9029C"/>
    <w:rsid w:val="0FC44DAF"/>
    <w:rsid w:val="10914EF9"/>
    <w:rsid w:val="12080B62"/>
    <w:rsid w:val="12994AC5"/>
    <w:rsid w:val="129F447F"/>
    <w:rsid w:val="12C86253"/>
    <w:rsid w:val="15060AC8"/>
    <w:rsid w:val="15675A4C"/>
    <w:rsid w:val="15F259FD"/>
    <w:rsid w:val="17F91BB8"/>
    <w:rsid w:val="1AF56B46"/>
    <w:rsid w:val="1B7A31D2"/>
    <w:rsid w:val="1E79119D"/>
    <w:rsid w:val="1F334F58"/>
    <w:rsid w:val="1F796B24"/>
    <w:rsid w:val="1FE73549"/>
    <w:rsid w:val="2038045E"/>
    <w:rsid w:val="20B41DA7"/>
    <w:rsid w:val="22453A2D"/>
    <w:rsid w:val="272B6E6C"/>
    <w:rsid w:val="27CF2BB7"/>
    <w:rsid w:val="28E81B29"/>
    <w:rsid w:val="292444F2"/>
    <w:rsid w:val="29B45A41"/>
    <w:rsid w:val="2C0A2E19"/>
    <w:rsid w:val="2C7642D0"/>
    <w:rsid w:val="2C902767"/>
    <w:rsid w:val="2DD77C64"/>
    <w:rsid w:val="2DDA1E78"/>
    <w:rsid w:val="2DE00B8C"/>
    <w:rsid w:val="2EAC037F"/>
    <w:rsid w:val="2EB67A5C"/>
    <w:rsid w:val="302741D2"/>
    <w:rsid w:val="308B184D"/>
    <w:rsid w:val="33384C93"/>
    <w:rsid w:val="340F06E9"/>
    <w:rsid w:val="36C93429"/>
    <w:rsid w:val="372F7378"/>
    <w:rsid w:val="39182A16"/>
    <w:rsid w:val="397348CD"/>
    <w:rsid w:val="3B3B544D"/>
    <w:rsid w:val="3B654F2B"/>
    <w:rsid w:val="3BB72BAE"/>
    <w:rsid w:val="3C8A61A4"/>
    <w:rsid w:val="3D5E17FF"/>
    <w:rsid w:val="3D9B6EA3"/>
    <w:rsid w:val="3E1F0DA4"/>
    <w:rsid w:val="3E584E51"/>
    <w:rsid w:val="3EBE1ADE"/>
    <w:rsid w:val="403B4B34"/>
    <w:rsid w:val="414D7889"/>
    <w:rsid w:val="41BB0BAE"/>
    <w:rsid w:val="42925929"/>
    <w:rsid w:val="429A4992"/>
    <w:rsid w:val="435B161D"/>
    <w:rsid w:val="43B25DAC"/>
    <w:rsid w:val="43BB3965"/>
    <w:rsid w:val="44771DFD"/>
    <w:rsid w:val="45D569C3"/>
    <w:rsid w:val="46E52F77"/>
    <w:rsid w:val="4AEE1A11"/>
    <w:rsid w:val="4B7F39F4"/>
    <w:rsid w:val="4BAE646F"/>
    <w:rsid w:val="4CAC1559"/>
    <w:rsid w:val="4D754257"/>
    <w:rsid w:val="4DCD6AB3"/>
    <w:rsid w:val="50216DCD"/>
    <w:rsid w:val="50540C20"/>
    <w:rsid w:val="51AC28BD"/>
    <w:rsid w:val="53984ABA"/>
    <w:rsid w:val="581A7C72"/>
    <w:rsid w:val="583A4BD7"/>
    <w:rsid w:val="58E10166"/>
    <w:rsid w:val="59C74B1F"/>
    <w:rsid w:val="5D484535"/>
    <w:rsid w:val="611B6B1B"/>
    <w:rsid w:val="62C222C2"/>
    <w:rsid w:val="632D7C40"/>
    <w:rsid w:val="64133D6A"/>
    <w:rsid w:val="676A25AA"/>
    <w:rsid w:val="678E4F5D"/>
    <w:rsid w:val="67DF33A4"/>
    <w:rsid w:val="680E122C"/>
    <w:rsid w:val="6A4E1D63"/>
    <w:rsid w:val="6D3A6E62"/>
    <w:rsid w:val="6DE375E4"/>
    <w:rsid w:val="6E8E5287"/>
    <w:rsid w:val="6FBE332C"/>
    <w:rsid w:val="71554367"/>
    <w:rsid w:val="71584067"/>
    <w:rsid w:val="735201FF"/>
    <w:rsid w:val="737B50A4"/>
    <w:rsid w:val="73F40E72"/>
    <w:rsid w:val="74566F5C"/>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Plain Text"/>
    <w:basedOn w:val="1"/>
    <w:qFormat/>
    <w:uiPriority w:val="0"/>
    <w:pPr>
      <w:widowControl/>
      <w:spacing w:before="100" w:beforeAutospacing="1" w:after="100" w:afterAutospacing="1"/>
      <w:jc w:val="left"/>
    </w:pPr>
    <w:rPr>
      <w:rFonts w:ascii="宋体" w:hAnsi="宋体"/>
      <w:kern w:val="0"/>
      <w:sz w:val="24"/>
      <w:szCs w:val="24"/>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paragraph" w:styleId="10">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10"/>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8636</Words>
  <Characters>9122</Characters>
  <Lines>0</Lines>
  <Paragraphs>0</Paragraphs>
  <TotalTime>0</TotalTime>
  <ScaleCrop>false</ScaleCrop>
  <LinksUpToDate>false</LinksUpToDate>
  <CharactersWithSpaces>10106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2024-10-25T02:59:39Z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