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12"/>
        <w:snapToGrid w:val="0"/>
        <w:jc w:val="center"/>
        <w:rPr>
          <w:rFonts w:hint="eastAsia" w:ascii="Arial" w:hAnsi="Arial" w:eastAsia="方正小标宋简体" w:cs="Arial"/>
          <w:color w:val="auto"/>
          <w:sz w:val="72"/>
          <w:szCs w:val="72"/>
          <w:lang w:eastAsia="zh-CN"/>
        </w:rPr>
      </w:pPr>
      <w:bookmarkStart w:id="0" w:name="_Toc16523570"/>
    </w:p>
    <w:p w14:paraId="6796EEB0">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14:paraId="4F314216">
      <w:pPr>
        <w:pStyle w:val="12"/>
        <w:snapToGrid w:val="0"/>
        <w:jc w:val="center"/>
        <w:rPr>
          <w:rFonts w:ascii="Arial" w:hAnsi="Arial" w:eastAsia="方正小标宋简体" w:cs="Arial"/>
          <w:sz w:val="72"/>
          <w:szCs w:val="72"/>
        </w:rPr>
      </w:pPr>
    </w:p>
    <w:p w14:paraId="45429E83">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14:paraId="2D57D15F">
      <w:pPr>
        <w:pStyle w:val="12"/>
        <w:snapToGrid w:val="0"/>
        <w:jc w:val="center"/>
        <w:rPr>
          <w:rFonts w:ascii="Arial" w:hAnsi="Arial" w:eastAsia="方正小标宋简体" w:cs="Arial"/>
          <w:sz w:val="72"/>
          <w:szCs w:val="72"/>
        </w:rPr>
      </w:pPr>
    </w:p>
    <w:p w14:paraId="37D4A744">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14:paraId="6ECDF92A">
      <w:pPr>
        <w:pStyle w:val="12"/>
        <w:snapToGrid w:val="0"/>
        <w:jc w:val="center"/>
        <w:rPr>
          <w:rFonts w:ascii="Arial" w:hAnsi="Arial" w:eastAsia="方正小标宋简体" w:cs="Arial"/>
          <w:sz w:val="72"/>
          <w:szCs w:val="72"/>
        </w:rPr>
      </w:pPr>
    </w:p>
    <w:p w14:paraId="436BFC48">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14:paraId="20E0311D">
      <w:pPr>
        <w:pStyle w:val="12"/>
        <w:snapToGrid w:val="0"/>
        <w:jc w:val="center"/>
        <w:rPr>
          <w:rFonts w:ascii="Arial" w:hAnsi="Arial" w:eastAsia="方正小标宋简体" w:cs="Arial"/>
          <w:sz w:val="72"/>
          <w:szCs w:val="72"/>
        </w:rPr>
      </w:pPr>
    </w:p>
    <w:p w14:paraId="247FDB96">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14:paraId="25FEE0C6">
      <w:pPr>
        <w:pStyle w:val="12"/>
        <w:snapToGrid w:val="0"/>
        <w:jc w:val="center"/>
        <w:rPr>
          <w:rFonts w:ascii="Arial" w:hAnsi="Arial" w:cs="Arial"/>
          <w:sz w:val="32"/>
          <w:szCs w:val="32"/>
        </w:rPr>
      </w:pPr>
    </w:p>
    <w:p w14:paraId="1B92FFA5">
      <w:pPr>
        <w:pStyle w:val="12"/>
        <w:snapToGrid w:val="0"/>
        <w:jc w:val="center"/>
        <w:rPr>
          <w:rFonts w:ascii="Arial" w:hAnsi="Arial" w:cs="Arial"/>
          <w:sz w:val="32"/>
          <w:szCs w:val="32"/>
        </w:rPr>
      </w:pPr>
    </w:p>
    <w:p w14:paraId="3EB4A47A">
      <w:pPr>
        <w:pStyle w:val="12"/>
        <w:snapToGrid w:val="0"/>
        <w:jc w:val="center"/>
        <w:rPr>
          <w:rFonts w:ascii="Arial" w:hAnsi="Arial" w:cs="Arial"/>
          <w:sz w:val="32"/>
          <w:szCs w:val="32"/>
        </w:rPr>
      </w:pPr>
    </w:p>
    <w:p w14:paraId="487767A3">
      <w:pPr>
        <w:spacing w:line="360" w:lineRule="auto"/>
        <w:rPr>
          <w:rFonts w:hint="eastAsia"/>
          <w:bCs/>
          <w:sz w:val="32"/>
          <w:szCs w:val="32"/>
        </w:rPr>
      </w:pPr>
    </w:p>
    <w:p w14:paraId="4FD26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（电子支气管镜医院公开挂网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eastAsia="zh-CN"/>
        </w:rPr>
        <w:t>十</w:t>
      </w:r>
      <w:r>
        <w:rPr>
          <w:rFonts w:hint="eastAsia" w:ascii="宋体" w:hAnsi="宋体" w:cs="宋体"/>
          <w:bCs/>
          <w:sz w:val="32"/>
          <w:szCs w:val="32"/>
        </w:rPr>
        <w:t>月</w:t>
      </w:r>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电子支气管镜</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14:paraId="435321EC">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电子支气管镜</w:t>
      </w:r>
      <w:r>
        <w:rPr>
          <w:rFonts w:hint="eastAsia" w:asciiTheme="minorEastAsia" w:hAnsiTheme="minorEastAsia" w:eastAsiaTheme="minorEastAsia" w:cstheme="minorEastAsia"/>
          <w:b w:val="0"/>
          <w:bCs/>
          <w:color w:val="auto"/>
          <w:sz w:val="24"/>
          <w:szCs w:val="24"/>
          <w:lang w:val="en-US" w:eastAsia="zh-CN"/>
        </w:rPr>
        <w:t>项目</w:t>
      </w:r>
    </w:p>
    <w:p w14:paraId="0AC8FEC7">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14:paraId="03E8934C">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14:paraId="049FFAA9">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14:paraId="7C98D1F4">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1227066">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14:paraId="782700B0">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14:paraId="40CF2CE4">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14:paraId="731CB78F">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14:paraId="093FC2CB">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13"/>
        <w:rPr>
          <w:rFonts w:hint="eastAsia"/>
          <w:lang w:val="en-US" w:eastAsia="zh-CN"/>
        </w:rPr>
      </w:pPr>
    </w:p>
    <w:p w14:paraId="687E9235">
      <w:pPr>
        <w:pStyle w:val="13"/>
        <w:jc w:val="both"/>
        <w:rPr>
          <w:rFonts w:hint="default"/>
          <w:lang w:val="en-US" w:eastAsia="zh-CN"/>
        </w:rPr>
      </w:pPr>
    </w:p>
    <w:p w14:paraId="7AECD5DA">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3"/>
        <w:rPr>
          <w:rFonts w:hint="eastAsia" w:ascii="宋体" w:hAnsi="宋体" w:cs="宋体"/>
          <w:b/>
          <w:bCs/>
          <w:color w:val="auto"/>
          <w:sz w:val="44"/>
          <w:szCs w:val="44"/>
          <w:lang w:val="en-US" w:eastAsia="zh-CN"/>
        </w:rPr>
      </w:pPr>
    </w:p>
    <w:p w14:paraId="69D61396">
      <w:pPr>
        <w:pStyle w:val="8"/>
        <w:rPr>
          <w:rFonts w:hint="eastAsia" w:ascii="宋体" w:hAnsi="宋体" w:cs="宋体"/>
          <w:b/>
          <w:bCs/>
          <w:color w:val="auto"/>
          <w:sz w:val="44"/>
          <w:szCs w:val="44"/>
          <w:lang w:val="en-US" w:eastAsia="zh-CN"/>
        </w:rPr>
      </w:pPr>
    </w:p>
    <w:p w14:paraId="0948A873">
      <w:pPr>
        <w:rPr>
          <w:rFonts w:hint="eastAsia" w:ascii="宋体" w:hAnsi="宋体" w:cs="宋体"/>
          <w:b/>
          <w:bCs/>
          <w:color w:val="auto"/>
          <w:sz w:val="44"/>
          <w:szCs w:val="44"/>
          <w:lang w:val="en-US" w:eastAsia="zh-CN"/>
        </w:rPr>
      </w:pPr>
    </w:p>
    <w:p w14:paraId="0D958E9E">
      <w:pPr>
        <w:pStyle w:val="11"/>
        <w:rPr>
          <w:rFonts w:hint="eastAsia"/>
          <w:lang w:val="en-US" w:eastAsia="zh-CN"/>
        </w:rPr>
      </w:pPr>
    </w:p>
    <w:p w14:paraId="7E3117C8">
      <w:pPr>
        <w:pStyle w:val="2"/>
        <w:rPr>
          <w:rFonts w:hint="eastAsia" w:ascii="宋体" w:hAnsi="宋体" w:cs="宋体"/>
          <w:b/>
          <w:bCs/>
          <w:color w:val="auto"/>
          <w:sz w:val="44"/>
          <w:szCs w:val="44"/>
          <w:lang w:val="en-US" w:eastAsia="zh-CN"/>
        </w:rPr>
      </w:pPr>
    </w:p>
    <w:p w14:paraId="73DDB99C">
      <w:pPr>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14:paraId="531C4B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CBF90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14:paraId="1F0A54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电子支气管镜</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23</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4BD1F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bidi="ar-SA"/>
              </w:rPr>
              <w:t>否</w:t>
            </w:r>
          </w:p>
        </w:tc>
      </w:tr>
    </w:tbl>
    <w:p w14:paraId="45296353">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765613A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63DFCE5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1、操作手柄（含插入管）：</w:t>
      </w:r>
    </w:p>
    <w:p w14:paraId="235FA0F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1.1景深≥3-200mm； 视场角≥120°；</w:t>
      </w:r>
    </w:p>
    <w:p w14:paraId="6C5F4FA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1.2成像分辨率≥16lp/mm</w:t>
      </w:r>
    </w:p>
    <w:p w14:paraId="3BBE520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1.3软镜工作软管有效长度≥600mm；</w:t>
      </w:r>
    </w:p>
    <w:p w14:paraId="36EBFE6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1.4工作软管不含光纤，电子成像技术；</w:t>
      </w:r>
    </w:p>
    <w:p w14:paraId="52D0B36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1.5软镜插入管外径≤2.8mm;工作管道内径≥1.2mm；</w:t>
      </w:r>
    </w:p>
    <w:p w14:paraId="62317EB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1.6插入管软管前端弯曲角度：向上弯曲≥180°，向下弯曲≥130°；</w:t>
      </w:r>
    </w:p>
    <w:p w14:paraId="414D5B4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1.7操作手柄具备≥两个功能按键：可控制图像显示器的图像冻结或调光，图像拍照、录像，以及录中拍功能；</w:t>
      </w:r>
    </w:p>
    <w:p w14:paraId="5C080C6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1.8自带LED光源，耐用性强，具备防雾功能；兼容一次性吸引按钮、活检阀、清洗管道；</w:t>
      </w:r>
    </w:p>
    <w:p w14:paraId="7FB8E43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1.9采用无顶针双向通气阀（NT阀），气体分子自由进出，液体无法进入，降低误操作风险；</w:t>
      </w:r>
    </w:p>
    <w:p w14:paraId="208C007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1.10人体工程学设计指膜印操作手柄，握持舒适稳定，利于长时间使用。</w:t>
      </w:r>
    </w:p>
    <w:p w14:paraId="6DA4E04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1.11 LED光源显色指数Ra≥80;照明光源相关色温≥3000K</w:t>
      </w:r>
    </w:p>
    <w:p w14:paraId="3CFCBF4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2、电子内窥镜图像处理器</w:t>
      </w:r>
    </w:p>
    <w:p w14:paraId="1A6B4C2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2.1显示功能：高清显示器分辨率≥1280*800，自带≥10.1"电容触摸屏，支持双指缩放，屏幕可以放大≥3倍；安卓智能系统终身提供免费升级服务；</w:t>
      </w:r>
    </w:p>
    <w:p w14:paraId="77D0F48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2.2内窥镜摄像系统内置≥8G内存，可持续录制视频≥120分钟，外置可插拔SD存储卡直接存储图片及视频等信息；</w:t>
      </w:r>
    </w:p>
    <w:p w14:paraId="5C6C077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2.3视频输出接口：具有高清画质的HDMI视频输出，可外接高清显示屏同屏显示和连接医用高清工作站；</w:t>
      </w:r>
    </w:p>
    <w:p w14:paraId="6E07C28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2.4具有冻结、调光、拍照和摄像功能，具备图像、视频回放功能；</w:t>
      </w:r>
    </w:p>
    <w:p w14:paraId="67A52BA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2.5光源照明亮度≥5级调节，优化图像质量；图像真实性：无明显几何失真；</w:t>
      </w:r>
    </w:p>
    <w:p w14:paraId="51CE05C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2.6具有文件管理功能，文件夹可重命名设置，以患者的姓名设置文件名称，方便医护人员对检查患者资料的管理；</w:t>
      </w:r>
    </w:p>
    <w:p w14:paraId="694A8AB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2.7图片管理，图片可根据医护人员的需求，选择JPG、BMP两种不同的图片格式；</w:t>
      </w:r>
    </w:p>
    <w:p w14:paraId="6974234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2.8供电方式：锂离子可充电电池≥6000mAH，电池工作时间≥240分钟</w:t>
      </w:r>
    </w:p>
    <w:p w14:paraId="280AD64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2.9提示功能：具有摄录时间长短提示功能、调光提示功能和电量智能检测指示标示（用于显示电量）；</w:t>
      </w:r>
    </w:p>
    <w:p w14:paraId="3D2994B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2.10白平衡功能：具有手动、自动一体设计白平衡功能；</w:t>
      </w:r>
    </w:p>
    <w:p w14:paraId="3A9B118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2.11采用卡扣式连接在使用时避免因接触不良导致无法使用的问题；</w:t>
      </w:r>
    </w:p>
    <w:p w14:paraId="1035A9E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2.12操作部防水等级≥IPX7，可进行全浸泡消毒，严格按照消毒指南进行操作，以确保消毒彻底；</w:t>
      </w:r>
    </w:p>
    <w:p w14:paraId="0192548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2.13操作部采用复合材料氟橡胶，支持低温等离子消毒和环氧乙烷灭菌。</w:t>
      </w:r>
    </w:p>
    <w:p w14:paraId="1A7423E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3、高清医学影像工作站功能特点及参数</w:t>
      </w:r>
    </w:p>
    <w:p w14:paraId="6D90149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3.1CPU≥i5-2400(3.1G四核) ，内存≥4G，硬盘≥2TB </w:t>
      </w:r>
    </w:p>
    <w:p w14:paraId="57DEEE1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3.2声卡：集成 ，网卡：集成 ，光驱：DVD刻录 ，键鼠：标准键盘，光电鼠标 </w:t>
      </w:r>
    </w:p>
    <w:p w14:paraId="61DD3AB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3.3显示器≥21.5寸LCD （1920×1080），采集卡≥1080P全高清视频采集卡 </w:t>
      </w:r>
    </w:p>
    <w:p w14:paraId="6AE8B91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3.4打印机： A4彩色喷墨打印机 </w:t>
      </w:r>
    </w:p>
    <w:p w14:paraId="523FF71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3.5配备COM脚踏开关、USB加密狗、HDMI视频线或HDMI转DVI视频线;YPbPr(RGB)线。</w:t>
      </w:r>
    </w:p>
    <w:p w14:paraId="249A476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3.6全高清数字化图像采集，图像清晰、色彩逼真，支持录像和回放；视频采集分辨率为≥1920×1080，采用先进的编码格式进行视频压缩；可采集超过≥100万幅高清静态图片或连续录像≥100小时以上；</w:t>
      </w:r>
    </w:p>
    <w:p w14:paraId="045169D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3.7视频输入端口：DVI或HDMI；</w:t>
      </w:r>
    </w:p>
    <w:p w14:paraId="06B0352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3.8图像采集方便快捷，可使用脚踏开关、键盘、鼠标采集图像；</w:t>
      </w:r>
    </w:p>
    <w:p w14:paraId="6D64B56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3.9可对采集静态图片或动态录像加时间戳功能，便于记录图片和录像采集时间；视频回放时也可进行图片采集；可自定义设置图像采集范围，并可设置圆形裁剪范围；</w:t>
      </w:r>
    </w:p>
    <w:p w14:paraId="4E2968F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3.10可对图像进行图形标注、文字标注、部位标注、病理描述、示意图标注、测量等功能处理，放大镜功能可局部放大图像，便于观察诊断；图像四画面观察模式，可方便医生观察和比较；</w:t>
      </w:r>
    </w:p>
    <w:p w14:paraId="4BB03FF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3.11报告可设置自定义Logo，报告标题，报告页脚等信息；用户权限设置，可为不同的用户设置不同操作权限；</w:t>
      </w:r>
    </w:p>
    <w:p w14:paraId="1EBEC0D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3.12数据备份功能，可将病例打包刻录成光盘；</w:t>
      </w:r>
    </w:p>
    <w:p w14:paraId="7BE061F4">
      <w:pPr>
        <w:spacing w:line="360" w:lineRule="auto"/>
        <w:ind w:firstLine="480"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3.14接入医院HIS系统，涉及接口费用，由中标人承担。</w:t>
      </w:r>
    </w:p>
    <w:p w14:paraId="25BB155E">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配置清单：</w:t>
      </w:r>
    </w:p>
    <w:p w14:paraId="2EBCECA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1支气管镜 一条。</w:t>
      </w:r>
    </w:p>
    <w:p w14:paraId="2C061BD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2内窥镜图像处理器 一套。</w:t>
      </w:r>
    </w:p>
    <w:p w14:paraId="7710780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3医学影像图文工作站 一套。</w:t>
      </w:r>
    </w:p>
    <w:p w14:paraId="4D62685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4医用监视器 一台。</w:t>
      </w:r>
    </w:p>
    <w:p w14:paraId="6A7E8B0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5专用电脑 一套。</w:t>
      </w:r>
    </w:p>
    <w:p w14:paraId="61C05B3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6专用打印机 一台。</w:t>
      </w:r>
    </w:p>
    <w:p w14:paraId="55625F2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7内窥镜专用台车 一台。</w:t>
      </w:r>
    </w:p>
    <w:p w14:paraId="7A52E70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8视频连接线 二根</w:t>
      </w:r>
    </w:p>
    <w:p w14:paraId="29865B7A">
      <w:pPr>
        <w:jc w:val="center"/>
        <w:rPr>
          <w:rFonts w:hint="eastAsia"/>
          <w:lang w:val="en-US" w:eastAsia="zh-CN"/>
        </w:rPr>
      </w:pPr>
    </w:p>
    <w:p w14:paraId="14221D8E">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7358FD6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w:t>
      </w:r>
    </w:p>
    <w:p w14:paraId="06F1A36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79D8B50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27F0CB0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年后支付10%余款给乙方。</w:t>
      </w:r>
    </w:p>
    <w:p w14:paraId="02D6206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5、质保与售后：整机保修4年，镜子质量问题一年包换，终身维修。验收时出具原厂售后质保承诺书，质保期内每年巡检一次，并提交巡检记录。质保期内出现故障，1小时响应，响应后24小时上门服务。</w:t>
      </w:r>
    </w:p>
    <w:p w14:paraId="3F194F1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14:paraId="2ACC03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7、设备如涉及网络接口费用，由中标人承担，采购人不再</w:t>
      </w:r>
      <w:r>
        <w:rPr>
          <w:rFonts w:hint="eastAsia" w:ascii="宋体" w:hAnsi="宋体" w:cs="宋体"/>
          <w:color w:val="auto"/>
          <w:kern w:val="2"/>
          <w:sz w:val="24"/>
          <w:szCs w:val="24"/>
          <w:lang w:val="en-US" w:eastAsia="zh-CN" w:bidi="ar-SA"/>
        </w:rPr>
        <w:t>支付</w:t>
      </w:r>
      <w:r>
        <w:rPr>
          <w:rFonts w:hint="eastAsia" w:ascii="宋体" w:hAnsi="宋体" w:eastAsia="宋体" w:cs="宋体"/>
          <w:color w:val="auto"/>
          <w:kern w:val="2"/>
          <w:sz w:val="24"/>
          <w:szCs w:val="24"/>
          <w:lang w:val="en-US" w:eastAsia="zh-CN" w:bidi="ar-SA"/>
        </w:rPr>
        <w:t xml:space="preserve">任何费用。 </w:t>
      </w:r>
    </w:p>
    <w:p w14:paraId="46A704C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79DE4D6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151717F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4472E3C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34E2B89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303D71B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73FDF01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0D1FA90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46CDB6C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43DFFF5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00C2F62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0F960C3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1CA950B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4344B89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5C0ECB4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75401A5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6AB2D65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7F2DD3D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电子支气管镜</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电子支气管镜</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01736C2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23850FD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9"/>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14:paraId="0DDD8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14:paraId="60E8317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noWrap w:val="0"/>
            <w:vAlign w:val="top"/>
          </w:tcPr>
          <w:p w14:paraId="50A0003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noWrap w:val="0"/>
            <w:vAlign w:val="top"/>
          </w:tcPr>
          <w:p w14:paraId="7304644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noWrap w:val="0"/>
            <w:vAlign w:val="top"/>
          </w:tcPr>
          <w:p w14:paraId="34F4E02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noWrap w:val="0"/>
            <w:vAlign w:val="top"/>
          </w:tcPr>
          <w:p w14:paraId="71CAEF5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noWrap w:val="0"/>
            <w:vAlign w:val="top"/>
          </w:tcPr>
          <w:p w14:paraId="3E6EE9B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2CE1C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14:paraId="70490FEA">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电子支气管镜</w:t>
            </w:r>
          </w:p>
        </w:tc>
        <w:tc>
          <w:tcPr>
            <w:tcW w:w="1220" w:type="dxa"/>
            <w:noWrap w:val="0"/>
            <w:vAlign w:val="center"/>
          </w:tcPr>
          <w:p w14:paraId="4E03127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noWrap w:val="0"/>
            <w:vAlign w:val="top"/>
          </w:tcPr>
          <w:p w14:paraId="4680FBE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14:paraId="6FED8D4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noWrap w:val="0"/>
            <w:vAlign w:val="top"/>
          </w:tcPr>
          <w:p w14:paraId="70A4510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54" w:type="dxa"/>
            <w:noWrap w:val="0"/>
            <w:vAlign w:val="top"/>
          </w:tcPr>
          <w:p w14:paraId="2B02663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61265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14:paraId="59F2CB56">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73A7045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1FDF4D3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1.3 </w:t>
      </w:r>
      <w:r>
        <w:rPr>
          <w:rFonts w:hint="eastAsia" w:ascii="宋体" w:hAnsi="宋体" w:cs="宋体"/>
          <w:color w:val="000000" w:themeColor="text1"/>
          <w:sz w:val="24"/>
          <w:szCs w:val="24"/>
          <w:highlight w:val="none"/>
          <w14:textFill>
            <w14:solidFill>
              <w14:schemeClr w14:val="tx1"/>
            </w14:solidFill>
          </w14:textFill>
        </w:rPr>
        <w:t>本合同设备需要与甲方使用的信息系统对接，因对接产生的接口开发等乙方及第三方需要收取的全部费用均由乙方承担。</w:t>
      </w:r>
    </w:p>
    <w:p w14:paraId="4279ECA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20BEC32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3183F64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0B010D2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2A42D3E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480E5D3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p>
    <w:p w14:paraId="77FC7B5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655B7C2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297F309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60F94DC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3B7DCD1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59DB86B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17DAA83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26965CF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59346E7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0E450F3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4D93D32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350D16A9">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cs="宋体"/>
          <w:color w:val="000000" w:themeColor="text1"/>
          <w:sz w:val="24"/>
          <w:szCs w:val="24"/>
          <w:highlight w:val="none"/>
          <w:u w:val="singl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年，</w:t>
      </w:r>
      <w:r>
        <w:rPr>
          <w:rFonts w:hint="eastAsia" w:ascii="宋体" w:hAnsi="宋体" w:cs="宋体"/>
          <w:color w:val="auto"/>
          <w:sz w:val="24"/>
          <w:szCs w:val="24"/>
          <w:lang w:eastAsia="zh-CN"/>
        </w:rPr>
        <w:t>镜子质量问题一年包换</w:t>
      </w:r>
      <w:bookmarkStart w:id="4" w:name="_GoBack"/>
      <w:bookmarkEnd w:id="4"/>
      <w:r>
        <w:rPr>
          <w:rFonts w:hint="eastAsia" w:ascii="宋体" w:hAnsi="宋体" w:eastAsia="宋体" w:cs="宋体"/>
          <w:color w:val="auto"/>
          <w:sz w:val="24"/>
          <w:szCs w:val="24"/>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自甲方在总体验收报告单上签字确认合格之日起开始计算。</w:t>
      </w:r>
    </w:p>
    <w:p w14:paraId="0DB2C105">
      <w:pPr>
        <w:keepNext w:val="0"/>
        <w:keepLines w:val="0"/>
        <w:pageBreakBefore w:val="0"/>
        <w:widowControl/>
        <w:numPr>
          <w:ilvl w:val="0"/>
          <w:numId w:val="0"/>
        </w:numPr>
        <w:kinsoku/>
        <w:wordWrap/>
        <w:overflowPunct/>
        <w:topLinePunct w:val="0"/>
        <w:autoSpaceDE/>
        <w:autoSpaceDN/>
        <w:bidi w:val="0"/>
        <w:adjustRightInd w:val="0"/>
        <w:snapToGrid w:val="0"/>
        <w:spacing w:after="0" w:line="400" w:lineRule="exact"/>
        <w:ind w:leftChars="0"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auto"/>
          <w:sz w:val="24"/>
          <w:szCs w:val="24"/>
        </w:rPr>
        <w:t>提供</w:t>
      </w:r>
      <w:r>
        <w:rPr>
          <w:rFonts w:hint="eastAsia" w:ascii="宋体" w:hAnsi="宋体" w:eastAsia="宋体" w:cs="宋体"/>
          <w:color w:val="auto"/>
          <w:sz w:val="24"/>
          <w:szCs w:val="24"/>
          <w:lang w:val="zh-CN" w:eastAsia="zh-CN"/>
        </w:rPr>
        <w:t>湖南</w:t>
      </w:r>
      <w:r>
        <w:rPr>
          <w:rFonts w:hint="eastAsia" w:ascii="宋体" w:hAnsi="宋体" w:eastAsia="宋体" w:cs="宋体"/>
          <w:color w:val="auto"/>
          <w:sz w:val="24"/>
          <w:szCs w:val="24"/>
          <w:lang w:val="en-US" w:eastAsia="zh-CN"/>
        </w:rPr>
        <w:t>省内</w:t>
      </w:r>
      <w:r>
        <w:rPr>
          <w:rFonts w:hint="eastAsia" w:ascii="宋体" w:hAnsi="宋体" w:eastAsia="宋体" w:cs="宋体"/>
          <w:color w:val="auto"/>
          <w:sz w:val="24"/>
          <w:szCs w:val="24"/>
          <w:lang w:val="zh-CN" w:eastAsia="zh-CN"/>
        </w:rPr>
        <w:t>所有售后维保人员电话清单</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auto"/>
          <w:sz w:val="24"/>
          <w:szCs w:val="24"/>
          <w:lang w:val="en-US" w:eastAsia="zh-CN"/>
        </w:rPr>
        <w:t>1小时内响应（电话或视频指导处理故障，并且经销商至现场），若视频或电话未解决，在响应后24小时内免费上门服务，如上门服务未能处理或超24小时未上门需提供备用机，直到维修完成恢复使用</w:t>
      </w:r>
      <w:r>
        <w:rPr>
          <w:rFonts w:hint="eastAsia" w:ascii="宋体" w:hAnsi="宋体" w:eastAsia="宋体" w:cs="宋体"/>
          <w:color w:val="000000" w:themeColor="text1"/>
          <w:sz w:val="24"/>
          <w:szCs w:val="24"/>
          <w:highlight w:val="none"/>
          <w:lang w:val="en-US" w:eastAsia="zh-CN"/>
          <w14:textFill>
            <w14:solidFill>
              <w14:schemeClr w14:val="tx1"/>
            </w14:solidFill>
          </w14:textFill>
        </w:rPr>
        <w:t>。如乙方不及时提供服务，甲方有权委托第三方提供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2E81DF0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w:t>
      </w:r>
      <w:r>
        <w:rPr>
          <w:rFonts w:hint="eastAsia" w:ascii="宋体" w:hAnsi="宋体" w:cs="宋体"/>
          <w:color w:val="000000" w:themeColor="text1"/>
          <w:sz w:val="24"/>
          <w:szCs w:val="24"/>
          <w:highlight w:val="none"/>
          <w:lang w:val="en-US" w:eastAsia="zh-CN"/>
          <w14:textFill>
            <w14:solidFill>
              <w14:schemeClr w14:val="tx1"/>
            </w14:solidFill>
          </w14:textFill>
        </w:rPr>
        <w:t>一</w:t>
      </w:r>
      <w:r>
        <w:rPr>
          <w:rFonts w:hint="eastAsia" w:ascii="宋体" w:hAnsi="宋体" w:eastAsia="宋体" w:cs="宋体"/>
          <w:color w:val="000000" w:themeColor="text1"/>
          <w:sz w:val="24"/>
          <w:szCs w:val="24"/>
          <w:highlight w:val="none"/>
          <w:lang w:val="en-US" w:eastAsia="zh-CN"/>
          <w14:textFill>
            <w14:solidFill>
              <w14:schemeClr w14:val="tx1"/>
            </w14:solidFill>
          </w14:textFill>
        </w:rPr>
        <w:t>次巡检并向甲方提交巡检记录。</w:t>
      </w:r>
    </w:p>
    <w:p w14:paraId="20AB1A4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0385CB3E">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1792073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47D928C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0F89241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28B8889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210A7D6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38D9014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195A747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685E207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09DE7D8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2C28E3B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04D602C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5C99A232">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6EE31CA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5AB911E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78C02F72">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6B54A08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17978EB2">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2BDC979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3256936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4984BF6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1A38D1A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7E1DEB3A">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319930D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5C685FFE">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4CC2065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5DAC0BC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7313AA0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5C9862F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6974721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5CE8EEE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65FA7F3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02689BB8">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359B774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5C067D8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392708F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6AA6D50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无论甲方在任意时候（不限于本合同履行期间）发现存在违反本合同廉洁条款及供应商考核管理制度约定的行为，乙方均须向甲方一次性支付惩罚性违约金   .00元，如本金额与根据甲方供应商考核管理制度计算的违约金金额不一致，违约金金额以价高的为准。如乙方除需承担违反廉洁条款及供应商考核管理制度的违约责任外，同时存在其他违约行为，乙方仍须就其他违约行为承担相应违约责任。</w:t>
      </w:r>
    </w:p>
    <w:p w14:paraId="764768D9">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0873105D">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122EE839">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7F97797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43B585FC">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516C28E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 xml:space="preserve"> 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0283259A">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 xml:space="preserve"> 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49999A14">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76C5473F">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法定代表人（签字）：    </w:t>
      </w:r>
    </w:p>
    <w:p w14:paraId="5B2650A9">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6FFC6A27">
      <w:pPr>
        <w:keepNext w:val="0"/>
        <w:keepLines w:val="0"/>
        <w:pageBreakBefore w:val="0"/>
        <w:kinsoku/>
        <w:wordWrap/>
        <w:overflowPunct/>
        <w:topLinePunct w:val="0"/>
        <w:autoSpaceDE/>
        <w:autoSpaceDN/>
        <w:bidi w:val="0"/>
        <w:adjustRightInd/>
        <w:snapToGrid/>
        <w:spacing w:line="440" w:lineRule="exact"/>
        <w:textAlignment w:val="auto"/>
        <w:rPr>
          <w:rFonts w:hint="default" w:ascii="宋体" w:hAnsi="宋体" w:eastAsia="宋体" w:cs="宋体"/>
          <w:color w:val="auto"/>
          <w:sz w:val="24"/>
          <w:szCs w:val="24"/>
          <w:lang w:val="en-US" w:eastAsia="zh-CN"/>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13CB7BA2">
      <w:pP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br w:type="page"/>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EE9D265">
      <w:pPr>
        <w:pStyle w:val="15"/>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4"/>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5CF76600">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86424819"/>
      <w:bookmarkStart w:id="3" w:name="_Toc476514128"/>
    </w:p>
    <w:p w14:paraId="43CAB480">
      <w:pPr>
        <w:pStyle w:val="14"/>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color w:val="auto"/>
              </w:rPr>
              <w:t>招标文件要求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5"/>
        <w:rPr>
          <w:color w:val="auto"/>
        </w:rPr>
      </w:pPr>
    </w:p>
    <w:p w14:paraId="43E00E01">
      <w:pPr>
        <w:pStyle w:val="14"/>
        <w:rPr>
          <w:rFonts w:hint="eastAsia"/>
          <w:lang w:eastAsia="zh-CN"/>
        </w:rPr>
      </w:pPr>
    </w:p>
    <w:p w14:paraId="53FA0AA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5"/>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5"/>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5"/>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5"/>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5"/>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6"/>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3E43FAE"/>
    <w:rsid w:val="04653F41"/>
    <w:rsid w:val="04B72FC8"/>
    <w:rsid w:val="06934BAA"/>
    <w:rsid w:val="06E91EC4"/>
    <w:rsid w:val="086F75C9"/>
    <w:rsid w:val="0A3F4F3C"/>
    <w:rsid w:val="0E331420"/>
    <w:rsid w:val="0EDD1643"/>
    <w:rsid w:val="0FB9029C"/>
    <w:rsid w:val="10897B23"/>
    <w:rsid w:val="10914EF9"/>
    <w:rsid w:val="10B8663C"/>
    <w:rsid w:val="12080B62"/>
    <w:rsid w:val="12994AC5"/>
    <w:rsid w:val="129F447F"/>
    <w:rsid w:val="12C86253"/>
    <w:rsid w:val="15060AC8"/>
    <w:rsid w:val="15675A4C"/>
    <w:rsid w:val="17F91BB8"/>
    <w:rsid w:val="1AF56B46"/>
    <w:rsid w:val="1DD7486D"/>
    <w:rsid w:val="1E79119D"/>
    <w:rsid w:val="1F334F58"/>
    <w:rsid w:val="1F796B24"/>
    <w:rsid w:val="1FE73549"/>
    <w:rsid w:val="2038045E"/>
    <w:rsid w:val="20AF0900"/>
    <w:rsid w:val="20B41DA7"/>
    <w:rsid w:val="272B6E6C"/>
    <w:rsid w:val="27CF2BB7"/>
    <w:rsid w:val="28E81B29"/>
    <w:rsid w:val="28FD390A"/>
    <w:rsid w:val="29B45A41"/>
    <w:rsid w:val="2A174DA9"/>
    <w:rsid w:val="2AB010A8"/>
    <w:rsid w:val="2C0A2E19"/>
    <w:rsid w:val="2C7642D0"/>
    <w:rsid w:val="2DD77C64"/>
    <w:rsid w:val="2DDA1E78"/>
    <w:rsid w:val="2DE00B8C"/>
    <w:rsid w:val="2EAC037F"/>
    <w:rsid w:val="2EB67A5C"/>
    <w:rsid w:val="302741D2"/>
    <w:rsid w:val="308B184D"/>
    <w:rsid w:val="309C1E01"/>
    <w:rsid w:val="31F17CD1"/>
    <w:rsid w:val="33384C93"/>
    <w:rsid w:val="340F06E9"/>
    <w:rsid w:val="36E47928"/>
    <w:rsid w:val="372F7378"/>
    <w:rsid w:val="397348CD"/>
    <w:rsid w:val="3A994AB7"/>
    <w:rsid w:val="3B3B544D"/>
    <w:rsid w:val="3B654F2B"/>
    <w:rsid w:val="3BB72BAE"/>
    <w:rsid w:val="3BFC7D2B"/>
    <w:rsid w:val="3C8A61A4"/>
    <w:rsid w:val="3D5E17FF"/>
    <w:rsid w:val="3E1F0DA4"/>
    <w:rsid w:val="3E584E51"/>
    <w:rsid w:val="3EBE1ADE"/>
    <w:rsid w:val="403B4B34"/>
    <w:rsid w:val="414D7889"/>
    <w:rsid w:val="41BB0BAE"/>
    <w:rsid w:val="429A4992"/>
    <w:rsid w:val="435B161D"/>
    <w:rsid w:val="43B25DAC"/>
    <w:rsid w:val="44771DFD"/>
    <w:rsid w:val="45D569C3"/>
    <w:rsid w:val="4AEE1A11"/>
    <w:rsid w:val="4B7F39F4"/>
    <w:rsid w:val="4BAE646F"/>
    <w:rsid w:val="4CAC1559"/>
    <w:rsid w:val="4D754257"/>
    <w:rsid w:val="4DCD6AB3"/>
    <w:rsid w:val="50216DCD"/>
    <w:rsid w:val="50540C20"/>
    <w:rsid w:val="51AC28BD"/>
    <w:rsid w:val="52183ACC"/>
    <w:rsid w:val="581A7C72"/>
    <w:rsid w:val="583A4BD7"/>
    <w:rsid w:val="59C74B1F"/>
    <w:rsid w:val="611B6B1B"/>
    <w:rsid w:val="62C222C2"/>
    <w:rsid w:val="632D7C40"/>
    <w:rsid w:val="64133D6A"/>
    <w:rsid w:val="678E4F5D"/>
    <w:rsid w:val="680E122C"/>
    <w:rsid w:val="6A4E1D63"/>
    <w:rsid w:val="6DE375E4"/>
    <w:rsid w:val="6E8E5287"/>
    <w:rsid w:val="6FBE332C"/>
    <w:rsid w:val="71554367"/>
    <w:rsid w:val="71584067"/>
    <w:rsid w:val="735201FF"/>
    <w:rsid w:val="737B50A4"/>
    <w:rsid w:val="73F40E72"/>
    <w:rsid w:val="74566F5C"/>
    <w:rsid w:val="750117A8"/>
    <w:rsid w:val="755B2270"/>
    <w:rsid w:val="76920D75"/>
    <w:rsid w:val="77423DFF"/>
    <w:rsid w:val="783B5EA9"/>
    <w:rsid w:val="79EB699D"/>
    <w:rsid w:val="7B0620DE"/>
    <w:rsid w:val="7BBF44BB"/>
    <w:rsid w:val="7BF15CE4"/>
    <w:rsid w:val="7C3A27E5"/>
    <w:rsid w:val="7D9727DD"/>
    <w:rsid w:val="7EFB4F6E"/>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99"/>
    <w:pPr>
      <w:spacing w:line="400" w:lineRule="exact"/>
      <w:ind w:left="630"/>
    </w:pPr>
    <w:rPr>
      <w:rFonts w:ascii="楷体_GB2312"/>
      <w:sz w:val="30"/>
      <w:szCs w:val="30"/>
    </w:rPr>
  </w:style>
  <w:style w:type="paragraph" w:styleId="5">
    <w:name w:val="footer"/>
    <w:basedOn w:val="1"/>
    <w:autoRedefine/>
    <w:qFormat/>
    <w:uiPriority w:val="0"/>
    <w:pPr>
      <w:tabs>
        <w:tab w:val="center" w:pos="4153"/>
        <w:tab w:val="right" w:pos="8306"/>
      </w:tabs>
      <w:snapToGrid w:val="0"/>
      <w:jc w:val="left"/>
    </w:pPr>
    <w:rPr>
      <w:kern w:val="0"/>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rPr>
      <w:sz w:val="24"/>
    </w:rPr>
  </w:style>
  <w:style w:type="paragraph" w:styleId="8">
    <w:name w:val="Body Text First Indent 2"/>
    <w:basedOn w:val="4"/>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customStyle="1" w:styleId="11">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8"/>
    <w:autoRedefine/>
    <w:qFormat/>
    <w:uiPriority w:val="0"/>
    <w:pPr>
      <w:jc w:val="center"/>
    </w:pPr>
    <w:rPr>
      <w:rFonts w:ascii="Arial" w:hAnsi="Arial" w:eastAsia="宋体"/>
      <w:b/>
      <w:sz w:val="28"/>
      <w:szCs w:val="24"/>
    </w:rPr>
  </w:style>
  <w:style w:type="paragraph" w:customStyle="1" w:styleId="14">
    <w:name w:val="列出段落1"/>
    <w:basedOn w:val="1"/>
    <w:autoRedefine/>
    <w:qFormat/>
    <w:uiPriority w:val="99"/>
    <w:pPr>
      <w:ind w:firstLine="420" w:firstLineChars="200"/>
    </w:pPr>
  </w:style>
  <w:style w:type="paragraph" w:customStyle="1" w:styleId="1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8933</Words>
  <Characters>9489</Characters>
  <Lines>0</Lines>
  <Paragraphs>0</Paragraphs>
  <TotalTime>0</TotalTime>
  <ScaleCrop>false</ScaleCrop>
  <LinksUpToDate>false</LinksUpToDate>
  <CharactersWithSpaces>10435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2024-10-25T03:12:25Z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3505A2AB25E048A4A9B0E6A6741CA1BA_11</vt:lpwstr>
  </property>
</Properties>
</file>