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FF9F5">
      <w:pPr>
        <w:pStyle w:val="13"/>
        <w:snapToGrid w:val="0"/>
        <w:jc w:val="center"/>
        <w:rPr>
          <w:rFonts w:hint="eastAsia" w:ascii="Arial" w:hAnsi="Arial" w:eastAsia="方正小标宋简体" w:cs="Arial"/>
          <w:color w:val="auto"/>
          <w:sz w:val="72"/>
          <w:szCs w:val="72"/>
          <w:lang w:eastAsia="zh-CN"/>
        </w:rPr>
      </w:pPr>
      <w:bookmarkStart w:id="0" w:name="_Toc16523570"/>
    </w:p>
    <w:p w14:paraId="38648228">
      <w:pPr>
        <w:pStyle w:val="13"/>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14:paraId="573B70A2">
      <w:pPr>
        <w:pStyle w:val="13"/>
        <w:snapToGrid w:val="0"/>
        <w:jc w:val="center"/>
        <w:rPr>
          <w:rFonts w:ascii="Arial" w:hAnsi="Arial" w:eastAsia="方正小标宋简体" w:cs="Arial"/>
          <w:sz w:val="72"/>
          <w:szCs w:val="72"/>
        </w:rPr>
      </w:pPr>
    </w:p>
    <w:p w14:paraId="48AC3AC9">
      <w:pPr>
        <w:pStyle w:val="13"/>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14:paraId="2F41BA1F">
      <w:pPr>
        <w:pStyle w:val="13"/>
        <w:snapToGrid w:val="0"/>
        <w:jc w:val="center"/>
        <w:rPr>
          <w:rFonts w:ascii="Arial" w:hAnsi="Arial" w:eastAsia="方正小标宋简体" w:cs="Arial"/>
          <w:sz w:val="72"/>
          <w:szCs w:val="72"/>
        </w:rPr>
      </w:pPr>
    </w:p>
    <w:p w14:paraId="5AFE286C">
      <w:pPr>
        <w:pStyle w:val="13"/>
        <w:snapToGrid w:val="0"/>
        <w:jc w:val="center"/>
        <w:rPr>
          <w:rFonts w:ascii="Arial" w:hAnsi="Arial" w:eastAsia="方正小标宋简体" w:cs="Arial"/>
          <w:sz w:val="72"/>
          <w:szCs w:val="72"/>
        </w:rPr>
      </w:pPr>
      <w:r>
        <w:rPr>
          <w:rFonts w:ascii="Arial" w:hAnsi="Arial" w:eastAsia="方正小标宋简体" w:cs="Arial"/>
          <w:sz w:val="72"/>
          <w:szCs w:val="72"/>
        </w:rPr>
        <w:t>标</w:t>
      </w:r>
    </w:p>
    <w:p w14:paraId="65B9AA34">
      <w:pPr>
        <w:pStyle w:val="13"/>
        <w:snapToGrid w:val="0"/>
        <w:jc w:val="center"/>
        <w:rPr>
          <w:rFonts w:ascii="Arial" w:hAnsi="Arial" w:eastAsia="方正小标宋简体" w:cs="Arial"/>
          <w:sz w:val="72"/>
          <w:szCs w:val="72"/>
        </w:rPr>
      </w:pPr>
    </w:p>
    <w:p w14:paraId="705E1937">
      <w:pPr>
        <w:pStyle w:val="13"/>
        <w:snapToGrid w:val="0"/>
        <w:jc w:val="center"/>
        <w:rPr>
          <w:rFonts w:ascii="Arial" w:hAnsi="Arial" w:eastAsia="方正小标宋简体" w:cs="Arial"/>
          <w:sz w:val="72"/>
          <w:szCs w:val="72"/>
        </w:rPr>
      </w:pPr>
      <w:r>
        <w:rPr>
          <w:rFonts w:ascii="Arial" w:hAnsi="Arial" w:eastAsia="方正小标宋简体" w:cs="Arial"/>
          <w:sz w:val="72"/>
          <w:szCs w:val="72"/>
        </w:rPr>
        <w:t>文</w:t>
      </w:r>
    </w:p>
    <w:p w14:paraId="33ECBBA1">
      <w:pPr>
        <w:pStyle w:val="13"/>
        <w:snapToGrid w:val="0"/>
        <w:jc w:val="center"/>
        <w:rPr>
          <w:rFonts w:ascii="Arial" w:hAnsi="Arial" w:eastAsia="方正小标宋简体" w:cs="Arial"/>
          <w:sz w:val="72"/>
          <w:szCs w:val="72"/>
        </w:rPr>
      </w:pPr>
    </w:p>
    <w:p w14:paraId="7E5286DA">
      <w:pPr>
        <w:pStyle w:val="13"/>
        <w:snapToGrid w:val="0"/>
        <w:jc w:val="center"/>
        <w:rPr>
          <w:rFonts w:ascii="Arial" w:hAnsi="Arial" w:eastAsia="方正小标宋简体" w:cs="Arial"/>
          <w:sz w:val="36"/>
          <w:szCs w:val="36"/>
        </w:rPr>
      </w:pPr>
      <w:r>
        <w:rPr>
          <w:rFonts w:ascii="Arial" w:hAnsi="Arial" w:eastAsia="方正小标宋简体" w:cs="Arial"/>
          <w:sz w:val="72"/>
          <w:szCs w:val="72"/>
        </w:rPr>
        <w:t>件</w:t>
      </w:r>
    </w:p>
    <w:p w14:paraId="39A969AB">
      <w:pPr>
        <w:pStyle w:val="13"/>
        <w:snapToGrid w:val="0"/>
        <w:jc w:val="center"/>
        <w:rPr>
          <w:rFonts w:ascii="Arial" w:hAnsi="Arial" w:cs="Arial"/>
          <w:sz w:val="32"/>
          <w:szCs w:val="32"/>
        </w:rPr>
      </w:pPr>
    </w:p>
    <w:p w14:paraId="62F2469F">
      <w:pPr>
        <w:pStyle w:val="13"/>
        <w:snapToGrid w:val="0"/>
        <w:jc w:val="center"/>
        <w:rPr>
          <w:rFonts w:ascii="Arial" w:hAnsi="Arial" w:cs="Arial"/>
          <w:sz w:val="32"/>
          <w:szCs w:val="32"/>
        </w:rPr>
      </w:pPr>
    </w:p>
    <w:p w14:paraId="4BC89937">
      <w:pPr>
        <w:pStyle w:val="13"/>
        <w:snapToGrid w:val="0"/>
        <w:jc w:val="center"/>
        <w:rPr>
          <w:rFonts w:ascii="Arial" w:hAnsi="Arial" w:cs="Arial"/>
          <w:sz w:val="32"/>
          <w:szCs w:val="32"/>
        </w:rPr>
      </w:pPr>
    </w:p>
    <w:p w14:paraId="3869A1F9">
      <w:pPr>
        <w:spacing w:line="360" w:lineRule="auto"/>
        <w:rPr>
          <w:rFonts w:hint="eastAsia"/>
          <w:bCs/>
          <w:sz w:val="32"/>
          <w:szCs w:val="32"/>
        </w:rPr>
      </w:pPr>
    </w:p>
    <w:p w14:paraId="70E430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14:paraId="7CC6C844">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（监护仪医院公开挂网</w:t>
      </w:r>
      <w:r>
        <w:rPr>
          <w:rFonts w:hint="eastAsia" w:ascii="Times New Roman" w:hAnsi="Times New Roman" w:eastAsia="宋体" w:cs="Times New Roman"/>
          <w:b/>
          <w:bCs/>
          <w:kern w:val="44"/>
          <w:sz w:val="32"/>
          <w:szCs w:val="32"/>
          <w:lang w:val="en-US" w:eastAsia="zh-CN" w:bidi="ar-SA"/>
        </w:rPr>
        <w:t>）</w:t>
      </w:r>
    </w:p>
    <w:p w14:paraId="4A443BAD">
      <w:pPr>
        <w:spacing w:line="320" w:lineRule="exact"/>
        <w:jc w:val="left"/>
        <w:rPr>
          <w:sz w:val="24"/>
        </w:rPr>
      </w:pPr>
    </w:p>
    <w:p w14:paraId="459DFE34">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四</w:t>
      </w:r>
      <w:r>
        <w:rPr>
          <w:rFonts w:hint="eastAsia" w:ascii="宋体" w:hAnsi="宋体" w:cs="宋体"/>
          <w:bCs/>
          <w:sz w:val="32"/>
          <w:szCs w:val="32"/>
        </w:rPr>
        <w:t>年</w:t>
      </w:r>
      <w:r>
        <w:rPr>
          <w:rFonts w:hint="eastAsia" w:ascii="宋体" w:hAnsi="宋体" w:cs="宋体"/>
          <w:bCs/>
          <w:sz w:val="32"/>
          <w:szCs w:val="32"/>
          <w:lang w:eastAsia="zh-CN"/>
        </w:rPr>
        <w:t>十</w:t>
      </w:r>
      <w:r>
        <w:rPr>
          <w:rFonts w:hint="eastAsia" w:ascii="宋体" w:hAnsi="宋体" w:cs="宋体"/>
          <w:bCs/>
          <w:sz w:val="32"/>
          <w:szCs w:val="32"/>
        </w:rPr>
        <w:t>月</w:t>
      </w:r>
    </w:p>
    <w:p w14:paraId="3DF298CF">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78BCE36">
      <w:pPr>
        <w:pStyle w:val="13"/>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监护仪</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7DFD7C9D">
      <w:pPr>
        <w:pStyle w:val="13"/>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0FCC5D9E">
      <w:pPr>
        <w:pStyle w:val="13"/>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监护仪</w:t>
      </w:r>
      <w:r>
        <w:rPr>
          <w:rFonts w:hint="eastAsia" w:asciiTheme="minorEastAsia" w:hAnsiTheme="minorEastAsia" w:eastAsiaTheme="minorEastAsia" w:cstheme="minorEastAsia"/>
          <w:b w:val="0"/>
          <w:bCs/>
          <w:color w:val="auto"/>
          <w:sz w:val="24"/>
          <w:szCs w:val="24"/>
          <w:lang w:val="en-US" w:eastAsia="zh-CN"/>
        </w:rPr>
        <w:t>项目</w:t>
      </w:r>
    </w:p>
    <w:p w14:paraId="3276E07E">
      <w:pPr>
        <w:pStyle w:val="13"/>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49BC8245">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14:paraId="402B7625">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3DBB2980">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570B3804">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093EB20C">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09909680">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4F8B8C5A">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34CCEB7B">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6C8CC2F9">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69BEBEE6">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43A6D269">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7A57AA98">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14:paraId="47957F6C">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14:paraId="5E9D5EE3">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5D403F60">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14:paraId="414FFAFB">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09F85A01">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01894323">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2A027E2E">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14:paraId="59CBD39C">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468F37FE">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5F33EC6D">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67A01F63">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14:paraId="0E3F68E5">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14:paraId="3AAF1B83">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2B96893A">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2118BD0D">
      <w:pPr>
        <w:pStyle w:val="14"/>
        <w:rPr>
          <w:rFonts w:hint="eastAsia"/>
          <w:lang w:val="en-US" w:eastAsia="zh-CN"/>
        </w:rPr>
      </w:pPr>
    </w:p>
    <w:p w14:paraId="5F32D497">
      <w:pPr>
        <w:pStyle w:val="14"/>
        <w:jc w:val="both"/>
        <w:rPr>
          <w:rFonts w:hint="default"/>
          <w:lang w:val="en-US" w:eastAsia="zh-CN"/>
        </w:rPr>
      </w:pPr>
    </w:p>
    <w:p w14:paraId="635E3C4F">
      <w:pPr>
        <w:pStyle w:val="13"/>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33CDC084">
      <w:pPr>
        <w:pStyle w:val="13"/>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31C0F474">
      <w:pPr>
        <w:pStyle w:val="14"/>
        <w:rPr>
          <w:rFonts w:hint="eastAsia" w:ascii="宋体" w:hAnsi="宋体" w:cs="宋体"/>
          <w:b/>
          <w:bCs/>
          <w:color w:val="auto"/>
          <w:sz w:val="44"/>
          <w:szCs w:val="44"/>
          <w:lang w:val="en-US" w:eastAsia="zh-CN"/>
        </w:rPr>
      </w:pPr>
    </w:p>
    <w:p w14:paraId="07F2E394">
      <w:pPr>
        <w:pStyle w:val="9"/>
        <w:rPr>
          <w:rFonts w:hint="eastAsia" w:ascii="宋体" w:hAnsi="宋体" w:cs="宋体"/>
          <w:b/>
          <w:bCs/>
          <w:color w:val="auto"/>
          <w:sz w:val="44"/>
          <w:szCs w:val="44"/>
          <w:lang w:val="en-US" w:eastAsia="zh-CN"/>
        </w:rPr>
      </w:pPr>
    </w:p>
    <w:p w14:paraId="434F5413">
      <w:pPr>
        <w:rPr>
          <w:rFonts w:hint="eastAsia" w:ascii="宋体" w:hAnsi="宋体" w:cs="宋体"/>
          <w:b/>
          <w:bCs/>
          <w:color w:val="auto"/>
          <w:sz w:val="44"/>
          <w:szCs w:val="44"/>
          <w:lang w:val="en-US" w:eastAsia="zh-CN"/>
        </w:rPr>
      </w:pPr>
    </w:p>
    <w:p w14:paraId="68FA8AD2">
      <w:pPr>
        <w:pStyle w:val="12"/>
        <w:rPr>
          <w:rFonts w:hint="eastAsia"/>
          <w:lang w:val="en-US" w:eastAsia="zh-CN"/>
        </w:rPr>
      </w:pPr>
    </w:p>
    <w:p w14:paraId="34ED3F8C">
      <w:pPr>
        <w:pStyle w:val="2"/>
        <w:rPr>
          <w:rFonts w:hint="eastAsia" w:ascii="宋体" w:hAnsi="宋体" w:cs="宋体"/>
          <w:b/>
          <w:bCs/>
          <w:color w:val="auto"/>
          <w:sz w:val="44"/>
          <w:szCs w:val="44"/>
          <w:lang w:val="en-US" w:eastAsia="zh-CN"/>
        </w:rPr>
      </w:pPr>
    </w:p>
    <w:p w14:paraId="54DFEABB">
      <w:pPr>
        <w:rPr>
          <w:rFonts w:hint="eastAsia" w:ascii="宋体" w:hAnsi="宋体" w:cs="宋体"/>
          <w:b/>
          <w:bCs/>
          <w:color w:val="auto"/>
          <w:sz w:val="44"/>
          <w:szCs w:val="44"/>
          <w:lang w:val="en-US" w:eastAsia="zh-CN"/>
        </w:rPr>
      </w:pPr>
    </w:p>
    <w:p w14:paraId="5E2865C9">
      <w:pPr>
        <w:rPr>
          <w:rFonts w:hint="eastAsia" w:ascii="宋体" w:hAnsi="宋体" w:cs="宋体"/>
          <w:b/>
          <w:bCs/>
          <w:color w:val="auto"/>
          <w:sz w:val="44"/>
          <w:szCs w:val="44"/>
          <w:lang w:val="en-US" w:eastAsia="zh-CN"/>
        </w:rPr>
      </w:pPr>
    </w:p>
    <w:p w14:paraId="14722D58">
      <w:pPr>
        <w:rPr>
          <w:rFonts w:hint="eastAsia"/>
          <w:lang w:val="en-US" w:eastAsia="zh-CN"/>
        </w:rPr>
      </w:pPr>
    </w:p>
    <w:p w14:paraId="2ED97A37">
      <w:pPr>
        <w:pStyle w:val="13"/>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47BE2FE1">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9B06BC7">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0"/>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14:paraId="4EA4F4D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F9C0B55">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1F42EB5">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FF4BAB8">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615B0447">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85CA7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14:paraId="52361B5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88937FB">
            <w:pPr>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5419E1A">
            <w:pPr>
              <w:jc w:val="center"/>
              <w:rPr>
                <w:rFonts w:hint="eastAsia" w:asciiTheme="minorEastAsia" w:hAnsiTheme="minorEastAsia" w:eastAsiaTheme="minorEastAsia" w:cstheme="minorEastAsia"/>
                <w:kern w:val="2"/>
                <w:sz w:val="24"/>
                <w:szCs w:val="24"/>
                <w:lang w:val="en-US" w:eastAsia="zh-CN" w:bidi="ar-SA"/>
              </w:rPr>
            </w:pPr>
            <w:r>
              <w:rPr>
                <w:rFonts w:hint="eastAsia"/>
                <w:lang w:val="en-US" w:eastAsia="zh-CN"/>
              </w:rPr>
              <w:t>监护仪</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189DD55">
            <w:pPr>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2台</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4CEB9E90">
            <w:pPr>
              <w:jc w:val="center"/>
              <w:rPr>
                <w:rFonts w:hint="default" w:asciiTheme="minorEastAsia" w:hAnsiTheme="minorEastAsia" w:eastAsiaTheme="minorEastAsia" w:cstheme="minorEastAsia"/>
                <w:kern w:val="2"/>
                <w:sz w:val="24"/>
                <w:szCs w:val="24"/>
                <w:lang w:val="en-US" w:eastAsia="zh-CN" w:bidi="ar-SA"/>
              </w:rPr>
            </w:pPr>
            <w:r>
              <w:rPr>
                <w:rFonts w:hint="eastAsia"/>
                <w:lang w:val="en-US" w:eastAsia="zh-CN"/>
              </w:rPr>
              <w:t>7.2</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790B5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bidi="ar-SA"/>
              </w:rPr>
              <w:t>否</w:t>
            </w:r>
          </w:p>
        </w:tc>
      </w:tr>
      <w:tr w14:paraId="3C2673D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71BA8C">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B39A20D">
            <w:pPr>
              <w:jc w:val="center"/>
              <w:rPr>
                <w:rFonts w:hint="eastAsia" w:asciiTheme="minorEastAsia" w:hAnsiTheme="minorEastAsia" w:eastAsiaTheme="minorEastAsia" w:cstheme="minorEastAsia"/>
                <w:kern w:val="2"/>
                <w:sz w:val="24"/>
                <w:szCs w:val="24"/>
                <w:lang w:val="en-US" w:eastAsia="zh-CN" w:bidi="ar-SA"/>
              </w:rPr>
            </w:pPr>
            <w:r>
              <w:rPr>
                <w:rFonts w:hint="eastAsia"/>
                <w:lang w:val="en-US" w:eastAsia="zh-CN"/>
              </w:rPr>
              <w:t>MPM-1模块（带双通道有创血压IBP）</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F814CEF">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2台</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61565B51">
            <w:pPr>
              <w:jc w:val="center"/>
              <w:rPr>
                <w:rFonts w:hint="eastAsia" w:asciiTheme="minorEastAsia" w:hAnsiTheme="minorEastAsia" w:eastAsiaTheme="minorEastAsia" w:cstheme="minorEastAsia"/>
                <w:kern w:val="2"/>
                <w:sz w:val="24"/>
                <w:szCs w:val="24"/>
                <w:lang w:val="en-US" w:eastAsia="zh-CN" w:bidi="ar-SA"/>
              </w:rPr>
            </w:pPr>
            <w:r>
              <w:rPr>
                <w:rFonts w:hint="eastAsia"/>
                <w:lang w:val="en-US" w:eastAsia="zh-CN"/>
              </w:rPr>
              <w:t>4</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3E88BB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否</w:t>
            </w:r>
          </w:p>
        </w:tc>
      </w:tr>
      <w:tr w14:paraId="1BC1578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4B1F9E5">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23CB865">
            <w:pPr>
              <w:jc w:val="center"/>
              <w:rPr>
                <w:rFonts w:hint="eastAsia" w:asciiTheme="minorEastAsia" w:hAnsiTheme="minorEastAsia" w:eastAsiaTheme="minorEastAsia" w:cstheme="minorEastAsia"/>
                <w:kern w:val="2"/>
                <w:sz w:val="24"/>
                <w:szCs w:val="24"/>
                <w:lang w:val="en-US" w:eastAsia="zh-CN" w:bidi="ar-SA"/>
              </w:rPr>
            </w:pPr>
            <w:r>
              <w:rPr>
                <w:rFonts w:hint="eastAsia"/>
                <w:lang w:val="en-US" w:eastAsia="zh-CN"/>
              </w:rPr>
              <w:t>旁流CO2模块</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9CA6729">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1CD9749">
            <w:pPr>
              <w:jc w:val="center"/>
              <w:rPr>
                <w:rFonts w:hint="eastAsia" w:asciiTheme="minorEastAsia" w:hAnsiTheme="minorEastAsia" w:eastAsiaTheme="minorEastAsia" w:cstheme="minorEastAsia"/>
                <w:kern w:val="2"/>
                <w:sz w:val="24"/>
                <w:szCs w:val="24"/>
                <w:lang w:val="en-US" w:eastAsia="zh-CN" w:bidi="ar-SA"/>
              </w:rPr>
            </w:pPr>
            <w:r>
              <w:rPr>
                <w:rFonts w:hint="eastAsia"/>
                <w:lang w:val="en-US" w:eastAsia="zh-CN"/>
              </w:rPr>
              <w:t>2.8</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8B634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否</w:t>
            </w:r>
          </w:p>
        </w:tc>
      </w:tr>
      <w:tr w14:paraId="262AA76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13D3392">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CA983F6">
            <w:pPr>
              <w:jc w:val="center"/>
              <w:rPr>
                <w:rFonts w:hint="eastAsia" w:asciiTheme="minorEastAsia" w:hAnsiTheme="minorEastAsia" w:eastAsiaTheme="minorEastAsia" w:cstheme="minorEastAsia"/>
                <w:kern w:val="2"/>
                <w:sz w:val="24"/>
                <w:szCs w:val="24"/>
                <w:lang w:val="en-US" w:eastAsia="zh-CN" w:bidi="ar-SA"/>
              </w:rPr>
            </w:pPr>
            <w:r>
              <w:rPr>
                <w:rFonts w:hint="eastAsia"/>
                <w:lang w:val="en-US" w:eastAsia="zh-CN"/>
              </w:rPr>
              <w:t>麻醉三角平衡软件</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F8EAB46">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2台</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6EA94D45">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免费赠送</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918F7C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否</w:t>
            </w:r>
          </w:p>
        </w:tc>
      </w:tr>
      <w:tr w14:paraId="3825AA7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FABAA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203441E">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lang w:val="en-US" w:eastAsia="zh-CN"/>
              </w:rPr>
              <w:t>合计</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B4E4F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57E9F6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14</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0EB8C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bl>
    <w:p w14:paraId="44030057">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5314F96F">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45526A5F">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6775EB3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05CE981F">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770E5D43">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1、监护仪结构：</w:t>
      </w:r>
    </w:p>
    <w:p w14:paraId="6ADC1CEE">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1.1.模块化插件式床边监护仪，主机、显示屏和插件槽一体化设计，主机插槽数≥4个</w:t>
      </w:r>
    </w:p>
    <w:p w14:paraId="53C2ED97">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1.2.监护仪主机（非辅助插件箱）每个槽位均具备插件模块红外通讯接口以及金属硬件通讯接口（非供电接口），保证模块通讯速率及稳定性，提供监护仪主机插槽图片证明</w:t>
      </w:r>
    </w:p>
    <w:p w14:paraId="18DFC4A2">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1.3.≥12.1英寸彩色电容触摸屏，高分辨率≥1280×800像素，≥8通道显示，显示屏亮度自动调节，屏幕支持手势滑动操作，支持穿戴医用防护手套操作</w:t>
      </w:r>
    </w:p>
    <w:p w14:paraId="4422C42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1.4.采用无风扇设计</w:t>
      </w:r>
    </w:p>
    <w:p w14:paraId="663BB786">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1.5.可内置高能锂电池，供电时间≥4小时</w:t>
      </w:r>
    </w:p>
    <w:p w14:paraId="4FE1471F">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1.6.配置≥4个USB接口，支持连接存储介质、鼠标、键盘、条码扫描枪等USB设备</w:t>
      </w:r>
    </w:p>
    <w:p w14:paraId="3CF0BE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2、监测参数：</w:t>
      </w:r>
    </w:p>
    <w:p w14:paraId="0D8DDD30">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2.1.基本功能模块支持心电，呼吸，心率，无创血压，血氧饱和度，脉搏，双通道体温和双通道有创血压的同时监测</w:t>
      </w:r>
    </w:p>
    <w:p w14:paraId="6136A409">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2.2.基本功能模块支持升级从监护仪拔出后作为一个独立的监护仪支持病人的无缝转移，插入监护仪操作插槽作为主机模块，具有独立操作显示屏，屏幕尺寸≥5.5英寸，内置锂电池供电≥4小时，无风扇设计</w:t>
      </w:r>
    </w:p>
    <w:p w14:paraId="50C0DF0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2.3 .ECG支持3/5导心电监测，可选配6/12导联心电监测。</w:t>
      </w:r>
    </w:p>
    <w:p w14:paraId="18EF136A">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2.4.支持房颤及室上性心律失常分析功能，如：室上性心动过速，SVCs/min等，标配支持≥27种实时心律失常分析，支持≥4通道心电波形同步分析，可进行多导心电分析，提供产品界面、手册截图或技术专利证名材料</w:t>
      </w:r>
    </w:p>
    <w:p w14:paraId="173BEC34">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 xml:space="preserve">2.5.提供ST段分析功能，适用于成人，小儿和新生儿，支持在专门的窗口中分组显示心脏前壁，下壁和侧壁的ST实时片段和参考片段 </w:t>
      </w:r>
    </w:p>
    <w:p w14:paraId="1F15B40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2.6.支持RR呼吸率测量，测量范围：1～200rpm</w:t>
      </w:r>
    </w:p>
    <w:p w14:paraId="5C874072">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2.7.具有QT/QTc实时连续测量功能，提供QT，QTc和ΔQTc参数值的显示</w:t>
      </w:r>
    </w:p>
    <w:p w14:paraId="251E3309">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2.8.无创血压适用于成人，小儿和新生儿</w:t>
      </w:r>
    </w:p>
    <w:p w14:paraId="721D090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2.9.无创血压提供手动、自动间隔、连续、序列、整点五种测量模式</w:t>
      </w:r>
    </w:p>
    <w:p w14:paraId="539722A0">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2.10.提供辅助静脉穿刺功能</w:t>
      </w:r>
    </w:p>
    <w:p w14:paraId="1617C3B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2.11. NIBP 成人病人类型收缩压测量：25～290mmHg</w:t>
      </w:r>
    </w:p>
    <w:p w14:paraId="106626B4">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2.12.血氧监测适用于成人，小儿和新生儿</w:t>
      </w:r>
    </w:p>
    <w:p w14:paraId="2C95D3A5">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2.13.提供灌注指数（PI）的监测</w:t>
      </w:r>
    </w:p>
    <w:p w14:paraId="009510DA">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2.14.配置指套式血氧探头，支持浸泡清洁与消毒，防水等级IPx7</w:t>
      </w:r>
    </w:p>
    <w:p w14:paraId="22E31D17">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2.15.支持双通道有创压IBP监测，支持升级多达6通道有创压监测</w:t>
      </w:r>
    </w:p>
    <w:p w14:paraId="3EF97CE5">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2.16.有创压适用于成人，小儿和新生儿</w:t>
      </w:r>
    </w:p>
    <w:p w14:paraId="3DFA753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2.17. IBP有创压测量范围：-50～360mmHg</w:t>
      </w:r>
    </w:p>
    <w:p w14:paraId="419F31F1">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 xml:space="preserve">2.18.提供肺动脉锲压（PAWP）的监测和PPV参数监测 </w:t>
      </w:r>
    </w:p>
    <w:p w14:paraId="7B1AD4F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2.19.支持多达6道IBP波形叠加显示，满足临床对比查看和节约显示空间的需求</w:t>
      </w:r>
    </w:p>
    <w:p w14:paraId="2F904710">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2.20.配备旁流EtCO2监测模块，旁流EtCO2监测模块支持升级顺磁氧监测技术进行氧气监测，水槽要求易用快速更换</w:t>
      </w:r>
    </w:p>
    <w:p w14:paraId="0C574474">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2.21.支持升级麻醉深度BIS、肌松NMT模块，模块作为监护仪模块通过三类注册，非其他品牌麻醉深度、肌松单机连接或单独使用，须提供所售监护仪注册证证明具备该功能，支持升级脑电图EEG，振幅整合脑电图aEEG监测模块，可提供4通道脑电图以及DSA致密频谱密度查看</w:t>
      </w:r>
    </w:p>
    <w:p w14:paraId="2C2DD91D">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3、系统功能：</w:t>
      </w:r>
    </w:p>
    <w:p w14:paraId="63732E1A">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3.1.具有图形化报警指示功能，看报警信息更容易</w:t>
      </w:r>
    </w:p>
    <w:p w14:paraId="63E77621">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3.2.具有报警升级功能，当参数报警经过一定的时间未被处理或伴发了其他报警，就会升级到更高一个级别</w:t>
      </w:r>
    </w:p>
    <w:p w14:paraId="74B62191">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3.3.具有特殊报警音，当监护仪在病人发生致命性参数报警时，发出特殊的报警音进行提示病人处于危急状态</w:t>
      </w:r>
    </w:p>
    <w:p w14:paraId="73CD0183">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3.4.支持根据病人的参数趋势变化，自动推送推荐报警限，提供说明书或检测报告等证明文件</w:t>
      </w:r>
    </w:p>
    <w:p w14:paraId="2A17453D">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3.5.具备参数组合报警功能，可对患者同时多个参数变化给出统一报警提示，预示病人不同生理系统状态改变，提供≥10个预设组合报警，并允许自定义≥10个组合报警，并提供相关证明文件。</w:t>
      </w:r>
    </w:p>
    <w:p w14:paraId="56811A40">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3.6.标配具备血液动力学，药物计算，氧合计算，通气计算和肾功能计算功能，并提供产品、手册截图证明材料</w:t>
      </w:r>
    </w:p>
    <w:p w14:paraId="561A3B46">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3.7.配备麻醉平衡软件工具，数字化指标显示病人镇静、镇痛、肌松三方面麻醉状态，自动提示病人三低状态，并予以计时，图形化显示病人脑状态，可进行Aldrete复苏评分，满足临床对病人复苏拔管的评估，需提供产品截图证明材料</w:t>
      </w:r>
    </w:p>
    <w:p w14:paraId="78996E72">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3.8.支持≥100小时趋势表和趋势图回顾，最小分辨率1分钟</w:t>
      </w:r>
    </w:p>
    <w:p w14:paraId="74328A0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3.9.支持≥800条事件回顾。每条报警事件至少能够存储32秒三道相关波形，以及报警触发时所有测量参数值</w:t>
      </w:r>
    </w:p>
    <w:p w14:paraId="2114112A">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3.10.具备≥40小时全息波形的存储与回顾功能</w:t>
      </w:r>
    </w:p>
    <w:p w14:paraId="04D89361">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3.11.支持≥100小时ST波形片段的存储与回顾</w:t>
      </w:r>
    </w:p>
    <w:p w14:paraId="06D3C3DA">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3.12.患者离开科室，监护仪状态由接收患者到解除患者后，患者数据不删除，支持在监护仪回顾历史病人数据</w:t>
      </w:r>
    </w:p>
    <w:p w14:paraId="09B45292">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3.13.工作模式提供：监护模式、待机模式、抢救模式，体外循环模式、插管模式，夜间模式、隐私模式、演示模式</w:t>
      </w:r>
    </w:p>
    <w:p w14:paraId="52C2B606">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3.14.支持与除颤监护仪，遥测，生命体征监测仪、呼吸机混合联通至中心监护系统，实现护士站的集中管理</w:t>
      </w:r>
    </w:p>
    <w:p w14:paraId="3FD4C4D7">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配置清单：</w:t>
      </w:r>
    </w:p>
    <w:tbl>
      <w:tblPr>
        <w:tblStyle w:val="10"/>
        <w:tblW w:w="8282" w:type="dxa"/>
        <w:jc w:val="center"/>
        <w:tblLayout w:type="fixed"/>
        <w:tblCellMar>
          <w:top w:w="0" w:type="dxa"/>
          <w:left w:w="108" w:type="dxa"/>
          <w:bottom w:w="0" w:type="dxa"/>
          <w:right w:w="108" w:type="dxa"/>
        </w:tblCellMar>
      </w:tblPr>
      <w:tblGrid>
        <w:gridCol w:w="875"/>
        <w:gridCol w:w="6137"/>
        <w:gridCol w:w="1270"/>
      </w:tblGrid>
      <w:tr w14:paraId="6DF76D1C">
        <w:tblPrEx>
          <w:tblCellMar>
            <w:top w:w="0" w:type="dxa"/>
            <w:left w:w="108" w:type="dxa"/>
            <w:bottom w:w="0" w:type="dxa"/>
            <w:right w:w="108" w:type="dxa"/>
          </w:tblCellMar>
        </w:tblPrEx>
        <w:trPr>
          <w:trHeight w:val="633" w:hRule="atLeast"/>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1A62A368">
            <w:pPr>
              <w:widowControl/>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序号</w:t>
            </w:r>
          </w:p>
        </w:tc>
        <w:tc>
          <w:tcPr>
            <w:tcW w:w="6137" w:type="dxa"/>
            <w:tcBorders>
              <w:top w:val="single" w:color="auto" w:sz="4" w:space="0"/>
              <w:left w:val="nil"/>
              <w:bottom w:val="single" w:color="auto" w:sz="4" w:space="0"/>
              <w:right w:val="single" w:color="auto" w:sz="4" w:space="0"/>
            </w:tcBorders>
            <w:noWrap w:val="0"/>
            <w:vAlign w:val="center"/>
          </w:tcPr>
          <w:p w14:paraId="26D4CCC6">
            <w:pPr>
              <w:widowControl/>
              <w:jc w:val="center"/>
              <w:rPr>
                <w:rFonts w:hint="eastAsia" w:asciiTheme="minorEastAsia" w:hAnsiTheme="minorEastAsia" w:eastAsiaTheme="minorEastAsia" w:cstheme="minorEastAsia"/>
                <w:b w:val="0"/>
                <w:bCs w:val="0"/>
                <w:color w:val="auto"/>
                <w:kern w:val="0"/>
                <w:sz w:val="24"/>
                <w:szCs w:val="24"/>
                <w:lang w:val="it-IT"/>
              </w:rPr>
            </w:pPr>
            <w:r>
              <w:rPr>
                <w:rFonts w:hint="eastAsia" w:asciiTheme="minorEastAsia" w:hAnsiTheme="minorEastAsia" w:eastAsiaTheme="minorEastAsia" w:cstheme="minorEastAsia"/>
                <w:b w:val="0"/>
                <w:bCs w:val="0"/>
                <w:color w:val="auto"/>
                <w:kern w:val="0"/>
                <w:sz w:val="24"/>
                <w:szCs w:val="24"/>
              </w:rPr>
              <w:t>配置</w:t>
            </w:r>
          </w:p>
        </w:tc>
        <w:tc>
          <w:tcPr>
            <w:tcW w:w="1270" w:type="dxa"/>
            <w:tcBorders>
              <w:top w:val="single" w:color="auto" w:sz="4" w:space="0"/>
              <w:left w:val="nil"/>
              <w:bottom w:val="single" w:color="auto" w:sz="4" w:space="0"/>
              <w:right w:val="single" w:color="auto" w:sz="4" w:space="0"/>
            </w:tcBorders>
            <w:noWrap w:val="0"/>
            <w:vAlign w:val="center"/>
          </w:tcPr>
          <w:p w14:paraId="6D82DE77">
            <w:pPr>
              <w:widowControl/>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数量</w:t>
            </w:r>
          </w:p>
        </w:tc>
      </w:tr>
      <w:tr w14:paraId="0077587C">
        <w:tblPrEx>
          <w:tblCellMar>
            <w:top w:w="0" w:type="dxa"/>
            <w:left w:w="108" w:type="dxa"/>
            <w:bottom w:w="0" w:type="dxa"/>
            <w:right w:w="108" w:type="dxa"/>
          </w:tblCellMar>
        </w:tblPrEx>
        <w:trPr>
          <w:trHeight w:val="633" w:hRule="atLeast"/>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654A6EC0">
            <w:pPr>
              <w:spacing w:beforeLines="0" w:afterLines="0" w:line="360" w:lineRule="auto"/>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1</w:t>
            </w:r>
          </w:p>
        </w:tc>
        <w:tc>
          <w:tcPr>
            <w:tcW w:w="6137" w:type="dxa"/>
            <w:tcBorders>
              <w:top w:val="single" w:color="auto" w:sz="4" w:space="0"/>
              <w:left w:val="single" w:color="auto" w:sz="4" w:space="0"/>
              <w:bottom w:val="single" w:color="auto" w:sz="4" w:space="0"/>
              <w:right w:val="single" w:color="auto" w:sz="4" w:space="0"/>
            </w:tcBorders>
            <w:noWrap w:val="0"/>
            <w:vAlign w:val="center"/>
          </w:tcPr>
          <w:p w14:paraId="6C34C8DE">
            <w:pPr>
              <w:spacing w:beforeLines="0" w:afterLines="0" w:line="360" w:lineRule="auto"/>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监护仪主机</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A58533B">
            <w:pPr>
              <w:widowControl/>
              <w:jc w:val="center"/>
              <w:rPr>
                <w:rFonts w:hint="eastAsia" w:asciiTheme="minorEastAsia" w:hAnsiTheme="minorEastAsia" w:eastAsiaTheme="minorEastAsia" w:cstheme="minorEastAsia"/>
                <w:b w:val="0"/>
                <w:bCs w:val="0"/>
                <w:color w:val="auto"/>
                <w:kern w:val="0"/>
                <w:sz w:val="24"/>
                <w:szCs w:val="24"/>
                <w:lang w:val="en-US" w:eastAsia="zh-CN"/>
              </w:rPr>
            </w:pPr>
            <w:r>
              <w:rPr>
                <w:rFonts w:hint="eastAsia" w:asciiTheme="minorEastAsia" w:hAnsiTheme="minorEastAsia" w:eastAsiaTheme="minorEastAsia" w:cstheme="minorEastAsia"/>
                <w:b w:val="0"/>
                <w:bCs w:val="0"/>
                <w:color w:val="auto"/>
                <w:kern w:val="0"/>
                <w:sz w:val="24"/>
                <w:szCs w:val="24"/>
                <w:lang w:val="en-US" w:eastAsia="zh-CN"/>
              </w:rPr>
              <w:t>2台</w:t>
            </w:r>
          </w:p>
        </w:tc>
      </w:tr>
      <w:tr w14:paraId="53EE1FC5">
        <w:tblPrEx>
          <w:tblCellMar>
            <w:top w:w="0" w:type="dxa"/>
            <w:left w:w="108" w:type="dxa"/>
            <w:bottom w:w="0" w:type="dxa"/>
            <w:right w:w="108" w:type="dxa"/>
          </w:tblCellMar>
        </w:tblPrEx>
        <w:trPr>
          <w:trHeight w:val="633" w:hRule="atLeast"/>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0704F9AB">
            <w:pPr>
              <w:spacing w:beforeLines="0" w:afterLines="0" w:line="360" w:lineRule="auto"/>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2</w:t>
            </w:r>
          </w:p>
        </w:tc>
        <w:tc>
          <w:tcPr>
            <w:tcW w:w="6137" w:type="dxa"/>
            <w:tcBorders>
              <w:top w:val="single" w:color="auto" w:sz="4" w:space="0"/>
              <w:left w:val="single" w:color="auto" w:sz="4" w:space="0"/>
              <w:bottom w:val="single" w:color="auto" w:sz="4" w:space="0"/>
              <w:right w:val="single" w:color="auto" w:sz="4" w:space="0"/>
            </w:tcBorders>
            <w:noWrap w:val="0"/>
            <w:vAlign w:val="center"/>
          </w:tcPr>
          <w:p w14:paraId="63EA8BE5">
            <w:pPr>
              <w:spacing w:beforeLines="0" w:afterLines="0" w:line="360" w:lineRule="auto"/>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lang w:val="en-US" w:eastAsia="zh-CN"/>
              </w:rPr>
              <w:t>MPM-1模块（带双通道有创血压IBP）</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55CEF206">
            <w:pPr>
              <w:widowControl/>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lang w:val="en-US" w:eastAsia="zh-CN"/>
              </w:rPr>
              <w:t>2个</w:t>
            </w:r>
          </w:p>
        </w:tc>
      </w:tr>
      <w:tr w14:paraId="602F41D2">
        <w:tblPrEx>
          <w:tblCellMar>
            <w:top w:w="0" w:type="dxa"/>
            <w:left w:w="108" w:type="dxa"/>
            <w:bottom w:w="0" w:type="dxa"/>
            <w:right w:w="108" w:type="dxa"/>
          </w:tblCellMar>
        </w:tblPrEx>
        <w:trPr>
          <w:trHeight w:val="633" w:hRule="atLeast"/>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4AECAF0D">
            <w:pPr>
              <w:spacing w:beforeLines="0" w:afterLines="0" w:line="360" w:lineRule="auto"/>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3</w:t>
            </w:r>
          </w:p>
        </w:tc>
        <w:tc>
          <w:tcPr>
            <w:tcW w:w="6137" w:type="dxa"/>
            <w:tcBorders>
              <w:top w:val="single" w:color="auto" w:sz="4" w:space="0"/>
              <w:left w:val="single" w:color="auto" w:sz="4" w:space="0"/>
              <w:bottom w:val="single" w:color="auto" w:sz="4" w:space="0"/>
              <w:right w:val="single" w:color="auto" w:sz="4" w:space="0"/>
            </w:tcBorders>
            <w:noWrap w:val="0"/>
            <w:vAlign w:val="center"/>
          </w:tcPr>
          <w:p w14:paraId="24CEB647">
            <w:pPr>
              <w:spacing w:beforeLines="0" w:afterLines="0" w:line="360" w:lineRule="auto"/>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心电附件包</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0CB1BA80">
            <w:pPr>
              <w:widowControl/>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lang w:val="en-US" w:eastAsia="zh-CN"/>
              </w:rPr>
              <w:t>2个</w:t>
            </w:r>
          </w:p>
        </w:tc>
      </w:tr>
      <w:tr w14:paraId="172E3758">
        <w:tblPrEx>
          <w:tblCellMar>
            <w:top w:w="0" w:type="dxa"/>
            <w:left w:w="108" w:type="dxa"/>
            <w:bottom w:w="0" w:type="dxa"/>
            <w:right w:w="108" w:type="dxa"/>
          </w:tblCellMar>
        </w:tblPrEx>
        <w:trPr>
          <w:trHeight w:val="633" w:hRule="atLeast"/>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3DBB2E2F">
            <w:pPr>
              <w:spacing w:beforeLines="0" w:afterLines="0" w:line="360" w:lineRule="auto"/>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4</w:t>
            </w:r>
          </w:p>
        </w:tc>
        <w:tc>
          <w:tcPr>
            <w:tcW w:w="6137" w:type="dxa"/>
            <w:tcBorders>
              <w:top w:val="single" w:color="auto" w:sz="4" w:space="0"/>
              <w:left w:val="single" w:color="auto" w:sz="4" w:space="0"/>
              <w:bottom w:val="single" w:color="auto" w:sz="4" w:space="0"/>
              <w:right w:val="single" w:color="auto" w:sz="4" w:space="0"/>
            </w:tcBorders>
            <w:noWrap w:val="0"/>
            <w:vAlign w:val="center"/>
          </w:tcPr>
          <w:p w14:paraId="722FEAB9">
            <w:pPr>
              <w:spacing w:beforeLines="0" w:afterLines="0" w:line="360" w:lineRule="auto"/>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血氧附件包</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1E692CD3">
            <w:pPr>
              <w:widowControl/>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lang w:val="en-US" w:eastAsia="zh-CN"/>
              </w:rPr>
              <w:t>2个</w:t>
            </w:r>
          </w:p>
        </w:tc>
      </w:tr>
      <w:tr w14:paraId="57C7031A">
        <w:tblPrEx>
          <w:tblCellMar>
            <w:top w:w="0" w:type="dxa"/>
            <w:left w:w="108" w:type="dxa"/>
            <w:bottom w:w="0" w:type="dxa"/>
            <w:right w:w="108" w:type="dxa"/>
          </w:tblCellMar>
        </w:tblPrEx>
        <w:trPr>
          <w:trHeight w:val="633"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624AB2DC">
            <w:pPr>
              <w:spacing w:beforeLines="0" w:afterLines="0" w:line="360" w:lineRule="auto"/>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5</w:t>
            </w:r>
          </w:p>
        </w:tc>
        <w:tc>
          <w:tcPr>
            <w:tcW w:w="6137" w:type="dxa"/>
            <w:tcBorders>
              <w:top w:val="single" w:color="auto" w:sz="4" w:space="0"/>
              <w:left w:val="single" w:color="auto" w:sz="4" w:space="0"/>
              <w:bottom w:val="single" w:color="auto" w:sz="4" w:space="0"/>
              <w:right w:val="single" w:color="auto" w:sz="4" w:space="0"/>
            </w:tcBorders>
            <w:noWrap w:val="0"/>
            <w:vAlign w:val="center"/>
          </w:tcPr>
          <w:p w14:paraId="30A996EC">
            <w:pPr>
              <w:spacing w:beforeLines="0" w:afterLines="0" w:line="360" w:lineRule="auto"/>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无创血压附件包</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E121940">
            <w:pPr>
              <w:widowControl/>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lang w:val="en-US" w:eastAsia="zh-CN"/>
              </w:rPr>
              <w:t>2个</w:t>
            </w:r>
          </w:p>
        </w:tc>
      </w:tr>
      <w:tr w14:paraId="6988AA17">
        <w:tblPrEx>
          <w:tblCellMar>
            <w:top w:w="0" w:type="dxa"/>
            <w:left w:w="108" w:type="dxa"/>
            <w:bottom w:w="0" w:type="dxa"/>
            <w:right w:w="108" w:type="dxa"/>
          </w:tblCellMar>
        </w:tblPrEx>
        <w:trPr>
          <w:trHeight w:val="633"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1A3B893C">
            <w:pPr>
              <w:spacing w:beforeLines="0" w:afterLines="0" w:line="360" w:lineRule="auto"/>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lang w:val="en-US" w:eastAsia="zh-CN"/>
              </w:rPr>
              <w:t>6</w:t>
            </w:r>
          </w:p>
        </w:tc>
        <w:tc>
          <w:tcPr>
            <w:tcW w:w="6137" w:type="dxa"/>
            <w:tcBorders>
              <w:top w:val="single" w:color="auto" w:sz="4" w:space="0"/>
              <w:left w:val="single" w:color="auto" w:sz="4" w:space="0"/>
              <w:bottom w:val="single" w:color="auto" w:sz="4" w:space="0"/>
              <w:right w:val="single" w:color="auto" w:sz="4" w:space="0"/>
            </w:tcBorders>
            <w:noWrap w:val="0"/>
            <w:vAlign w:val="center"/>
          </w:tcPr>
          <w:p w14:paraId="06FBA062">
            <w:pPr>
              <w:spacing w:beforeLines="0" w:afterLines="0" w:line="360" w:lineRule="auto"/>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kern w:val="2"/>
                <w:sz w:val="24"/>
                <w:szCs w:val="24"/>
                <w:lang w:val="en-US" w:eastAsia="zh-CN" w:bidi="ar-SA"/>
              </w:rPr>
              <w:t>旁流CO2模块</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7C8A2671">
            <w:pPr>
              <w:widowControl/>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lang w:val="en-US" w:eastAsia="zh-CN"/>
              </w:rPr>
              <w:t>2个</w:t>
            </w:r>
          </w:p>
        </w:tc>
      </w:tr>
      <w:tr w14:paraId="3491E4BC">
        <w:tblPrEx>
          <w:tblCellMar>
            <w:top w:w="0" w:type="dxa"/>
            <w:left w:w="108" w:type="dxa"/>
            <w:bottom w:w="0" w:type="dxa"/>
            <w:right w:w="108" w:type="dxa"/>
          </w:tblCellMar>
        </w:tblPrEx>
        <w:trPr>
          <w:trHeight w:val="633" w:hRule="atLeast"/>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122C8084">
            <w:pPr>
              <w:widowControl/>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auto"/>
                <w:kern w:val="0"/>
                <w:sz w:val="24"/>
                <w:szCs w:val="24"/>
                <w:lang w:val="en-US" w:eastAsia="zh-CN"/>
              </w:rPr>
              <w:t>10</w:t>
            </w:r>
          </w:p>
        </w:tc>
        <w:tc>
          <w:tcPr>
            <w:tcW w:w="6137" w:type="dxa"/>
            <w:tcBorders>
              <w:top w:val="single" w:color="auto" w:sz="4" w:space="0"/>
              <w:left w:val="single" w:color="auto" w:sz="4" w:space="0"/>
              <w:bottom w:val="single" w:color="auto" w:sz="4" w:space="0"/>
              <w:right w:val="single" w:color="auto" w:sz="4" w:space="0"/>
            </w:tcBorders>
            <w:noWrap w:val="0"/>
            <w:vAlign w:val="center"/>
          </w:tcPr>
          <w:p w14:paraId="71CE3071">
            <w:pPr>
              <w:spacing w:beforeLines="0" w:afterLines="0" w:line="360" w:lineRule="auto"/>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lang w:val="en-US" w:eastAsia="zh-CN"/>
              </w:rPr>
              <w:t>麻醉三角平衡软件</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69694D16">
            <w:pPr>
              <w:widowControl/>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lang w:val="en-US" w:eastAsia="zh-CN"/>
              </w:rPr>
              <w:t>2个</w:t>
            </w:r>
          </w:p>
        </w:tc>
      </w:tr>
      <w:tr w14:paraId="16B3F74E">
        <w:tblPrEx>
          <w:tblCellMar>
            <w:top w:w="0" w:type="dxa"/>
            <w:left w:w="108" w:type="dxa"/>
            <w:bottom w:w="0" w:type="dxa"/>
            <w:right w:w="108" w:type="dxa"/>
          </w:tblCellMar>
        </w:tblPrEx>
        <w:trPr>
          <w:trHeight w:val="633" w:hRule="atLeast"/>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591BF18A">
            <w:pPr>
              <w:spacing w:beforeLines="0" w:afterLines="0" w:line="360" w:lineRule="auto"/>
              <w:jc w:val="center"/>
              <w:rPr>
                <w:rFonts w:hint="eastAsia" w:asciiTheme="minorEastAsia" w:hAnsiTheme="minorEastAsia" w:eastAsiaTheme="minorEastAsia" w:cstheme="minorEastAsia"/>
                <w:b w:val="0"/>
                <w:bCs w:val="0"/>
                <w:color w:val="auto"/>
                <w:kern w:val="0"/>
                <w:sz w:val="24"/>
                <w:szCs w:val="24"/>
                <w:lang w:val="en-US" w:eastAsia="zh-CN" w:bidi="ar-SA"/>
              </w:rPr>
            </w:pPr>
            <w:r>
              <w:rPr>
                <w:rFonts w:hint="eastAsia" w:asciiTheme="minorEastAsia" w:hAnsiTheme="minorEastAsia" w:eastAsiaTheme="minorEastAsia" w:cstheme="minorEastAsia"/>
                <w:b w:val="0"/>
                <w:bCs w:val="0"/>
                <w:color w:val="000000"/>
                <w:kern w:val="2"/>
                <w:sz w:val="24"/>
                <w:szCs w:val="24"/>
                <w:lang w:val="en-US" w:eastAsia="zh-CN" w:bidi="ar-SA"/>
              </w:rPr>
              <w:t>12</w:t>
            </w:r>
          </w:p>
        </w:tc>
        <w:tc>
          <w:tcPr>
            <w:tcW w:w="6137" w:type="dxa"/>
            <w:tcBorders>
              <w:top w:val="single" w:color="auto" w:sz="4" w:space="0"/>
              <w:left w:val="single" w:color="auto" w:sz="4" w:space="0"/>
              <w:bottom w:val="single" w:color="auto" w:sz="4" w:space="0"/>
              <w:right w:val="single" w:color="auto" w:sz="4" w:space="0"/>
            </w:tcBorders>
            <w:noWrap w:val="0"/>
            <w:vAlign w:val="center"/>
          </w:tcPr>
          <w:p w14:paraId="028DCE82">
            <w:pPr>
              <w:spacing w:beforeLines="0" w:afterLines="0" w:line="360" w:lineRule="auto"/>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合格证</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24CE3A7">
            <w:pPr>
              <w:widowControl/>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lang w:val="en-US" w:eastAsia="zh-CN"/>
              </w:rPr>
              <w:t>2个</w:t>
            </w:r>
          </w:p>
        </w:tc>
      </w:tr>
      <w:tr w14:paraId="5531B601">
        <w:tblPrEx>
          <w:tblCellMar>
            <w:top w:w="0" w:type="dxa"/>
            <w:left w:w="108" w:type="dxa"/>
            <w:bottom w:w="0" w:type="dxa"/>
            <w:right w:w="108" w:type="dxa"/>
          </w:tblCellMar>
        </w:tblPrEx>
        <w:trPr>
          <w:trHeight w:val="633" w:hRule="atLeast"/>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15F9B881">
            <w:pPr>
              <w:spacing w:beforeLines="0" w:afterLines="0" w:line="360" w:lineRule="auto"/>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kern w:val="2"/>
                <w:sz w:val="24"/>
                <w:szCs w:val="24"/>
                <w:lang w:val="en-US" w:eastAsia="zh-CN" w:bidi="ar-SA"/>
              </w:rPr>
              <w:t>13</w:t>
            </w:r>
          </w:p>
        </w:tc>
        <w:tc>
          <w:tcPr>
            <w:tcW w:w="6137" w:type="dxa"/>
            <w:tcBorders>
              <w:top w:val="single" w:color="auto" w:sz="4" w:space="0"/>
              <w:left w:val="single" w:color="auto" w:sz="4" w:space="0"/>
              <w:bottom w:val="single" w:color="auto" w:sz="4" w:space="0"/>
              <w:right w:val="single" w:color="auto" w:sz="4" w:space="0"/>
            </w:tcBorders>
            <w:noWrap w:val="0"/>
            <w:vAlign w:val="center"/>
          </w:tcPr>
          <w:p w14:paraId="767E1C3E">
            <w:pPr>
              <w:widowControl/>
              <w:jc w:val="center"/>
              <w:rPr>
                <w:rFonts w:hint="eastAsia" w:asciiTheme="minorEastAsia" w:hAnsiTheme="minorEastAsia" w:eastAsiaTheme="minorEastAsia" w:cstheme="minorEastAsia"/>
                <w:b w:val="0"/>
                <w:bCs w:val="0"/>
                <w:color w:val="auto"/>
                <w:kern w:val="0"/>
                <w:sz w:val="24"/>
                <w:szCs w:val="24"/>
                <w:lang w:val="en-US" w:eastAsia="zh-CN" w:bidi="ar-SA"/>
              </w:rPr>
            </w:pPr>
            <w:r>
              <w:rPr>
                <w:rFonts w:hint="eastAsia" w:asciiTheme="minorEastAsia" w:hAnsiTheme="minorEastAsia" w:eastAsiaTheme="minorEastAsia" w:cstheme="minorEastAsia"/>
                <w:b w:val="0"/>
                <w:bCs w:val="0"/>
                <w:color w:val="auto"/>
                <w:kern w:val="0"/>
                <w:sz w:val="24"/>
                <w:szCs w:val="24"/>
                <w:lang w:val="en-US" w:eastAsia="zh-CN"/>
              </w:rPr>
              <w:t>保修卡</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3610CBF3">
            <w:pPr>
              <w:widowControl/>
              <w:jc w:val="center"/>
              <w:rPr>
                <w:rFonts w:hint="eastAsia" w:asciiTheme="minorEastAsia" w:hAnsiTheme="minorEastAsia" w:eastAsiaTheme="minorEastAsia" w:cstheme="minorEastAsia"/>
                <w:b w:val="0"/>
                <w:bCs w:val="0"/>
                <w:color w:val="auto"/>
                <w:kern w:val="0"/>
                <w:sz w:val="24"/>
                <w:szCs w:val="24"/>
                <w:lang w:val="en-US" w:eastAsia="zh-CN" w:bidi="ar-SA"/>
              </w:rPr>
            </w:pPr>
            <w:r>
              <w:rPr>
                <w:rFonts w:hint="eastAsia" w:asciiTheme="minorEastAsia" w:hAnsiTheme="minorEastAsia" w:eastAsiaTheme="minorEastAsia" w:cstheme="minorEastAsia"/>
                <w:b w:val="0"/>
                <w:bCs w:val="0"/>
                <w:color w:val="auto"/>
                <w:kern w:val="0"/>
                <w:sz w:val="24"/>
                <w:szCs w:val="24"/>
                <w:lang w:val="en-US" w:eastAsia="zh-CN"/>
              </w:rPr>
              <w:t>2个</w:t>
            </w:r>
          </w:p>
        </w:tc>
      </w:tr>
      <w:tr w14:paraId="0C0ECADA">
        <w:tblPrEx>
          <w:tblCellMar>
            <w:top w:w="0" w:type="dxa"/>
            <w:left w:w="108" w:type="dxa"/>
            <w:bottom w:w="0" w:type="dxa"/>
            <w:right w:w="108" w:type="dxa"/>
          </w:tblCellMar>
        </w:tblPrEx>
        <w:trPr>
          <w:trHeight w:val="633"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3F6FBE3D">
            <w:pPr>
              <w:spacing w:beforeLines="0" w:afterLines="0" w:line="360" w:lineRule="auto"/>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kern w:val="2"/>
                <w:sz w:val="24"/>
                <w:szCs w:val="24"/>
                <w:lang w:val="en-US" w:eastAsia="zh-CN" w:bidi="ar-SA"/>
              </w:rPr>
              <w:t>14</w:t>
            </w:r>
          </w:p>
        </w:tc>
        <w:tc>
          <w:tcPr>
            <w:tcW w:w="6137" w:type="dxa"/>
            <w:tcBorders>
              <w:top w:val="single" w:color="auto" w:sz="4" w:space="0"/>
              <w:left w:val="single" w:color="auto" w:sz="4" w:space="0"/>
              <w:bottom w:val="single" w:color="auto" w:sz="4" w:space="0"/>
              <w:right w:val="single" w:color="auto" w:sz="4" w:space="0"/>
            </w:tcBorders>
            <w:noWrap w:val="0"/>
            <w:vAlign w:val="center"/>
          </w:tcPr>
          <w:p w14:paraId="5D4B96EE">
            <w:pPr>
              <w:spacing w:beforeLines="0" w:afterLines="0" w:line="360" w:lineRule="auto"/>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产品说明书</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6FAFA8F8">
            <w:pPr>
              <w:widowControl/>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lang w:val="en-US" w:eastAsia="zh-CN"/>
              </w:rPr>
              <w:t>2本</w:t>
            </w:r>
          </w:p>
        </w:tc>
      </w:tr>
    </w:tbl>
    <w:p w14:paraId="15EC7489">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3C5278E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2、交货时间：按</w:t>
      </w:r>
      <w:r>
        <w:rPr>
          <w:rFonts w:hint="eastAsia" w:ascii="宋体" w:hAnsi="宋体" w:cs="宋体"/>
          <w:color w:val="auto"/>
          <w:sz w:val="24"/>
          <w:szCs w:val="24"/>
          <w:lang w:val="en-US" w:eastAsia="zh-CN"/>
        </w:rPr>
        <w:t>合同约定的日期交货。</w:t>
      </w:r>
    </w:p>
    <w:p w14:paraId="490DFA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、交货地点：娄底市中心医院</w:t>
      </w:r>
      <w:r>
        <w:rPr>
          <w:rFonts w:hint="eastAsia" w:ascii="宋体" w:hAnsi="宋体" w:cs="宋体"/>
          <w:color w:val="auto"/>
          <w:sz w:val="24"/>
          <w:szCs w:val="24"/>
          <w:lang w:val="en-US" w:eastAsia="zh-CN"/>
        </w:rPr>
        <w:t>指定地点</w:t>
      </w:r>
      <w:r>
        <w:rPr>
          <w:rFonts w:hint="eastAsia" w:ascii="宋体" w:hAnsi="宋体" w:eastAsia="宋体" w:cs="宋体"/>
          <w:color w:val="auto"/>
          <w:sz w:val="24"/>
          <w:szCs w:val="24"/>
        </w:rPr>
        <w:t>。</w:t>
      </w:r>
    </w:p>
    <w:p w14:paraId="2BEC70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、付款方式：设备验收合格后，供应商将发票交到娄底市中心医院后按程序支付货款90%（按医院财务制度一般情况下4个月内支付、特殊情况下最多不超过6个月），甲方在设备验收合格</w:t>
      </w:r>
      <w:r>
        <w:rPr>
          <w:rFonts w:hint="eastAsia" w:ascii="宋体" w:hAnsi="宋体" w:eastAsia="宋体" w:cs="宋体"/>
          <w:color w:val="auto"/>
          <w:sz w:val="24"/>
          <w:szCs w:val="24"/>
          <w:lang w:val="en-US" w:eastAsia="zh-CN"/>
        </w:rPr>
        <w:t>满</w:t>
      </w:r>
      <w:r>
        <w:rPr>
          <w:rFonts w:hint="eastAsia" w:ascii="宋体" w:hAnsi="宋体" w:cs="宋体"/>
          <w:color w:val="auto"/>
          <w:sz w:val="24"/>
          <w:szCs w:val="24"/>
          <w:u w:val="none"/>
          <w:lang w:val="en-US" w:eastAsia="zh-CN"/>
        </w:rPr>
        <w:t>3年</w:t>
      </w:r>
      <w:r>
        <w:rPr>
          <w:rFonts w:hint="eastAsia" w:ascii="宋体" w:hAnsi="宋体" w:eastAsia="宋体" w:cs="宋体"/>
          <w:color w:val="auto"/>
          <w:sz w:val="24"/>
          <w:szCs w:val="24"/>
        </w:rPr>
        <w:t>后</w:t>
      </w:r>
      <w:r>
        <w:rPr>
          <w:rFonts w:hint="eastAsia" w:ascii="宋体" w:hAnsi="宋体" w:cs="宋体"/>
          <w:color w:val="auto"/>
          <w:sz w:val="24"/>
          <w:szCs w:val="24"/>
          <w:lang w:eastAsia="zh-CN"/>
        </w:rPr>
        <w:t>免息</w:t>
      </w:r>
      <w:r>
        <w:rPr>
          <w:rFonts w:hint="eastAsia" w:ascii="宋体" w:hAnsi="宋体" w:eastAsia="宋体" w:cs="宋体"/>
          <w:color w:val="auto"/>
          <w:sz w:val="24"/>
          <w:szCs w:val="24"/>
        </w:rPr>
        <w:t>支付10%余款给乙方。</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年，终身维修。</w:t>
      </w:r>
      <w:r>
        <w:rPr>
          <w:rFonts w:hint="eastAsia" w:ascii="宋体" w:hAnsi="宋体" w:cs="宋体"/>
          <w:color w:val="auto"/>
          <w:sz w:val="24"/>
          <w:szCs w:val="24"/>
          <w:lang w:val="en-US" w:eastAsia="zh-CN"/>
        </w:rPr>
        <w:t>验收时</w:t>
      </w:r>
      <w:r>
        <w:rPr>
          <w:rFonts w:hint="eastAsia" w:ascii="宋体" w:hAnsi="宋体" w:eastAsia="宋体" w:cs="宋体"/>
          <w:color w:val="auto"/>
          <w:sz w:val="24"/>
          <w:szCs w:val="24"/>
        </w:rPr>
        <w:t>出具原厂售后质保承诺书，质保期内每年巡检</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并提交巡检记录</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质保期内</w:t>
      </w:r>
      <w:r>
        <w:rPr>
          <w:rFonts w:hint="eastAsia" w:ascii="宋体" w:hAnsi="宋体" w:cs="宋体"/>
          <w:color w:val="auto"/>
          <w:sz w:val="24"/>
          <w:szCs w:val="24"/>
          <w:lang w:val="en-US" w:eastAsia="zh-CN"/>
        </w:rPr>
        <w:t>出现故障</w:t>
      </w:r>
      <w:r>
        <w:rPr>
          <w:rFonts w:hint="eastAsia" w:ascii="宋体" w:hAnsi="宋体" w:eastAsia="宋体" w:cs="宋体"/>
          <w:color w:val="auto"/>
          <w:sz w:val="24"/>
          <w:szCs w:val="24"/>
          <w:lang w:val="en-US" w:eastAsia="zh-CN"/>
        </w:rPr>
        <w:t>，24小时响应，响应后</w:t>
      </w:r>
      <w:r>
        <w:rPr>
          <w:rFonts w:hint="eastAsia" w:ascii="宋体" w:hAnsi="宋体" w:cs="宋体"/>
          <w:color w:val="auto"/>
          <w:sz w:val="24"/>
          <w:szCs w:val="24"/>
          <w:lang w:val="en-US" w:eastAsia="zh-CN"/>
        </w:rPr>
        <w:t>1</w:t>
      </w:r>
      <w:bookmarkStart w:id="4" w:name="_GoBack"/>
      <w:bookmarkEnd w:id="4"/>
      <w:r>
        <w:rPr>
          <w:rFonts w:hint="eastAsia" w:ascii="宋体" w:hAnsi="宋体" w:eastAsia="宋体" w:cs="宋体"/>
          <w:color w:val="auto"/>
          <w:sz w:val="24"/>
          <w:szCs w:val="24"/>
          <w:lang w:val="en-US" w:eastAsia="zh-CN"/>
        </w:rPr>
        <w:t>小时上门服务</w:t>
      </w:r>
      <w:r>
        <w:rPr>
          <w:rFonts w:hint="eastAsia" w:ascii="宋体" w:hAnsi="宋体" w:cs="宋体"/>
          <w:color w:val="auto"/>
          <w:sz w:val="24"/>
          <w:szCs w:val="24"/>
          <w:lang w:val="en-US" w:eastAsia="zh-CN"/>
        </w:rPr>
        <w:t>。</w:t>
      </w:r>
    </w:p>
    <w:p w14:paraId="35A555D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6、在投标文件中必须提供相关佐证资料（加盖投标人公章的技术参数、技术白皮书、说明书、彩页），并在响应表中备注该条参数响应或正偏离的佐证资料所在页码。</w:t>
      </w:r>
    </w:p>
    <w:p w14:paraId="2CE7588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1CB5D5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465A4B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1E32B9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29E1EE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E16B4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193384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1CF55D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1E0BA8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7DE2E6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64D07C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382A4F5C">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440F77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197CDF5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4167CC6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0C75125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70F0DD6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766D35D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7813B96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5124242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6A6FA44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771EC39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7751637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7252753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121C1D3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4967813F">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132ABF2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20B00CF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7739FDB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公开招标</w:t>
      </w:r>
      <w:r>
        <w:rPr>
          <w:rFonts w:hint="eastAsia" w:ascii="宋体" w:hAnsi="宋体" w:eastAsia="宋体" w:cs="宋体"/>
          <w:color w:val="000000" w:themeColor="text1"/>
          <w:sz w:val="24"/>
          <w:szCs w:val="24"/>
          <w:highlight w:val="none"/>
          <w:lang w:val="en-US" w:eastAsia="zh-CN"/>
          <w14:textFill>
            <w14:solidFill>
              <w14:schemeClr w14:val="tx1"/>
            </w14:solidFill>
          </w14:textFill>
        </w:rPr>
        <w:t>☑医院公开挂网□医院院内议价□湖南政府采购电子卖场竞价）</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监护仪</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项目编号：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监护仪</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2CDC037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6A14106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10"/>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14:paraId="23FB0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14:paraId="2AD2B38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noWrap w:val="0"/>
            <w:vAlign w:val="top"/>
          </w:tcPr>
          <w:p w14:paraId="109639E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noWrap w:val="0"/>
            <w:vAlign w:val="top"/>
          </w:tcPr>
          <w:p w14:paraId="1E0DCED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noWrap w:val="0"/>
            <w:vAlign w:val="top"/>
          </w:tcPr>
          <w:p w14:paraId="3597521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noWrap w:val="0"/>
            <w:vAlign w:val="top"/>
          </w:tcPr>
          <w:p w14:paraId="6554430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noWrap w:val="0"/>
            <w:vAlign w:val="top"/>
          </w:tcPr>
          <w:p w14:paraId="17A5B71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090D3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center"/>
          </w:tcPr>
          <w:p w14:paraId="7A17E7F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监护仪</w:t>
            </w:r>
          </w:p>
        </w:tc>
        <w:tc>
          <w:tcPr>
            <w:tcW w:w="1220" w:type="dxa"/>
            <w:noWrap w:val="0"/>
            <w:vAlign w:val="center"/>
          </w:tcPr>
          <w:p w14:paraId="35783B4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noWrap w:val="0"/>
            <w:vAlign w:val="top"/>
          </w:tcPr>
          <w:p w14:paraId="2AFB36F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14:paraId="78BAEA7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noWrap w:val="0"/>
            <w:vAlign w:val="top"/>
          </w:tcPr>
          <w:p w14:paraId="6120484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w:t>
            </w:r>
          </w:p>
        </w:tc>
        <w:tc>
          <w:tcPr>
            <w:tcW w:w="1654" w:type="dxa"/>
            <w:noWrap w:val="0"/>
            <w:vAlign w:val="top"/>
          </w:tcPr>
          <w:p w14:paraId="76C2039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1BC19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center"/>
          </w:tcPr>
          <w:p w14:paraId="39B0B81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MPM-1模块（带双通道有创血压IBP）</w:t>
            </w:r>
          </w:p>
        </w:tc>
        <w:tc>
          <w:tcPr>
            <w:tcW w:w="1220" w:type="dxa"/>
            <w:noWrap w:val="0"/>
            <w:vAlign w:val="center"/>
          </w:tcPr>
          <w:p w14:paraId="5DA2A2F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noWrap w:val="0"/>
            <w:vAlign w:val="top"/>
          </w:tcPr>
          <w:p w14:paraId="2C44943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14:paraId="4F86B82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noWrap w:val="0"/>
            <w:vAlign w:val="top"/>
          </w:tcPr>
          <w:p w14:paraId="5AD569B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2</w:t>
            </w:r>
          </w:p>
        </w:tc>
        <w:tc>
          <w:tcPr>
            <w:tcW w:w="1654" w:type="dxa"/>
            <w:noWrap w:val="0"/>
            <w:vAlign w:val="top"/>
          </w:tcPr>
          <w:p w14:paraId="181D8A6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73F20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center"/>
          </w:tcPr>
          <w:p w14:paraId="55EFDB5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旁流CO2模块</w:t>
            </w:r>
          </w:p>
        </w:tc>
        <w:tc>
          <w:tcPr>
            <w:tcW w:w="1220" w:type="dxa"/>
            <w:noWrap w:val="0"/>
            <w:vAlign w:val="center"/>
          </w:tcPr>
          <w:p w14:paraId="370EDCD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noWrap w:val="0"/>
            <w:vAlign w:val="top"/>
          </w:tcPr>
          <w:p w14:paraId="2018FF7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14:paraId="4C7D064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noWrap w:val="0"/>
            <w:vAlign w:val="top"/>
          </w:tcPr>
          <w:p w14:paraId="277D8DE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2</w:t>
            </w:r>
          </w:p>
        </w:tc>
        <w:tc>
          <w:tcPr>
            <w:tcW w:w="1654" w:type="dxa"/>
            <w:noWrap w:val="0"/>
            <w:vAlign w:val="top"/>
          </w:tcPr>
          <w:p w14:paraId="2BCCA92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55E47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center"/>
          </w:tcPr>
          <w:p w14:paraId="6281A42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lang w:val="en-US" w:eastAsia="zh-CN"/>
              </w:rPr>
              <w:t>麻醉三角平衡软件</w:t>
            </w:r>
          </w:p>
        </w:tc>
        <w:tc>
          <w:tcPr>
            <w:tcW w:w="1220" w:type="dxa"/>
            <w:noWrap w:val="0"/>
            <w:vAlign w:val="center"/>
          </w:tcPr>
          <w:p w14:paraId="0980B62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noWrap w:val="0"/>
            <w:vAlign w:val="top"/>
          </w:tcPr>
          <w:p w14:paraId="6F1F403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14:paraId="4779BF5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noWrap w:val="0"/>
            <w:vAlign w:val="top"/>
          </w:tcPr>
          <w:p w14:paraId="58D90D9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2</w:t>
            </w:r>
          </w:p>
        </w:tc>
        <w:tc>
          <w:tcPr>
            <w:tcW w:w="1654" w:type="dxa"/>
            <w:noWrap w:val="0"/>
            <w:vAlign w:val="top"/>
          </w:tcPr>
          <w:p w14:paraId="784549F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24F31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14:paraId="7881A21B">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67FB620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固定单价），不因物价、市场波动变更，约定价格包括且不限于设计费、材料费、人工费、安装费、包装费、运输费、装卸费、调试费、接口费、检测费、检验费、税费、保险费、售后服务费、附随服务费等在内所有费用。 </w:t>
      </w:r>
    </w:p>
    <w:p w14:paraId="2D69FB8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需要</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对接，因</w:t>
      </w:r>
      <w:r>
        <w:rPr>
          <w:rFonts w:hint="eastAsia" w:ascii="宋体" w:hAnsi="宋体" w:cs="宋体"/>
          <w:color w:val="000000" w:themeColor="text1"/>
          <w:sz w:val="24"/>
          <w:szCs w:val="24"/>
          <w:highlight w:val="none"/>
          <w14:textFill>
            <w14:solidFill>
              <w14:schemeClr w14:val="tx1"/>
            </w14:solidFill>
          </w14:textFill>
        </w:rPr>
        <w:t>对接产生的接口开发等</w:t>
      </w:r>
      <w:r>
        <w:rPr>
          <w:rFonts w:hint="eastAsia" w:ascii="宋体" w:hAnsi="宋体" w:cs="宋体"/>
          <w:color w:val="000000" w:themeColor="text1"/>
          <w:sz w:val="24"/>
          <w:szCs w:val="24"/>
          <w:highlight w:val="none"/>
          <w:lang w:eastAsia="zh-CN"/>
          <w14:textFill>
            <w14:solidFill>
              <w14:schemeClr w14:val="tx1"/>
            </w14:solidFill>
          </w14:textFill>
        </w:rPr>
        <w:t>乙方及第三方需要收取的</w:t>
      </w:r>
      <w:r>
        <w:rPr>
          <w:rFonts w:hint="eastAsia" w:ascii="宋体" w:hAnsi="宋体" w:cs="宋体"/>
          <w:color w:val="000000" w:themeColor="text1"/>
          <w:sz w:val="24"/>
          <w:szCs w:val="24"/>
          <w:highlight w:val="none"/>
          <w14:textFill>
            <w14:solidFill>
              <w14:schemeClr w14:val="tx1"/>
            </w14:solidFill>
          </w14:textFill>
        </w:rPr>
        <w:t>全部费用均由乙方承担。</w:t>
      </w:r>
    </w:p>
    <w:p w14:paraId="20DB05C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1C35E1F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日之前</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日之前</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40C1EED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629D02A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60DF4DA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17A6955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p>
    <w:p w14:paraId="1A8A024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0B4D6AF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0D502E8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69B269D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0AC3DBD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21EC60D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5BDEAF5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554F6DA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51723DE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280A8EA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7E2E363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46D18DB5">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312A64C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14:paraId="43D9D31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1B145DA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2BF97FC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3B11F1ED">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438ABEA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4C4BFC9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36A0BE0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649F8F7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6353C91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67D30C9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03CBE68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298280A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4FF167B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6AF23C8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3CEC28B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2A2CDE2F">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4E651C79">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7BFA271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14:paraId="1C3E413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79402AD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5AEDFBA4">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63E802F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2A4EF83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377F5DF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5571CA5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13FB2323">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535AFDC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625FAC61">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1260CA2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5FA8BC8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42514C0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68B8C3A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6AF9684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3CA2043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133DFB52">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7D11E42A">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070A324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03914B83">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元 ☑</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620C904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元 ☑</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4BC69BE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无论甲方在任意时候（不限于本合同履行期间）发现存在违反本合同廉洁条款及供应商考核管理制度约定的行为，乙方均须向甲方一次性支付惩罚性违约金   .00元，如本金额与根据甲方供应商考核管理制度计算的违约金金额不一致，违约金金额以价高的为准。如乙方除需承担违反廉洁条款及供应商考核管理制度的违约责任外，同时存在其他违约行为，乙方仍须就其他违约行为承担相应违约责任。</w:t>
      </w:r>
    </w:p>
    <w:p w14:paraId="65C37CCD">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38A20BEB">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1281AC3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262EA76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76529395">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4686812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 xml:space="preserve"> 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3311A5C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 xml:space="preserve"> 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2C6E5DBA">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667BE320">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07112094">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05EA3306">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法定代表人（签字）：    </w:t>
      </w:r>
    </w:p>
    <w:p w14:paraId="43198D3C">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5FE55E99">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6F33EB34">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10BAFAC3">
      <w:pPr>
        <w:keepNext w:val="0"/>
        <w:keepLines w:val="0"/>
        <w:pageBreakBefore w:val="0"/>
        <w:kinsoku/>
        <w:wordWrap/>
        <w:overflowPunct/>
        <w:topLinePunct w:val="0"/>
        <w:autoSpaceDE/>
        <w:autoSpaceDN/>
        <w:bidi w:val="0"/>
        <w:adjustRightInd/>
        <w:snapToGrid/>
        <w:spacing w:line="440" w:lineRule="exact"/>
        <w:textAlignment w:val="auto"/>
        <w:rPr>
          <w:rFonts w:hint="default" w:ascii="宋体" w:hAnsi="宋体" w:eastAsia="宋体" w:cs="宋体"/>
          <w:color w:val="auto"/>
          <w:sz w:val="24"/>
          <w:szCs w:val="24"/>
          <w:lang w:val="en-US" w:eastAsia="zh-CN"/>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6450FBD0">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r>
        <w:rPr>
          <w:rFonts w:hint="eastAsia" w:ascii="黑体" w:hAnsi="黑体" w:eastAsia="黑体" w:cs="黑体"/>
          <w:sz w:val="32"/>
          <w:szCs w:val="32"/>
          <w:lang w:val="en-US" w:eastAsia="zh-CN"/>
        </w:rPr>
        <w:t>附件</w:t>
      </w:r>
    </w:p>
    <w:p w14:paraId="168CE20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17CB8BC1">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72001243">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C8AEFFF">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678A02A4">
      <w:pPr>
        <w:rPr>
          <w:rFonts w:hint="eastAsia" w:ascii="宋体" w:hAnsi="宋体" w:cs="宋体"/>
          <w:color w:val="auto"/>
        </w:rPr>
      </w:pPr>
    </w:p>
    <w:bookmarkEnd w:id="1"/>
    <w:p w14:paraId="35955023">
      <w:pPr>
        <w:rPr>
          <w:rFonts w:hint="eastAsia"/>
          <w:color w:val="auto"/>
        </w:rPr>
      </w:pPr>
    </w:p>
    <w:p w14:paraId="7269B6E8">
      <w:pPr>
        <w:jc w:val="center"/>
        <w:rPr>
          <w:b/>
          <w:color w:val="auto"/>
          <w:sz w:val="24"/>
        </w:rPr>
      </w:pPr>
      <w:r>
        <w:rPr>
          <w:b/>
          <w:color w:val="auto"/>
          <w:sz w:val="28"/>
          <w:szCs w:val="28"/>
        </w:rPr>
        <w:t>第一部分、开标一览表</w:t>
      </w:r>
    </w:p>
    <w:p w14:paraId="3272D69C">
      <w:pPr>
        <w:jc w:val="center"/>
        <w:rPr>
          <w:b/>
          <w:color w:val="auto"/>
          <w:sz w:val="24"/>
        </w:rPr>
      </w:pPr>
    </w:p>
    <w:p w14:paraId="298B673A">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016E4D9E">
      <w:pPr>
        <w:pStyle w:val="16"/>
        <w:rPr>
          <w:color w:val="auto"/>
        </w:rPr>
      </w:pPr>
    </w:p>
    <w:p w14:paraId="31B03680">
      <w:pPr>
        <w:adjustRightInd w:val="0"/>
        <w:snapToGrid w:val="0"/>
        <w:spacing w:line="360" w:lineRule="auto"/>
        <w:jc w:val="center"/>
        <w:rPr>
          <w:rFonts w:hint="eastAsia" w:ascii="宋体" w:hAnsi="宋体" w:cs="宋体"/>
          <w:b/>
          <w:color w:val="auto"/>
          <w:sz w:val="28"/>
          <w:szCs w:val="28"/>
        </w:rPr>
      </w:pPr>
    </w:p>
    <w:p w14:paraId="68AFC285">
      <w:pPr>
        <w:adjustRightInd w:val="0"/>
        <w:snapToGrid w:val="0"/>
        <w:spacing w:line="360" w:lineRule="auto"/>
        <w:jc w:val="center"/>
        <w:rPr>
          <w:rFonts w:hint="eastAsia" w:ascii="宋体" w:hAnsi="宋体" w:cs="宋体"/>
          <w:b/>
          <w:color w:val="auto"/>
          <w:sz w:val="28"/>
          <w:szCs w:val="28"/>
        </w:rPr>
      </w:pPr>
    </w:p>
    <w:p w14:paraId="7C2866BF">
      <w:pPr>
        <w:adjustRightInd w:val="0"/>
        <w:snapToGrid w:val="0"/>
        <w:spacing w:line="360" w:lineRule="auto"/>
        <w:jc w:val="center"/>
        <w:rPr>
          <w:rFonts w:hint="eastAsia" w:ascii="宋体" w:hAnsi="宋体" w:cs="宋体"/>
          <w:b/>
          <w:color w:val="auto"/>
          <w:sz w:val="28"/>
          <w:szCs w:val="28"/>
        </w:rPr>
      </w:pPr>
    </w:p>
    <w:p w14:paraId="615E578F">
      <w:pPr>
        <w:adjustRightInd w:val="0"/>
        <w:snapToGrid w:val="0"/>
        <w:spacing w:line="360" w:lineRule="auto"/>
        <w:jc w:val="center"/>
        <w:rPr>
          <w:rFonts w:hint="eastAsia" w:ascii="宋体" w:hAnsi="宋体" w:cs="宋体"/>
          <w:b/>
          <w:color w:val="auto"/>
          <w:sz w:val="28"/>
          <w:szCs w:val="28"/>
        </w:rPr>
      </w:pPr>
    </w:p>
    <w:p w14:paraId="066856DF">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31413198">
      <w:pPr>
        <w:pStyle w:val="15"/>
        <w:rPr>
          <w:rFonts w:hint="eastAsia"/>
          <w:lang w:eastAsia="zh-CN"/>
        </w:rPr>
      </w:pPr>
    </w:p>
    <w:p w14:paraId="019592F8">
      <w:pPr>
        <w:adjustRightInd w:val="0"/>
        <w:snapToGrid w:val="0"/>
        <w:spacing w:line="360" w:lineRule="auto"/>
        <w:jc w:val="center"/>
        <w:rPr>
          <w:rFonts w:hint="eastAsia" w:ascii="宋体" w:hAnsi="宋体" w:cs="宋体"/>
          <w:b/>
          <w:color w:val="auto"/>
          <w:sz w:val="24"/>
          <w:szCs w:val="20"/>
        </w:rPr>
      </w:pPr>
    </w:p>
    <w:p w14:paraId="7AB1D287">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19D9A224">
      <w:pPr>
        <w:adjustRightInd w:val="0"/>
        <w:snapToGrid w:val="0"/>
        <w:spacing w:line="360" w:lineRule="auto"/>
        <w:rPr>
          <w:rFonts w:hint="eastAsia" w:ascii="宋体" w:hAnsi="宋体" w:cs="宋体"/>
          <w:b/>
          <w:color w:val="auto"/>
          <w:sz w:val="28"/>
          <w:szCs w:val="28"/>
        </w:rPr>
      </w:pPr>
    </w:p>
    <w:p w14:paraId="39DAF27A">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685B83AE">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3588009D">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6A2C43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7A7A2B04">
      <w:pPr>
        <w:adjustRightInd w:val="0"/>
        <w:snapToGrid w:val="0"/>
        <w:spacing w:line="360" w:lineRule="auto"/>
        <w:ind w:firstLine="480" w:firstLineChars="200"/>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182B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3AD6F504">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6ADBF687">
      <w:pPr>
        <w:adjustRightInd w:val="0"/>
        <w:snapToGrid w:val="0"/>
        <w:spacing w:line="360" w:lineRule="auto"/>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78169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21BD33DC">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388ADC4B">
      <w:pPr>
        <w:adjustRightInd w:val="0"/>
        <w:snapToGrid w:val="0"/>
        <w:spacing w:line="360" w:lineRule="auto"/>
        <w:rPr>
          <w:rFonts w:hint="eastAsia" w:ascii="宋体" w:hAnsi="宋体" w:cs="宋体"/>
          <w:color w:val="auto"/>
          <w:sz w:val="24"/>
        </w:rPr>
      </w:pPr>
    </w:p>
    <w:p w14:paraId="4EF410B2">
      <w:pPr>
        <w:adjustRightInd w:val="0"/>
        <w:snapToGrid w:val="0"/>
        <w:spacing w:line="360" w:lineRule="auto"/>
        <w:rPr>
          <w:rFonts w:hint="eastAsia" w:ascii="宋体" w:hAnsi="宋体" w:cs="宋体"/>
          <w:color w:val="auto"/>
          <w:sz w:val="24"/>
        </w:rPr>
      </w:pPr>
    </w:p>
    <w:p w14:paraId="01D6C8A2">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209E3B">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166B55A9">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33DE4FC9">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5BD972E1">
      <w:pPr>
        <w:adjustRightInd w:val="0"/>
        <w:snapToGrid w:val="0"/>
        <w:spacing w:line="360" w:lineRule="auto"/>
        <w:rPr>
          <w:rFonts w:hint="eastAsia" w:ascii="宋体" w:hAnsi="宋体" w:cs="宋体"/>
          <w:b/>
          <w:color w:val="auto"/>
          <w:sz w:val="28"/>
          <w:szCs w:val="28"/>
        </w:rPr>
      </w:pPr>
    </w:p>
    <w:p w14:paraId="0D7AFB46">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46A4900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100809F4">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14:paraId="6935A6F5">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2987EC0D">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3051D8A1">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4A80FF2A">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67D8786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4B07B463">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076F71C1">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103CB81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789DC03F">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B6ACE0B">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18C54B1B">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41C88097">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443A3CF4">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241ED5E">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76F255">
      <w:pPr>
        <w:adjustRightInd w:val="0"/>
        <w:snapToGrid w:val="0"/>
        <w:spacing w:line="360" w:lineRule="auto"/>
        <w:jc w:val="center"/>
        <w:rPr>
          <w:rFonts w:hint="eastAsia" w:ascii="宋体" w:hAnsi="宋体" w:cs="宋体"/>
          <w:b/>
          <w:color w:val="auto"/>
          <w:sz w:val="24"/>
          <w:szCs w:val="20"/>
        </w:rPr>
      </w:pPr>
    </w:p>
    <w:p w14:paraId="30B66BA7">
      <w:pPr>
        <w:adjustRightInd w:val="0"/>
        <w:snapToGrid w:val="0"/>
        <w:spacing w:line="360" w:lineRule="auto"/>
        <w:rPr>
          <w:rFonts w:hint="eastAsia" w:ascii="宋体" w:hAnsi="宋体" w:cs="宋体"/>
          <w:b/>
          <w:color w:val="auto"/>
          <w:sz w:val="24"/>
          <w:szCs w:val="20"/>
        </w:rPr>
      </w:pPr>
    </w:p>
    <w:p w14:paraId="0D50DA8D">
      <w:pPr>
        <w:adjustRightInd w:val="0"/>
        <w:snapToGrid w:val="0"/>
        <w:spacing w:line="360" w:lineRule="auto"/>
        <w:rPr>
          <w:rFonts w:hint="eastAsia" w:ascii="宋体" w:hAnsi="宋体" w:cs="宋体"/>
          <w:b/>
          <w:color w:val="auto"/>
          <w:sz w:val="24"/>
          <w:szCs w:val="20"/>
        </w:rPr>
      </w:pPr>
    </w:p>
    <w:p w14:paraId="062C0D10">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3750B7E5">
      <w:pPr>
        <w:adjustRightInd w:val="0"/>
        <w:snapToGrid w:val="0"/>
        <w:spacing w:line="360" w:lineRule="auto"/>
        <w:jc w:val="center"/>
        <w:rPr>
          <w:rFonts w:hint="eastAsia" w:ascii="宋体" w:hAnsi="宋体" w:cs="宋体"/>
          <w:b/>
          <w:color w:val="auto"/>
          <w:sz w:val="24"/>
          <w:szCs w:val="20"/>
        </w:rPr>
      </w:pPr>
    </w:p>
    <w:p w14:paraId="05A0F057">
      <w:pPr>
        <w:pStyle w:val="4"/>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18699FB8">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717CFF33">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6C69E6B1">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0F4CDC25">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6ADFC4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330DDAE5">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16C398B4">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8BA54E5">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70A514C0">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25DC19E3">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03859723">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62B1F785">
      <w:pPr>
        <w:jc w:val="left"/>
        <w:rPr>
          <w:rFonts w:hint="eastAsia" w:ascii="宋体" w:hAnsi="宋体" w:eastAsia="宋体" w:cs="Times New Roman"/>
          <w:b w:val="0"/>
          <w:bCs w:val="0"/>
          <w:color w:val="auto"/>
          <w:kern w:val="2"/>
          <w:sz w:val="24"/>
          <w:szCs w:val="24"/>
          <w:lang w:val="en-US" w:eastAsia="zh-CN" w:bidi="ar-SA"/>
        </w:rPr>
      </w:pPr>
    </w:p>
    <w:p w14:paraId="47FB3CFC">
      <w:pPr>
        <w:jc w:val="left"/>
        <w:rPr>
          <w:rFonts w:hint="eastAsia" w:ascii="宋体" w:hAnsi="宋体" w:eastAsia="宋体" w:cs="Times New Roman"/>
          <w:b w:val="0"/>
          <w:bCs w:val="0"/>
          <w:color w:val="auto"/>
          <w:kern w:val="2"/>
          <w:sz w:val="24"/>
          <w:szCs w:val="24"/>
          <w:lang w:val="en-US" w:eastAsia="zh-CN" w:bidi="ar-SA"/>
        </w:rPr>
      </w:pPr>
    </w:p>
    <w:p w14:paraId="59901A1D">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1643FFBD">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0BE5A702">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14:paraId="510721AA">
      <w:pPr>
        <w:pStyle w:val="15"/>
        <w:rPr>
          <w:rFonts w:hint="eastAsia"/>
          <w:lang w:eastAsia="zh-CN"/>
        </w:rPr>
      </w:pPr>
    </w:p>
    <w:p w14:paraId="06DB0CA7">
      <w:pPr>
        <w:spacing w:before="120" w:beforeLines="50" w:after="120" w:afterLines="50" w:line="276" w:lineRule="auto"/>
        <w:jc w:val="center"/>
        <w:rPr>
          <w:b/>
          <w:color w:val="auto"/>
          <w:sz w:val="24"/>
        </w:rPr>
      </w:pPr>
      <w:r>
        <w:rPr>
          <w:b/>
          <w:color w:val="auto"/>
          <w:sz w:val="24"/>
        </w:rPr>
        <w:t>采购需求响应/偏离表</w:t>
      </w:r>
    </w:p>
    <w:p w14:paraId="7D7E809A">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0"/>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398148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1B026CC">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20CD9C14">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14:paraId="13A17B38">
            <w:pPr>
              <w:adjustRightInd w:val="0"/>
              <w:snapToGrid w:val="0"/>
              <w:spacing w:before="50" w:line="360" w:lineRule="auto"/>
              <w:jc w:val="center"/>
              <w:rPr>
                <w:color w:val="auto"/>
              </w:rPr>
            </w:pPr>
            <w:r>
              <w:rPr>
                <w:color w:val="auto"/>
              </w:rPr>
              <w:t>招标文件要求</w:t>
            </w:r>
          </w:p>
        </w:tc>
        <w:tc>
          <w:tcPr>
            <w:tcW w:w="962" w:type="pct"/>
            <w:noWrap w:val="0"/>
            <w:vAlign w:val="top"/>
          </w:tcPr>
          <w:p w14:paraId="64365777">
            <w:pPr>
              <w:adjustRightInd w:val="0"/>
              <w:snapToGrid w:val="0"/>
              <w:spacing w:before="50" w:line="360" w:lineRule="auto"/>
              <w:jc w:val="center"/>
              <w:rPr>
                <w:color w:val="auto"/>
              </w:rPr>
            </w:pPr>
            <w:r>
              <w:rPr>
                <w:color w:val="auto"/>
              </w:rPr>
              <w:t>投标文件应答</w:t>
            </w:r>
          </w:p>
        </w:tc>
        <w:tc>
          <w:tcPr>
            <w:tcW w:w="905" w:type="pct"/>
            <w:noWrap w:val="0"/>
            <w:vAlign w:val="center"/>
          </w:tcPr>
          <w:p w14:paraId="715E9691">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66CE6E">
            <w:pPr>
              <w:adjustRightInd w:val="0"/>
              <w:snapToGrid w:val="0"/>
              <w:spacing w:before="50" w:line="360" w:lineRule="auto"/>
              <w:ind w:left="-88" w:leftChars="-42"/>
              <w:jc w:val="center"/>
              <w:rPr>
                <w:color w:val="auto"/>
                <w:szCs w:val="21"/>
              </w:rPr>
            </w:pPr>
            <w:r>
              <w:rPr>
                <w:color w:val="auto"/>
                <w:szCs w:val="21"/>
              </w:rPr>
              <w:t>偏离说明</w:t>
            </w:r>
          </w:p>
        </w:tc>
      </w:tr>
      <w:tr w14:paraId="6CB965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18991144">
            <w:pPr>
              <w:adjustRightInd w:val="0"/>
              <w:snapToGrid w:val="0"/>
              <w:spacing w:before="50" w:line="360" w:lineRule="auto"/>
              <w:ind w:left="-88" w:leftChars="-42"/>
              <w:jc w:val="center"/>
              <w:rPr>
                <w:color w:val="auto"/>
                <w:szCs w:val="21"/>
              </w:rPr>
            </w:pPr>
          </w:p>
        </w:tc>
        <w:tc>
          <w:tcPr>
            <w:tcW w:w="1123" w:type="pct"/>
            <w:noWrap w:val="0"/>
            <w:vAlign w:val="center"/>
          </w:tcPr>
          <w:p w14:paraId="6A90705A">
            <w:pPr>
              <w:adjustRightInd w:val="0"/>
              <w:snapToGrid w:val="0"/>
              <w:spacing w:before="50" w:line="360" w:lineRule="auto"/>
              <w:ind w:left="-88" w:leftChars="-42"/>
              <w:jc w:val="center"/>
              <w:rPr>
                <w:color w:val="auto"/>
                <w:szCs w:val="21"/>
              </w:rPr>
            </w:pPr>
          </w:p>
        </w:tc>
        <w:tc>
          <w:tcPr>
            <w:tcW w:w="1000" w:type="pct"/>
            <w:noWrap w:val="0"/>
            <w:vAlign w:val="center"/>
          </w:tcPr>
          <w:p w14:paraId="04271540">
            <w:pPr>
              <w:adjustRightInd w:val="0"/>
              <w:snapToGrid w:val="0"/>
              <w:spacing w:before="50" w:line="360" w:lineRule="auto"/>
              <w:ind w:left="-88" w:leftChars="-42"/>
              <w:jc w:val="center"/>
              <w:rPr>
                <w:color w:val="auto"/>
                <w:szCs w:val="21"/>
              </w:rPr>
            </w:pPr>
          </w:p>
        </w:tc>
        <w:tc>
          <w:tcPr>
            <w:tcW w:w="962" w:type="pct"/>
            <w:noWrap w:val="0"/>
            <w:vAlign w:val="center"/>
          </w:tcPr>
          <w:p w14:paraId="5E622A19">
            <w:pPr>
              <w:adjustRightInd w:val="0"/>
              <w:snapToGrid w:val="0"/>
              <w:spacing w:before="50" w:line="360" w:lineRule="auto"/>
              <w:ind w:left="-88" w:leftChars="-42"/>
              <w:jc w:val="center"/>
              <w:rPr>
                <w:color w:val="auto"/>
                <w:szCs w:val="21"/>
              </w:rPr>
            </w:pPr>
          </w:p>
        </w:tc>
        <w:tc>
          <w:tcPr>
            <w:tcW w:w="905" w:type="pct"/>
            <w:noWrap w:val="0"/>
            <w:vAlign w:val="center"/>
          </w:tcPr>
          <w:p w14:paraId="2738D904">
            <w:pPr>
              <w:adjustRightInd w:val="0"/>
              <w:snapToGrid w:val="0"/>
              <w:spacing w:before="50" w:line="360" w:lineRule="auto"/>
              <w:ind w:left="-88" w:leftChars="-42"/>
              <w:jc w:val="center"/>
              <w:rPr>
                <w:color w:val="auto"/>
                <w:szCs w:val="21"/>
              </w:rPr>
            </w:pPr>
          </w:p>
        </w:tc>
        <w:tc>
          <w:tcPr>
            <w:tcW w:w="634" w:type="pct"/>
            <w:noWrap w:val="0"/>
            <w:vAlign w:val="center"/>
          </w:tcPr>
          <w:p w14:paraId="3CC471ED">
            <w:pPr>
              <w:adjustRightInd w:val="0"/>
              <w:snapToGrid w:val="0"/>
              <w:spacing w:before="50" w:line="360" w:lineRule="auto"/>
              <w:ind w:left="-88" w:leftChars="-42"/>
              <w:jc w:val="center"/>
              <w:rPr>
                <w:color w:val="auto"/>
                <w:szCs w:val="21"/>
              </w:rPr>
            </w:pPr>
          </w:p>
        </w:tc>
      </w:tr>
      <w:tr w14:paraId="1D24B0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11589AC7">
            <w:pPr>
              <w:adjustRightInd w:val="0"/>
              <w:snapToGrid w:val="0"/>
              <w:spacing w:before="50" w:line="360" w:lineRule="auto"/>
              <w:ind w:left="-88" w:leftChars="-42"/>
              <w:jc w:val="center"/>
              <w:rPr>
                <w:color w:val="auto"/>
                <w:szCs w:val="21"/>
              </w:rPr>
            </w:pPr>
          </w:p>
        </w:tc>
        <w:tc>
          <w:tcPr>
            <w:tcW w:w="1123" w:type="pct"/>
            <w:noWrap w:val="0"/>
            <w:vAlign w:val="center"/>
          </w:tcPr>
          <w:p w14:paraId="0034D4B1">
            <w:pPr>
              <w:adjustRightInd w:val="0"/>
              <w:snapToGrid w:val="0"/>
              <w:spacing w:before="50" w:line="360" w:lineRule="auto"/>
              <w:ind w:left="-88" w:leftChars="-42"/>
              <w:jc w:val="center"/>
              <w:rPr>
                <w:color w:val="auto"/>
                <w:szCs w:val="21"/>
              </w:rPr>
            </w:pPr>
          </w:p>
        </w:tc>
        <w:tc>
          <w:tcPr>
            <w:tcW w:w="1000" w:type="pct"/>
            <w:noWrap w:val="0"/>
            <w:vAlign w:val="center"/>
          </w:tcPr>
          <w:p w14:paraId="4C6754B5">
            <w:pPr>
              <w:adjustRightInd w:val="0"/>
              <w:snapToGrid w:val="0"/>
              <w:spacing w:before="50" w:line="360" w:lineRule="auto"/>
              <w:ind w:left="-88" w:leftChars="-42"/>
              <w:jc w:val="center"/>
              <w:rPr>
                <w:color w:val="auto"/>
                <w:szCs w:val="21"/>
              </w:rPr>
            </w:pPr>
          </w:p>
        </w:tc>
        <w:tc>
          <w:tcPr>
            <w:tcW w:w="962" w:type="pct"/>
            <w:noWrap w:val="0"/>
            <w:vAlign w:val="center"/>
          </w:tcPr>
          <w:p w14:paraId="1A255DC2">
            <w:pPr>
              <w:adjustRightInd w:val="0"/>
              <w:snapToGrid w:val="0"/>
              <w:spacing w:before="50" w:line="360" w:lineRule="auto"/>
              <w:ind w:left="-88" w:leftChars="-42"/>
              <w:jc w:val="center"/>
              <w:rPr>
                <w:color w:val="auto"/>
                <w:szCs w:val="21"/>
              </w:rPr>
            </w:pPr>
          </w:p>
        </w:tc>
        <w:tc>
          <w:tcPr>
            <w:tcW w:w="905" w:type="pct"/>
            <w:noWrap w:val="0"/>
            <w:vAlign w:val="center"/>
          </w:tcPr>
          <w:p w14:paraId="1C19F4F4">
            <w:pPr>
              <w:adjustRightInd w:val="0"/>
              <w:snapToGrid w:val="0"/>
              <w:spacing w:before="50" w:line="360" w:lineRule="auto"/>
              <w:ind w:left="-88" w:leftChars="-42"/>
              <w:jc w:val="center"/>
              <w:rPr>
                <w:color w:val="auto"/>
                <w:szCs w:val="21"/>
              </w:rPr>
            </w:pPr>
          </w:p>
        </w:tc>
        <w:tc>
          <w:tcPr>
            <w:tcW w:w="634" w:type="pct"/>
            <w:noWrap w:val="0"/>
            <w:vAlign w:val="center"/>
          </w:tcPr>
          <w:p w14:paraId="1DB72303">
            <w:pPr>
              <w:adjustRightInd w:val="0"/>
              <w:snapToGrid w:val="0"/>
              <w:spacing w:before="50" w:line="360" w:lineRule="auto"/>
              <w:ind w:left="-88" w:leftChars="-42"/>
              <w:jc w:val="center"/>
              <w:rPr>
                <w:color w:val="auto"/>
                <w:szCs w:val="21"/>
              </w:rPr>
            </w:pPr>
          </w:p>
        </w:tc>
      </w:tr>
      <w:tr w14:paraId="69E4D2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64DFE605">
            <w:pPr>
              <w:adjustRightInd w:val="0"/>
              <w:snapToGrid w:val="0"/>
              <w:spacing w:before="50" w:line="360" w:lineRule="auto"/>
              <w:ind w:left="-88" w:leftChars="-42"/>
              <w:jc w:val="center"/>
              <w:rPr>
                <w:color w:val="auto"/>
                <w:szCs w:val="21"/>
              </w:rPr>
            </w:pPr>
          </w:p>
        </w:tc>
        <w:tc>
          <w:tcPr>
            <w:tcW w:w="1123" w:type="pct"/>
            <w:noWrap w:val="0"/>
            <w:vAlign w:val="center"/>
          </w:tcPr>
          <w:p w14:paraId="63674615">
            <w:pPr>
              <w:adjustRightInd w:val="0"/>
              <w:snapToGrid w:val="0"/>
              <w:spacing w:before="50" w:line="360" w:lineRule="auto"/>
              <w:ind w:left="-88" w:leftChars="-42"/>
              <w:jc w:val="center"/>
              <w:rPr>
                <w:color w:val="auto"/>
                <w:szCs w:val="21"/>
              </w:rPr>
            </w:pPr>
          </w:p>
        </w:tc>
        <w:tc>
          <w:tcPr>
            <w:tcW w:w="1000" w:type="pct"/>
            <w:noWrap w:val="0"/>
            <w:vAlign w:val="center"/>
          </w:tcPr>
          <w:p w14:paraId="4F855F41">
            <w:pPr>
              <w:adjustRightInd w:val="0"/>
              <w:snapToGrid w:val="0"/>
              <w:spacing w:before="50" w:line="360" w:lineRule="auto"/>
              <w:ind w:left="-88" w:leftChars="-42"/>
              <w:jc w:val="center"/>
              <w:rPr>
                <w:color w:val="auto"/>
                <w:szCs w:val="21"/>
              </w:rPr>
            </w:pPr>
          </w:p>
        </w:tc>
        <w:tc>
          <w:tcPr>
            <w:tcW w:w="962" w:type="pct"/>
            <w:noWrap w:val="0"/>
            <w:vAlign w:val="center"/>
          </w:tcPr>
          <w:p w14:paraId="7D19764F">
            <w:pPr>
              <w:adjustRightInd w:val="0"/>
              <w:snapToGrid w:val="0"/>
              <w:spacing w:before="50" w:line="360" w:lineRule="auto"/>
              <w:ind w:left="-88" w:leftChars="-42"/>
              <w:jc w:val="center"/>
              <w:rPr>
                <w:color w:val="auto"/>
                <w:szCs w:val="21"/>
              </w:rPr>
            </w:pPr>
          </w:p>
        </w:tc>
        <w:tc>
          <w:tcPr>
            <w:tcW w:w="905" w:type="pct"/>
            <w:noWrap w:val="0"/>
            <w:vAlign w:val="center"/>
          </w:tcPr>
          <w:p w14:paraId="387E2D80">
            <w:pPr>
              <w:adjustRightInd w:val="0"/>
              <w:snapToGrid w:val="0"/>
              <w:spacing w:before="50" w:line="360" w:lineRule="auto"/>
              <w:ind w:left="-88" w:leftChars="-42"/>
              <w:jc w:val="center"/>
              <w:rPr>
                <w:color w:val="auto"/>
                <w:szCs w:val="21"/>
              </w:rPr>
            </w:pPr>
          </w:p>
        </w:tc>
        <w:tc>
          <w:tcPr>
            <w:tcW w:w="634" w:type="pct"/>
            <w:noWrap w:val="0"/>
            <w:vAlign w:val="center"/>
          </w:tcPr>
          <w:p w14:paraId="1F8879A3">
            <w:pPr>
              <w:adjustRightInd w:val="0"/>
              <w:snapToGrid w:val="0"/>
              <w:spacing w:before="50" w:line="360" w:lineRule="auto"/>
              <w:ind w:left="-88" w:leftChars="-42"/>
              <w:jc w:val="center"/>
              <w:rPr>
                <w:color w:val="auto"/>
                <w:szCs w:val="21"/>
              </w:rPr>
            </w:pPr>
          </w:p>
        </w:tc>
      </w:tr>
      <w:tr w14:paraId="0DF1FE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749B4687">
            <w:pPr>
              <w:rPr>
                <w:b/>
                <w:color w:val="auto"/>
              </w:rPr>
            </w:pPr>
          </w:p>
        </w:tc>
      </w:tr>
    </w:tbl>
    <w:p w14:paraId="697F230A">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5716E13">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14:paraId="139ED8A9">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14:paraId="106FD182">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3136756E">
      <w:pPr>
        <w:pStyle w:val="16"/>
        <w:rPr>
          <w:color w:val="auto"/>
        </w:rPr>
      </w:pPr>
    </w:p>
    <w:p w14:paraId="73D1C885">
      <w:pPr>
        <w:pStyle w:val="15"/>
        <w:rPr>
          <w:rFonts w:hint="eastAsia"/>
          <w:lang w:eastAsia="zh-CN"/>
        </w:rPr>
      </w:pPr>
    </w:p>
    <w:p w14:paraId="6FE04B10"/>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D478A">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364D75">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1364D75">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04AA74B6">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15414">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6C99FB">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D6C99FB">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6A2EFDEE">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413EB">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4653F41"/>
    <w:rsid w:val="04B72FC8"/>
    <w:rsid w:val="06064044"/>
    <w:rsid w:val="06E91EC4"/>
    <w:rsid w:val="08135FFD"/>
    <w:rsid w:val="086F75C9"/>
    <w:rsid w:val="0A3F4F3C"/>
    <w:rsid w:val="0E331420"/>
    <w:rsid w:val="0EDD1643"/>
    <w:rsid w:val="0FB9029C"/>
    <w:rsid w:val="0FC44DAF"/>
    <w:rsid w:val="10914EF9"/>
    <w:rsid w:val="12080B62"/>
    <w:rsid w:val="12994AC5"/>
    <w:rsid w:val="129F447F"/>
    <w:rsid w:val="12C86253"/>
    <w:rsid w:val="15060AC8"/>
    <w:rsid w:val="15675A4C"/>
    <w:rsid w:val="15F259FD"/>
    <w:rsid w:val="17F91BB8"/>
    <w:rsid w:val="1AF56B46"/>
    <w:rsid w:val="1B7A31D2"/>
    <w:rsid w:val="1E79119D"/>
    <w:rsid w:val="1F334F58"/>
    <w:rsid w:val="1F796B24"/>
    <w:rsid w:val="1FE73549"/>
    <w:rsid w:val="2038045E"/>
    <w:rsid w:val="20B41DA7"/>
    <w:rsid w:val="272B6E6C"/>
    <w:rsid w:val="27CF2BB7"/>
    <w:rsid w:val="28E81B29"/>
    <w:rsid w:val="29B45A41"/>
    <w:rsid w:val="2C0A2E19"/>
    <w:rsid w:val="2C7642D0"/>
    <w:rsid w:val="2C902767"/>
    <w:rsid w:val="2DD77C64"/>
    <w:rsid w:val="2DDA1E78"/>
    <w:rsid w:val="2DE00B8C"/>
    <w:rsid w:val="2EAC037F"/>
    <w:rsid w:val="2EB67A5C"/>
    <w:rsid w:val="302741D2"/>
    <w:rsid w:val="308B184D"/>
    <w:rsid w:val="33384C93"/>
    <w:rsid w:val="340F06E9"/>
    <w:rsid w:val="372F7378"/>
    <w:rsid w:val="39182A16"/>
    <w:rsid w:val="397348CD"/>
    <w:rsid w:val="3B3B544D"/>
    <w:rsid w:val="3B654F2B"/>
    <w:rsid w:val="3BB72BAE"/>
    <w:rsid w:val="3C8A61A4"/>
    <w:rsid w:val="3D5E17FF"/>
    <w:rsid w:val="3E1F0DA4"/>
    <w:rsid w:val="3E584E51"/>
    <w:rsid w:val="3EBE1ADE"/>
    <w:rsid w:val="403B4B34"/>
    <w:rsid w:val="414D7889"/>
    <w:rsid w:val="41BB0BAE"/>
    <w:rsid w:val="42925929"/>
    <w:rsid w:val="429A4992"/>
    <w:rsid w:val="435B161D"/>
    <w:rsid w:val="43B25DAC"/>
    <w:rsid w:val="43BB3965"/>
    <w:rsid w:val="44771DFD"/>
    <w:rsid w:val="45D569C3"/>
    <w:rsid w:val="46E52F77"/>
    <w:rsid w:val="4AEE1A11"/>
    <w:rsid w:val="4B7F39F4"/>
    <w:rsid w:val="4BAE646F"/>
    <w:rsid w:val="4CAC1559"/>
    <w:rsid w:val="4D754257"/>
    <w:rsid w:val="4DCD6AB3"/>
    <w:rsid w:val="50216DCD"/>
    <w:rsid w:val="50540C20"/>
    <w:rsid w:val="51AC28BD"/>
    <w:rsid w:val="53984ABA"/>
    <w:rsid w:val="581A7C72"/>
    <w:rsid w:val="583A4BD7"/>
    <w:rsid w:val="58E10166"/>
    <w:rsid w:val="59C74B1F"/>
    <w:rsid w:val="5D484535"/>
    <w:rsid w:val="611B6B1B"/>
    <w:rsid w:val="62C222C2"/>
    <w:rsid w:val="632D7C40"/>
    <w:rsid w:val="64133D6A"/>
    <w:rsid w:val="676A25AA"/>
    <w:rsid w:val="678E4F5D"/>
    <w:rsid w:val="67DF33A4"/>
    <w:rsid w:val="680E122C"/>
    <w:rsid w:val="6A4E1D63"/>
    <w:rsid w:val="6D3A6E62"/>
    <w:rsid w:val="6DE375E4"/>
    <w:rsid w:val="6E8E5287"/>
    <w:rsid w:val="6FBE332C"/>
    <w:rsid w:val="71554367"/>
    <w:rsid w:val="71584067"/>
    <w:rsid w:val="71D40F4F"/>
    <w:rsid w:val="735201FF"/>
    <w:rsid w:val="737B50A4"/>
    <w:rsid w:val="73F40E72"/>
    <w:rsid w:val="74566F5C"/>
    <w:rsid w:val="7500222B"/>
    <w:rsid w:val="750117A8"/>
    <w:rsid w:val="755B2270"/>
    <w:rsid w:val="76920D75"/>
    <w:rsid w:val="77423DFF"/>
    <w:rsid w:val="783B5EA9"/>
    <w:rsid w:val="79EB699D"/>
    <w:rsid w:val="7B0620DE"/>
    <w:rsid w:val="7BBF44BB"/>
    <w:rsid w:val="7BF15CE4"/>
    <w:rsid w:val="7C3A27E5"/>
    <w:rsid w:val="7D9727DD"/>
    <w:rsid w:val="7EFB4F6E"/>
    <w:rsid w:val="7F1A5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2"/>
    <w:basedOn w:val="1"/>
    <w:next w:val="1"/>
    <w:qFormat/>
    <w:uiPriority w:val="0"/>
    <w:pPr>
      <w:keepNext/>
      <w:keepLines/>
      <w:spacing w:line="360" w:lineRule="auto"/>
      <w:outlineLvl w:val="1"/>
    </w:pPr>
    <w:rPr>
      <w:rFonts w:ascii="Arial" w:hAnsi="Arial"/>
      <w:b/>
      <w:bCs/>
      <w:sz w:val="24"/>
      <w:szCs w:val="32"/>
    </w:rPr>
  </w:style>
  <w:style w:type="paragraph" w:styleId="4">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5">
    <w:name w:val="Body Text Indent"/>
    <w:basedOn w:val="1"/>
    <w:autoRedefine/>
    <w:qFormat/>
    <w:uiPriority w:val="99"/>
    <w:pPr>
      <w:spacing w:line="400" w:lineRule="exact"/>
      <w:ind w:left="630"/>
    </w:pPr>
    <w:rPr>
      <w:rFonts w:ascii="楷体_GB2312"/>
      <w:sz w:val="30"/>
      <w:szCs w:val="30"/>
    </w:rPr>
  </w:style>
  <w:style w:type="paragraph" w:styleId="6">
    <w:name w:val="footer"/>
    <w:basedOn w:val="1"/>
    <w:autoRedefine/>
    <w:qFormat/>
    <w:uiPriority w:val="0"/>
    <w:pPr>
      <w:tabs>
        <w:tab w:val="center" w:pos="4153"/>
        <w:tab w:val="right" w:pos="8306"/>
      </w:tabs>
      <w:snapToGrid w:val="0"/>
      <w:jc w:val="left"/>
    </w:pPr>
    <w:rPr>
      <w:kern w:val="0"/>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rPr>
      <w:sz w:val="24"/>
    </w:rPr>
  </w:style>
  <w:style w:type="paragraph" w:styleId="9">
    <w:name w:val="Body Text First Indent 2"/>
    <w:basedOn w:val="5"/>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customStyle="1" w:styleId="12">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3">
    <w:name w:val="Default"/>
    <w:next w:val="14"/>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4">
    <w:name w:val="大标题"/>
    <w:basedOn w:val="1"/>
    <w:next w:val="9"/>
    <w:autoRedefine/>
    <w:qFormat/>
    <w:uiPriority w:val="0"/>
    <w:pPr>
      <w:jc w:val="center"/>
    </w:pPr>
    <w:rPr>
      <w:rFonts w:ascii="Arial" w:hAnsi="Arial" w:eastAsia="宋体"/>
      <w:b/>
      <w:sz w:val="28"/>
      <w:szCs w:val="24"/>
    </w:rPr>
  </w:style>
  <w:style w:type="paragraph" w:customStyle="1" w:styleId="15">
    <w:name w:val="列出段落1"/>
    <w:basedOn w:val="1"/>
    <w:autoRedefine/>
    <w:qFormat/>
    <w:uiPriority w:val="99"/>
    <w:pPr>
      <w:ind w:firstLine="420" w:firstLineChars="200"/>
    </w:pPr>
  </w:style>
  <w:style w:type="paragraph" w:customStyle="1" w:styleId="16">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7">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9216</Words>
  <Characters>9822</Characters>
  <Lines>0</Lines>
  <Paragraphs>0</Paragraphs>
  <TotalTime>0</TotalTime>
  <ScaleCrop>false</ScaleCrop>
  <LinksUpToDate>false</LinksUpToDate>
  <CharactersWithSpaces>10792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2024-10-25T03:00:37Z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3505A2AB25E048A4A9B0E6A6741CA1BA_11</vt:lpwstr>
  </property>
</Properties>
</file>