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（输血输液加温系统医院公开挂网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输血输液加温系统</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输血输液加温系统</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输血输液加温系统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1、主机结构：一台机器可实现加温功能、加压功能、断流检测功能（非多台机器拼凑），主机预留接口不少于6个。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1.1设备用途：对液体进行压力控制下的持续加温加压快速输注。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1.2主机预留：双通道加温功能接口+双通道加压输注功能接口+双通道气泡断流检测功能接口。</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TFT彩色液晶屏显示，屏幕≥3.6寸。</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2、预留双通道输血输液加温功能接口。</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2.1加温管的稳定输出温度范围为33℃～43℃。</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2.2温度调节步长≤0.6℃，温度精度≤0.1℃。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2.3加温管规格：内径≤3.5mm，可定制；长度≤1.3米。</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2.4加温管不需要一次性耗材，可重复性使用。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2.5加温管及加温管电缆线长度≥1.5米，推拉式自锁接头，方便快速更换。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2.6具有过温保护提醒功能，过温能紧急停止加温，并且有过温报警提醒声音和屏幕显示，按下“加温开关”按键解除报警，当前功能处于待机状态。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2.7主机屏幕显示设置温度、实时监测温度、温度报警信息以及加压功能和断流检测功能信息。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3、除了加温功能、加压功能，主机预留双通道断流检测功能接口</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4、输注加压范围0-300mmhg, 调节步长5mmHg±1。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4.1压力精度≤1mmHg，压力误差≤±3mmHg。</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4.2具有过压保护提醒功能，过压能紧急放气，并且有过压报警提醒声音和屏幕显示，按下“放气”按键解除报警，当前功能处于待机状态，加温功能持续工作。</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4.3主机屏幕显示加压袋设置压力值、实时压力值、压力报警信息以及加温功能和断流检测功能信息。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5、工作环境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5.1环境温度　+5℃～+40℃。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5.2相对湿度　≤80%。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5.3大气压力  700hPa～1060hPa。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5.4工作电源　AC220V 50Hz。</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5.5额定输入功率：≤180VA。</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输血输液加温系统</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输血输液加温系统</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输血输液加温系统</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套</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FF0000"/>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w:t>
      </w:r>
      <w:r>
        <w:rPr>
          <w:rFonts w:hint="eastAsia" w:ascii="宋体" w:hAnsi="宋体" w:eastAsia="宋体" w:cs="宋体"/>
          <w:color w:val="FF0000"/>
          <w:sz w:val="24"/>
          <w:szCs w:val="24"/>
          <w:lang w:val="en-US" w:eastAsia="zh-CN"/>
        </w:rPr>
        <w:t>如因乙方未提供发票，甲方有权顺延付款期限，</w:t>
      </w:r>
      <w:r>
        <w:rPr>
          <w:rFonts w:hint="eastAsia" w:ascii="宋体" w:hAnsi="宋体" w:eastAsia="宋体" w:cs="宋体"/>
          <w:color w:val="auto"/>
          <w:sz w:val="24"/>
          <w:szCs w:val="24"/>
          <w:lang w:val="en-US" w:eastAsia="zh-CN"/>
        </w:rPr>
        <w:t>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eastAsia="宋体" w:cs="宋体"/>
          <w:color w:val="FF0000"/>
          <w:sz w:val="24"/>
          <w:szCs w:val="24"/>
          <w:lang w:val="en-US" w:eastAsia="zh-CN"/>
        </w:rPr>
        <w:t>收款银行</w:t>
      </w:r>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如双方在履行本合同过程中发生争议</w:t>
      </w:r>
      <w:r>
        <w:rPr>
          <w:rFonts w:hint="eastAsia" w:ascii="宋体" w:hAnsi="宋体" w:eastAsia="宋体" w:cs="宋体"/>
          <w:color w:val="auto"/>
          <w:sz w:val="24"/>
          <w:szCs w:val="24"/>
          <w:lang w:val="en-US" w:eastAsia="zh-CN"/>
        </w:rPr>
        <w:t>，双方应先协商解决，协商解决不成的，</w:t>
      </w:r>
      <w:r>
        <w:rPr>
          <w:rFonts w:hint="eastAsia" w:ascii="宋体" w:hAnsi="宋体" w:eastAsia="宋体" w:cs="宋体"/>
          <w:color w:val="0000FF"/>
          <w:sz w:val="24"/>
          <w:szCs w:val="24"/>
          <w:lang w:val="en-US" w:eastAsia="zh-CN"/>
        </w:rPr>
        <w:t>任一方均可向</w:t>
      </w:r>
      <w:r>
        <w:rPr>
          <w:rFonts w:hint="eastAsia" w:ascii="宋体" w:hAnsi="宋体" w:eastAsia="宋体" w:cs="宋体"/>
          <w:color w:val="auto"/>
          <w:sz w:val="24"/>
          <w:szCs w:val="24"/>
          <w:lang w:val="en-US" w:eastAsia="zh-CN"/>
        </w:rPr>
        <w:t>甲方所在地有管辖权的人民法院</w:t>
      </w:r>
      <w:r>
        <w:rPr>
          <w:rFonts w:hint="eastAsia" w:ascii="宋体" w:hAnsi="宋体" w:eastAsia="宋体" w:cs="宋体"/>
          <w:color w:val="FF0000"/>
          <w:sz w:val="24"/>
          <w:szCs w:val="24"/>
          <w:lang w:val="en-US" w:eastAsia="zh-CN"/>
        </w:rPr>
        <w:t>提起诉讼解决</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bookmarkStart w:id="4" w:name="_GoBack"/>
      <w:bookmarkEnd w:id="4"/>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21119F"/>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611B6B1B"/>
    <w:rsid w:val="64133D6A"/>
    <w:rsid w:val="678E4F5D"/>
    <w:rsid w:val="680E122C"/>
    <w:rsid w:val="6DE375E4"/>
    <w:rsid w:val="6E8E5287"/>
    <w:rsid w:val="6FBE332C"/>
    <w:rsid w:val="71554367"/>
    <w:rsid w:val="71584067"/>
    <w:rsid w:val="735201FF"/>
    <w:rsid w:val="737B50A4"/>
    <w:rsid w:val="73F40E72"/>
    <w:rsid w:val="73FF6D1D"/>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2024-01-26T00:57:33Z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