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（插件式麻醉监护仪医院公开挂网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插件式麻醉监护仪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插件式麻醉监护仪</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插件式麻醉监护仪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autoSpaceDE w:val="0"/>
        <w:autoSpaceDN w:val="0"/>
        <w:adjustRightInd w:val="0"/>
        <w:spacing w:line="360" w:lineRule="auto"/>
        <w:ind w:firstLine="482" w:firstLineChars="200"/>
        <w:rPr>
          <w:rFonts w:hint="default" w:cs="宋体" w:asciiTheme="minorEastAsia" w:hAnsiTheme="minorEastAsia"/>
          <w:b/>
          <w:sz w:val="24"/>
          <w:szCs w:val="24"/>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一、</w:t>
      </w:r>
      <w:r>
        <w:rPr>
          <w:rFonts w:hint="eastAsia" w:cs="宋体" w:asciiTheme="minorEastAsia" w:hAnsiTheme="minorEastAsia"/>
          <w:b w:val="0"/>
          <w:bCs/>
          <w:sz w:val="24"/>
          <w:szCs w:val="24"/>
          <w:lang w:val="en-US" w:eastAsia="zh-CN"/>
        </w:rPr>
        <w:t>除监护仪本身屏幕外，另配置≥15.6英寸显示器四台；配置BIS模块两个，可监测麻醉深度；配备PICCO模块一个，可监测持续心输出量。</w:t>
      </w:r>
    </w:p>
    <w:p>
      <w:pPr>
        <w:spacing w:line="360" w:lineRule="auto"/>
        <w:ind w:firstLine="482" w:firstLineChars="200"/>
        <w:rPr>
          <w:rFonts w:hint="eastAsia" w:cs="宋体" w:asciiTheme="minorEastAsia" w:hAnsiTheme="minorEastAsia"/>
          <w:b/>
          <w:sz w:val="24"/>
          <w:szCs w:val="24"/>
        </w:rPr>
      </w:pPr>
      <w:r>
        <w:rPr>
          <w:rFonts w:hint="eastAsia" w:cs="宋体" w:asciiTheme="minorEastAsia" w:hAnsiTheme="minorEastAsia"/>
          <w:b/>
          <w:sz w:val="24"/>
          <w:szCs w:val="24"/>
          <w:lang w:eastAsia="zh-CN"/>
        </w:rPr>
        <w:t>二、</w:t>
      </w:r>
      <w:r>
        <w:rPr>
          <w:rFonts w:hint="eastAsia" w:cs="宋体" w:asciiTheme="minorEastAsia" w:hAnsiTheme="minorEastAsia"/>
          <w:b/>
          <w:sz w:val="24"/>
          <w:szCs w:val="24"/>
        </w:rPr>
        <w:t>监护仪结构：</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1.模块化插件式床边监护仪，主机、显示屏和插件槽一体化设计，主机插槽数≥6个；≥15.6英寸彩色电容触摸屏，高分辨率</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≥1920×1080像素，≥10通道显示，显示屏亮度自动调节，屏幕支持手势滑动操作，支持穿戴医用防护手套操作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2.监护仪主机（非辅助插件箱）每个槽位均具备插件模块红外通讯接口以及金属硬件通讯接口（非供电接口），保证模块通讯速率及稳定性，提供监护仪主机插槽图片证明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3.采用无风扇设计，可内置高能锂电池，供电时间≥2小时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4.配置≥4个USB接口，支持连接存储介质、鼠标、键盘、条码扫描枪等USB设备</w:t>
      </w:r>
    </w:p>
    <w:p>
      <w:pPr>
        <w:spacing w:line="360" w:lineRule="auto"/>
        <w:ind w:firstLine="482" w:firstLineChars="200"/>
        <w:rPr>
          <w:rFonts w:hint="eastAsia" w:cs="宋体" w:asciiTheme="minorEastAsia" w:hAnsiTheme="minorEastAsia"/>
          <w:b/>
          <w:sz w:val="24"/>
          <w:szCs w:val="24"/>
        </w:rPr>
      </w:pPr>
      <w:r>
        <w:rPr>
          <w:rFonts w:hint="eastAsia" w:cs="宋体" w:asciiTheme="minorEastAsia" w:hAnsiTheme="minorEastAsia"/>
          <w:b/>
          <w:sz w:val="24"/>
          <w:szCs w:val="24"/>
          <w:lang w:val="en-US" w:eastAsia="zh-CN"/>
        </w:rPr>
        <w:t>三、</w:t>
      </w:r>
      <w:r>
        <w:rPr>
          <w:rFonts w:hint="eastAsia" w:cs="宋体" w:asciiTheme="minorEastAsia" w:hAnsiTheme="minorEastAsia"/>
          <w:b/>
          <w:sz w:val="24"/>
          <w:szCs w:val="24"/>
        </w:rPr>
        <w:t>监测参数：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5.基本功能模块支持心电，呼吸，心率，无创血压，血氧饱和度，脉搏，双通道体温和双通道有创血压的同时监测</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6.基本功能模块可从监护仪拔出后作为一个独立的监护仪支持病人的无缝转移，插入监护仪操作插槽作为主机模块，具有独立操作显示屏，屏幕尺寸≥5.5英寸，内置锂电池供电≥4小时，无风扇设计</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7.ECG支持3/5导心电监测，可选配6/12导联心电监测。</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8.支持房颤及室上性心律失常分析功能，如：室上性心动过速，SVCs/min等，标配支持≥27种实时心律失常分析</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9.支持≥3通道心电波形同步分析，可进行多导心电分析，提供产品界面、手册截图或技术专利证名材料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10.提供ST段分析功能，适用于成人，小儿和新生儿，支持在专门的窗口中分组显示心脏前壁，下壁和侧壁的ST实时片段和参考片段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11.支持RR呼吸率测量，测量范围：1～200rpm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12.具有QT/QTc实时连续测量功能，提供QT，QTc和ΔQTc参数值的显示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13.无创血压适用于成人，小儿和新生儿，手动、自动间隔、连续、序列、整点五种测量模式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14.提供辅助静脉穿刺功能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15.NIBP 成人病人类型收缩压测量：25～290mmHg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16.血氧监测适用于成人，小儿和新生儿，提供灌注指数（PI）的监测</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17.支持双通道有创压IBP监测，支持升级多达6通道有创压监测</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18.有创压适用于成人，小儿和新生儿，测量范围：-50～360mmHg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19.提供肺动脉锲压（PAWP）的监测和PPV参数监测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20.支持多达6道IBP波形叠加显示，满足临床对比查看和节约显示空间的需求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提供麻醉深度BIS模块，模块作为监护仪模块通过三类注册，提供PiCCO技术监测功能模块，非漂浮导管热稀释法或无创阻抗法，可监测胸腔内血容量(ITBV)、血管外肺水(EVLW)，肺毛细血管通透性指数(PVPI)等参数，提供完整的血流动力学参数监测。</w:t>
      </w:r>
    </w:p>
    <w:p>
      <w:pPr>
        <w:spacing w:line="360" w:lineRule="auto"/>
        <w:ind w:right="-512" w:rightChars="-244" w:firstLine="482" w:firstLineChars="200"/>
        <w:rPr>
          <w:rFonts w:asciiTheme="minorEastAsia" w:hAnsiTheme="minorEastAsia"/>
          <w:b/>
          <w:sz w:val="24"/>
          <w:szCs w:val="24"/>
        </w:rPr>
      </w:pPr>
      <w:r>
        <w:rPr>
          <w:rFonts w:hint="eastAsia" w:asciiTheme="minorEastAsia" w:hAnsiTheme="minorEastAsia" w:eastAsiaTheme="minorEastAsia" w:cstheme="minorEastAsia"/>
          <w:b/>
          <w:bCs w:val="0"/>
          <w:color w:val="auto"/>
          <w:kern w:val="0"/>
          <w:sz w:val="24"/>
          <w:szCs w:val="24"/>
          <w:lang w:val="en-US" w:eastAsia="zh-CN" w:bidi="ar-SA"/>
        </w:rPr>
        <w:t>四、</w:t>
      </w:r>
      <w:r>
        <w:rPr>
          <w:rFonts w:hint="eastAsia" w:asciiTheme="minorEastAsia" w:hAnsiTheme="minorEastAsia"/>
          <w:b/>
          <w:sz w:val="24"/>
          <w:szCs w:val="24"/>
        </w:rPr>
        <w:t>系统功能：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22.具有图形化报警指示功能，看报警信息更容易</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23.具有报警升级功能，当参数报警经过一定的时间未被处理或伴发了其他报警，就会升级到更高一个级别</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24.具有特殊报警音，当监护仪在病人发生致命性参数报警时，发出特殊的报警音进行提示病人处于危急状态</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支持根据病人的参数趋势变化，自动推送推荐报警限，具备参数组合报警功能，可对患者同时多个参数变化给出统一报警提示，预示病人不同生理系统状态改变，提供≥10个预设组合报警，并允许自定义≥10个组合报警</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26.标配具备血液动力学，药物计算，氧合计算，通气计算和肾功能计算功能，并提供产品、手册截图证明材料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27.提供血流动力学软件工具，显示完整血流动力学参数，并以图形化界面显示病人心脏收缩力，外周血管阻力等状态，提供电子化血流动力学实验记录，重点参数蛛网图显示评估病人相关参数变化。</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28.提供麻醉平衡软件工具，数字化指标显示病人镇静、镇痛、肌松三方面麻醉状态，自动提示病人三低状态，并予以计时，图形化显示病人脑状态，可进行Aldrete复苏评分，满足临床对病人复苏拔管的评估。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29.支持≥100小时趋势表和趋势图回顾，最小分辨率1分钟，支持≥800条事件回顾。每条报警事件至少能够存储32秒三道相关波形，以及报警触发时所有测量参数值，具备≥40小时全息波形的存储与回顾功能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30.支持≥100小时ST波形片段的存储与回顾</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31.患者离开科室，监护仪状态由接收患者到解除患者后，患者数据不删除，支持在监护仪回顾历史病人数据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32.工作模式提供：监护模式、待机模式、抢救模式，体外循环模式、插管模式，夜间模式、隐私模式</w:t>
      </w:r>
    </w:p>
    <w:p>
      <w:pPr>
        <w:spacing w:line="360" w:lineRule="auto"/>
        <w:ind w:firstLine="482" w:firstLineChars="200"/>
        <w:rPr>
          <w:rFonts w:hint="eastAsia" w:eastAsia="宋体" w:asciiTheme="minorEastAsia" w:hAnsiTheme="minorEastAsia"/>
          <w:b/>
          <w:sz w:val="24"/>
          <w:szCs w:val="24"/>
          <w:lang w:eastAsia="zh-CN"/>
        </w:rPr>
      </w:pPr>
      <w:r>
        <w:rPr>
          <w:rFonts w:hint="eastAsia" w:asciiTheme="minorEastAsia" w:hAnsiTheme="minorEastAsia"/>
          <w:b/>
          <w:sz w:val="24"/>
          <w:szCs w:val="24"/>
          <w:lang w:eastAsia="zh-CN"/>
        </w:rPr>
        <w:t>五、</w:t>
      </w:r>
      <w:r>
        <w:rPr>
          <w:rFonts w:hint="eastAsia" w:asciiTheme="minorEastAsia" w:hAnsiTheme="minorEastAsia"/>
          <w:b/>
          <w:sz w:val="24"/>
          <w:szCs w:val="24"/>
        </w:rPr>
        <w:t>产品设计与认证</w:t>
      </w:r>
      <w:r>
        <w:rPr>
          <w:rFonts w:hint="eastAsia" w:asciiTheme="minorEastAsia" w:hAnsiTheme="minorEastAsia"/>
          <w:b/>
          <w:sz w:val="24"/>
          <w:szCs w:val="24"/>
          <w:lang w:eastAsia="zh-CN"/>
        </w:rPr>
        <w:t>：</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33.产品通过国家III类注册，具备FDA认证，CE MDD认证</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34.产品设计使用年限≥10年</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插件式麻醉监护仪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插件式麻醉监护仪</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插件式麻醉监护仪</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2套</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FF0000"/>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w:t>
      </w:r>
      <w:r>
        <w:rPr>
          <w:rFonts w:hint="eastAsia" w:ascii="宋体" w:hAnsi="宋体" w:eastAsia="宋体" w:cs="宋体"/>
          <w:color w:val="FF0000"/>
          <w:sz w:val="24"/>
          <w:szCs w:val="24"/>
          <w:lang w:val="en-US" w:eastAsia="zh-CN"/>
        </w:rPr>
        <w:t>如因乙方未提供发票，甲方有权顺延付款期限，</w:t>
      </w:r>
      <w:r>
        <w:rPr>
          <w:rFonts w:hint="eastAsia" w:ascii="宋体" w:hAnsi="宋体" w:eastAsia="宋体" w:cs="宋体"/>
          <w:color w:val="auto"/>
          <w:sz w:val="24"/>
          <w:szCs w:val="24"/>
          <w:lang w:val="en-US" w:eastAsia="zh-CN"/>
        </w:rPr>
        <w:t>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如双方在履行本合同过程中发生争议</w:t>
      </w:r>
      <w:r>
        <w:rPr>
          <w:rFonts w:hint="eastAsia" w:ascii="宋体" w:hAnsi="宋体" w:eastAsia="宋体" w:cs="宋体"/>
          <w:color w:val="auto"/>
          <w:sz w:val="24"/>
          <w:szCs w:val="24"/>
          <w:lang w:val="en-US" w:eastAsia="zh-CN"/>
        </w:rPr>
        <w:t>，双方应先协商解决，协商解决不成的，</w:t>
      </w:r>
      <w:r>
        <w:rPr>
          <w:rFonts w:hint="eastAsia" w:ascii="宋体" w:hAnsi="宋体" w:eastAsia="宋体" w:cs="宋体"/>
          <w:color w:val="0000FF"/>
          <w:sz w:val="24"/>
          <w:szCs w:val="24"/>
          <w:lang w:val="en-US" w:eastAsia="zh-CN"/>
        </w:rPr>
        <w:t>任一方均可向</w:t>
      </w:r>
      <w:r>
        <w:rPr>
          <w:rFonts w:hint="eastAsia" w:ascii="宋体" w:hAnsi="宋体" w:eastAsia="宋体" w:cs="宋体"/>
          <w:color w:val="auto"/>
          <w:sz w:val="24"/>
          <w:szCs w:val="24"/>
          <w:lang w:val="en-US" w:eastAsia="zh-CN"/>
        </w:rPr>
        <w:t>甲方所在地有管辖权的人民法院</w:t>
      </w:r>
      <w:r>
        <w:rPr>
          <w:rFonts w:hint="eastAsia" w:ascii="宋体" w:hAnsi="宋体" w:eastAsia="宋体" w:cs="宋体"/>
          <w:color w:val="FF0000"/>
          <w:sz w:val="24"/>
          <w:szCs w:val="24"/>
          <w:lang w:val="en-US" w:eastAsia="zh-CN"/>
        </w:rPr>
        <w:t>提起诉讼解决</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5"/>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A24017"/>
    <w:rsid w:val="41BB0BAE"/>
    <w:rsid w:val="429A4992"/>
    <w:rsid w:val="435B161D"/>
    <w:rsid w:val="43B25DAC"/>
    <w:rsid w:val="44F46758"/>
    <w:rsid w:val="45D569C3"/>
    <w:rsid w:val="4B7F39F4"/>
    <w:rsid w:val="4BAE646F"/>
    <w:rsid w:val="4CAC1559"/>
    <w:rsid w:val="4D754257"/>
    <w:rsid w:val="4DCD6AB3"/>
    <w:rsid w:val="50216DCD"/>
    <w:rsid w:val="50540C20"/>
    <w:rsid w:val="51AC28BD"/>
    <w:rsid w:val="59C74B1F"/>
    <w:rsid w:val="611B6B1B"/>
    <w:rsid w:val="64133D6A"/>
    <w:rsid w:val="678E4F5D"/>
    <w:rsid w:val="680E122C"/>
    <w:rsid w:val="6DE375E4"/>
    <w:rsid w:val="6E8E5287"/>
    <w:rsid w:val="6FBE332C"/>
    <w:rsid w:val="71176CE1"/>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character" w:styleId="11">
    <w:name w:val="annotation reference"/>
    <w:basedOn w:val="10"/>
    <w:qFormat/>
    <w:uiPriority w:val="0"/>
    <w:rPr>
      <w:sz w:val="21"/>
      <w:szCs w:val="21"/>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5"/>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2024-01-31T01:01:50Z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