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（次氯酸水发生器医院公开挂网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次氯酸水发生器</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次氯酸水发生器</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2、参加政府采购活动近3年内，在经营活动中没有重大违法记录，拥有湖南省政府采购电子卖场供应商账号；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46"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次氯酸水发生器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4" w:type="dxa"/>
              <w:left w:w="147" w:type="dxa"/>
              <w:bottom w:w="74" w:type="dxa"/>
              <w:right w:w="147"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4" w:type="dxa"/>
              <w:left w:w="147" w:type="dxa"/>
              <w:bottom w:w="74" w:type="dxa"/>
              <w:right w:w="147"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宋体" w:hAnsi="宋体" w:eastAsia="宋体" w:cs="宋体"/>
          <w:b/>
          <w:bCs/>
          <w:color w:val="auto"/>
          <w:sz w:val="24"/>
          <w:szCs w:val="24"/>
          <w:lang w:val="en-US" w:eastAsia="zh-CN"/>
        </w:rPr>
        <w:t xml:space="preserve"> </w:t>
      </w: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bCs w:val="0"/>
          <w:color w:val="auto"/>
          <w:kern w:val="0"/>
          <w:sz w:val="24"/>
          <w:szCs w:val="24"/>
          <w:lang w:val="en-US" w:eastAsia="zh-CN" w:bidi="ar-SA"/>
        </w:rPr>
        <w:t xml:space="preserve"> </w:t>
      </w:r>
      <w:r>
        <w:rPr>
          <w:rFonts w:hint="default" w:asciiTheme="minorEastAsia" w:hAnsiTheme="minorEastAsia" w:eastAsiaTheme="minorEastAsia" w:cstheme="minorEastAsia"/>
          <w:b w:val="0"/>
          <w:bCs/>
          <w:color w:val="auto"/>
          <w:kern w:val="0"/>
          <w:sz w:val="24"/>
          <w:szCs w:val="24"/>
          <w:lang w:val="en-US" w:eastAsia="zh-CN" w:bidi="ar-SA"/>
        </w:rPr>
        <w:t>1、设备主机符合《酸性电解水生成器卫生要求》(GB28234-2020)国标要求，设备为无隔膜电解，电解槽寿命≥3000小时，有效氯浓度范围10-80mg/L，ph值介于5.0-6.5之间。</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 2、设备主机取得省级疾控部门出具的检测报告，包括但不限于：毒理性检测、微生物杀灭检测、金属腐蚀性检测等。</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 3、设备可通过液晶显示屏直观查看设备的产水流量、浓度、电解液液位、异常报警等运行状态，设备故障时可自动切换至原水系统，不影响医院牙椅用水。</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4、设备具备双出水口，可生产两种不同浓度的微酸性电解水：其中一出水口供牙椅用水；牙椅工作间隙，可根据实际需求调节设备制水浓度以后，通过另一出水口提供微酸性电解水，用于医院院感（卫生手、物体表面、织物等）、环境及清洁工具的消毒。</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5、需求说明：系统需满足医院 10 台以上牙椅的日常水路消毒需求。</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6、设备、耗材需求：设备需求 1 套，配套耗材专机专用电解液，随设备赠送电解液3桶；配套氯浓度检测试纸免费提供。</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7、设备产水量与浓度可根据实际需要在指定范围内即时进行任意调节，设备产水量≥300L/hr，储水量≥60L。</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8、设备主机具备现场即时生产微酸性电解水的特点（现制现用），生产的微酸性电解水可直接用于漱口水、洁牙机水、手机、三用枪等牙椅所有用水。</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9、设备主机可全自动运行与自动开关机，日常使用无需手动操作。</w:t>
      </w:r>
    </w:p>
    <w:p>
      <w:pPr>
        <w:spacing w:line="360" w:lineRule="auto"/>
        <w:ind w:firstLine="480" w:firstLineChars="200"/>
        <w:rPr>
          <w:rFonts w:hint="default" w:asciiTheme="minorEastAsia" w:hAnsiTheme="minorEastAsia" w:eastAsiaTheme="minorEastAsia" w:cstheme="minorEastAsia"/>
          <w:b/>
          <w:bCs w:val="0"/>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10、设备生产厂家具有消毒器械资质，设备主机通过消毒产品卫生安全评价报告备案。</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宋体" w:hAnsi="宋体" w:eastAsia="宋体" w:cs="宋体"/>
          <w:b/>
          <w:bCs/>
          <w:color w:val="auto"/>
          <w:sz w:val="24"/>
          <w:szCs w:val="24"/>
          <w:lang w:val="en-US" w:eastAsia="zh-CN"/>
        </w:rPr>
        <w:t xml:space="preserve"> </w:t>
      </w: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5、质保与售后：整机保修3年，终身维修。验收时出具原厂售后质保承诺书，质保期内每年巡检一次，并提交巡检记录。质保期内出现故障，24小时响应，响应后4小时上门服务。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sz w:val="24"/>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甲方通过院内公开挂网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kern w:val="2"/>
          <w:sz w:val="24"/>
          <w:szCs w:val="24"/>
          <w:u w:val="single"/>
          <w:lang w:val="en-US" w:eastAsia="zh-CN" w:bidi="ar-SA"/>
        </w:rPr>
        <w:t>次氯酸水发生器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kern w:val="2"/>
          <w:sz w:val="24"/>
          <w:szCs w:val="24"/>
          <w:u w:val="single"/>
          <w:lang w:val="en-US" w:eastAsia="zh-CN" w:bidi="ar-SA"/>
        </w:rPr>
        <w:t>次氯酸水发生器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（设备名称）相关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u w:val="none"/>
                <w:lang w:val="en-US" w:eastAsia="zh-CN" w:bidi="ar-SA"/>
              </w:rPr>
              <w:t>次氯酸水发生器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如乙方未在本合同约定时间内将验收合格的货物交付给甲方使用，除应赔偿甲方因此造成的损失外，每逾期一日，按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bookmarkStart w:id="4" w:name="_GoBack"/>
      <w:bookmarkEnd w:id="4"/>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eastAsiaTheme="minorEastAsia"/>
          <w:color w:val="000000" w:themeColor="text1"/>
          <w:highlight w:val="none"/>
          <w:lang w:eastAsia="zh-CN"/>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15305" cy="7988935"/>
            <wp:effectExtent l="0" t="0" r="4445" b="1206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7"/>
                    <a:stretch>
                      <a:fillRect/>
                    </a:stretch>
                  </pic:blipFill>
                  <pic:spPr>
                    <a:xfrm>
                      <a:off x="0" y="0"/>
                      <a:ext cx="5615305" cy="7988935"/>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10225" cy="8025130"/>
            <wp:effectExtent l="0" t="0" r="9525" b="1397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5610225" cy="8025130"/>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04510" cy="7904480"/>
            <wp:effectExtent l="0" t="0" r="15240" b="1270"/>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9"/>
                    <a:stretch>
                      <a:fillRect/>
                    </a:stretch>
                  </pic:blipFill>
                  <pic:spPr>
                    <a:xfrm>
                      <a:off x="0" y="0"/>
                      <a:ext cx="5604510" cy="7904480"/>
                    </a:xfrm>
                    <a:prstGeom prst="rect">
                      <a:avLst/>
                    </a:prstGeom>
                  </pic:spPr>
                </pic:pic>
              </a:graphicData>
            </a:graphic>
          </wp:inline>
        </w:drawing>
      </w:r>
      <w:r>
        <w:rPr>
          <w:rFonts w:hint="eastAsia" w:eastAsiaTheme="minorEastAsia"/>
          <w:color w:val="000000" w:themeColor="text1"/>
          <w:highlight w:val="none"/>
          <w:lang w:eastAsia="zh-CN"/>
          <w14:textFill>
            <w14:solidFill>
              <w14:schemeClr w14:val="tx1"/>
            </w14:solidFill>
          </w14:textFill>
        </w:rPr>
        <w:drawing>
          <wp:inline distT="0" distB="0" distL="114300" distR="114300">
            <wp:extent cx="5607050" cy="7912735"/>
            <wp:effectExtent l="0" t="0" r="12700" b="1206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607050" cy="79127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p>
    <w:p>
      <w:pPr>
        <w:keepNext w:val="0"/>
        <w:keepLines w:val="0"/>
        <w:pageBreakBefore w:val="0"/>
        <w:widowControl w:val="0"/>
        <w:kinsoku/>
        <w:wordWrap/>
        <w:overflowPunct/>
        <w:topLinePunct w:val="0"/>
        <w:autoSpaceDE/>
        <w:autoSpaceDN/>
        <w:bidi w:val="0"/>
        <w:adjustRightInd/>
        <w:snapToGrid/>
        <w:spacing w:line="480" w:lineRule="exact"/>
        <w:textAlignment w:val="auto"/>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0C12EC"/>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1005321"/>
    <w:rsid w:val="21091EFA"/>
    <w:rsid w:val="28E81B29"/>
    <w:rsid w:val="29B45A41"/>
    <w:rsid w:val="2C0A2E19"/>
    <w:rsid w:val="2C7642D0"/>
    <w:rsid w:val="2DD77C64"/>
    <w:rsid w:val="2DDA1E78"/>
    <w:rsid w:val="2DE00B8C"/>
    <w:rsid w:val="2EAC037F"/>
    <w:rsid w:val="2EB67A5C"/>
    <w:rsid w:val="302741D2"/>
    <w:rsid w:val="308B184D"/>
    <w:rsid w:val="31163FB9"/>
    <w:rsid w:val="33057DBD"/>
    <w:rsid w:val="33384C93"/>
    <w:rsid w:val="340F06E9"/>
    <w:rsid w:val="372F7378"/>
    <w:rsid w:val="397348CD"/>
    <w:rsid w:val="3B3B544D"/>
    <w:rsid w:val="3B654F2B"/>
    <w:rsid w:val="3BB72BAE"/>
    <w:rsid w:val="3C8A61A4"/>
    <w:rsid w:val="3D5E17FF"/>
    <w:rsid w:val="3E1F0DA4"/>
    <w:rsid w:val="3E584E51"/>
    <w:rsid w:val="3EBE1ADE"/>
    <w:rsid w:val="414D7889"/>
    <w:rsid w:val="418A797B"/>
    <w:rsid w:val="41BB0BAE"/>
    <w:rsid w:val="42234850"/>
    <w:rsid w:val="429A4992"/>
    <w:rsid w:val="435B161D"/>
    <w:rsid w:val="43B25DAC"/>
    <w:rsid w:val="45D569C3"/>
    <w:rsid w:val="49022783"/>
    <w:rsid w:val="4ACF0757"/>
    <w:rsid w:val="4B7F39F4"/>
    <w:rsid w:val="4BAE646F"/>
    <w:rsid w:val="4CAC1559"/>
    <w:rsid w:val="4CB67451"/>
    <w:rsid w:val="4D754257"/>
    <w:rsid w:val="4DCD6AB3"/>
    <w:rsid w:val="50216DCD"/>
    <w:rsid w:val="50540C20"/>
    <w:rsid w:val="51AC28BD"/>
    <w:rsid w:val="54F52CD6"/>
    <w:rsid w:val="56ED1FE4"/>
    <w:rsid w:val="59C74B1F"/>
    <w:rsid w:val="611B6B1B"/>
    <w:rsid w:val="64133D6A"/>
    <w:rsid w:val="666A4A5D"/>
    <w:rsid w:val="678E4F5D"/>
    <w:rsid w:val="680E122C"/>
    <w:rsid w:val="6D383CC2"/>
    <w:rsid w:val="6DE375E4"/>
    <w:rsid w:val="6E2D2A8D"/>
    <w:rsid w:val="6E8E5287"/>
    <w:rsid w:val="6FBE332C"/>
    <w:rsid w:val="70BA1B14"/>
    <w:rsid w:val="71554367"/>
    <w:rsid w:val="71584067"/>
    <w:rsid w:val="735201FF"/>
    <w:rsid w:val="737B50A4"/>
    <w:rsid w:val="73F40E72"/>
    <w:rsid w:val="74566F5C"/>
    <w:rsid w:val="749B66A4"/>
    <w:rsid w:val="74A1770D"/>
    <w:rsid w:val="750117A8"/>
    <w:rsid w:val="755B2270"/>
    <w:rsid w:val="757347B4"/>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2</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2024-05-09T01:11:36Z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