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52"/>
          <w:lang w:val="en-US" w:eastAsia="zh-CN"/>
        </w:rPr>
        <w:t>电子体重秤招标参数</w:t>
      </w:r>
    </w:p>
    <w:p>
      <w:p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40"/>
          <w:lang w:val="en-US" w:eastAsia="zh-CN"/>
        </w:rPr>
      </w:pPr>
      <w:r>
        <w:rPr>
          <w:rFonts w:hint="default" w:eastAsia="宋体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4244340</wp:posOffset>
            </wp:positionH>
            <wp:positionV relativeFrom="paragraph">
              <wp:posOffset>366395</wp:posOffset>
            </wp:positionV>
            <wp:extent cx="1242060" cy="2369185"/>
            <wp:effectExtent l="0" t="0" r="7620" b="8255"/>
            <wp:wrapSquare wrapText="bothSides"/>
            <wp:docPr id="1" name="图片 1" descr="48d0c08357ab6c5deb766c8ad90d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8d0c08357ab6c5deb766c8ad90d18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2369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40"/>
          <w:lang w:val="en-US" w:eastAsia="zh-CN"/>
        </w:rPr>
        <w:t>一、技术参数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1、显示方式：高清 LED 红字显示屏；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2、内置蓄电池，自动开启省电模式；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3、铝合金伸绾杆，刻度清晰，读数准确，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身高测量范围:80cm-210cm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（±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10cm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身高分度值:0.1CM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体重测量范围:0.2kg-200kg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体重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精度值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:20g/50g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底盘设计，称重稳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固安全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身高、体重、BMI一起测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秤盘尺寸:≥40*30cm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>
      <w:pPr>
        <w:pStyle w:val="2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9、秤体高：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90cm。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40"/>
          <w:lang w:val="en-US" w:eastAsia="zh-CN"/>
        </w:rPr>
        <w:t>二、商务参数</w:t>
      </w:r>
      <w:bookmarkStart w:id="0" w:name="_GoBack"/>
      <w:bookmarkEnd w:id="0"/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00" w:lineRule="exact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2年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0AA84B15"/>
    <w:rsid w:val="4B2B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character" w:customStyle="1" w:styleId="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2024-05-11T09:09:00Z</dcterms:created>
  <dc:creator>Administrator</dc:creator>
  <cp:lastModifiedBy>蓝色贝雷</cp:lastModifiedBy>
  <dcterms:modified xsi:type="dcterms:W3CDTF">2024-05-11T09:29:41Z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8617F38716014ED4A942BD6B47696CAB_12</vt:lpwstr>
  </property>
</Properties>
</file>