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napToGrid w:val="0"/>
        <w:jc w:val="center"/>
        <w:rPr>
          <w:rFonts w:ascii="Arial" w:hAnsi="Arial" w:eastAsia="方正小标宋简体" w:cs="Arial"/>
          <w:color w:val="auto"/>
          <w:sz w:val="72"/>
          <w:szCs w:val="72"/>
        </w:rPr>
      </w:pPr>
      <w:bookmarkStart w:id="0" w:name="_Toc16523570"/>
    </w:p>
    <w:p>
      <w:pPr>
        <w:pStyle w:val="13"/>
        <w:tabs>
          <w:tab w:val="left" w:pos="312"/>
        </w:tabs>
        <w:snapToGrid w:val="0"/>
        <w:spacing w:line="288" w:lineRule="auto"/>
        <w:jc w:val="center"/>
        <w:rPr>
          <w:rFonts w:ascii="Arial" w:hAnsi="Arial" w:eastAsia="方正小标宋简体" w:cs="Arial"/>
          <w:sz w:val="72"/>
          <w:szCs w:val="72"/>
        </w:rPr>
      </w:pPr>
      <w:r>
        <w:rPr>
          <w:rFonts w:hint="eastAsia" w:ascii="Arial" w:hAnsi="Arial" w:eastAsia="方正小标宋简体" w:cs="Arial"/>
          <w:sz w:val="72"/>
          <w:szCs w:val="72"/>
        </w:rPr>
        <w:t>娄底市中心医院院内</w:t>
      </w:r>
    </w:p>
    <w:p>
      <w:pPr>
        <w:pStyle w:val="13"/>
        <w:snapToGrid w:val="0"/>
        <w:jc w:val="center"/>
        <w:rPr>
          <w:rFonts w:ascii="Arial" w:hAnsi="Arial" w:eastAsia="方正小标宋简体" w:cs="Arial"/>
          <w:sz w:val="72"/>
          <w:szCs w:val="72"/>
        </w:rPr>
      </w:pPr>
    </w:p>
    <w:p>
      <w:pPr>
        <w:pStyle w:val="13"/>
        <w:snapToGrid w:val="0"/>
        <w:jc w:val="center"/>
        <w:rPr>
          <w:rFonts w:ascii="Arial" w:hAnsi="Arial" w:eastAsia="方正小标宋简体" w:cs="Arial"/>
          <w:sz w:val="72"/>
          <w:szCs w:val="72"/>
        </w:rPr>
      </w:pPr>
      <w:r>
        <w:rPr>
          <w:rFonts w:hint="eastAsia" w:ascii="Arial" w:hAnsi="Arial" w:eastAsia="方正小标宋简体" w:cs="Arial"/>
          <w:sz w:val="72"/>
          <w:szCs w:val="72"/>
        </w:rPr>
        <w:t>招</w:t>
      </w:r>
    </w:p>
    <w:p>
      <w:pPr>
        <w:pStyle w:val="13"/>
        <w:snapToGrid w:val="0"/>
        <w:jc w:val="center"/>
        <w:rPr>
          <w:rFonts w:ascii="Arial" w:hAnsi="Arial" w:eastAsia="方正小标宋简体" w:cs="Arial"/>
          <w:sz w:val="72"/>
          <w:szCs w:val="72"/>
        </w:rPr>
      </w:pPr>
    </w:p>
    <w:p>
      <w:pPr>
        <w:pStyle w:val="13"/>
        <w:snapToGrid w:val="0"/>
        <w:jc w:val="center"/>
        <w:rPr>
          <w:rFonts w:ascii="Arial" w:hAnsi="Arial" w:eastAsia="方正小标宋简体" w:cs="Arial"/>
          <w:sz w:val="72"/>
          <w:szCs w:val="72"/>
        </w:rPr>
      </w:pPr>
      <w:r>
        <w:rPr>
          <w:rFonts w:ascii="Arial" w:hAnsi="Arial" w:eastAsia="方正小标宋简体" w:cs="Arial"/>
          <w:sz w:val="72"/>
          <w:szCs w:val="72"/>
        </w:rPr>
        <w:t>标</w:t>
      </w:r>
    </w:p>
    <w:p>
      <w:pPr>
        <w:pStyle w:val="13"/>
        <w:snapToGrid w:val="0"/>
        <w:jc w:val="center"/>
        <w:rPr>
          <w:rFonts w:ascii="Arial" w:hAnsi="Arial" w:eastAsia="方正小标宋简体" w:cs="Arial"/>
          <w:sz w:val="72"/>
          <w:szCs w:val="72"/>
        </w:rPr>
      </w:pPr>
    </w:p>
    <w:p>
      <w:pPr>
        <w:pStyle w:val="13"/>
        <w:snapToGrid w:val="0"/>
        <w:jc w:val="center"/>
        <w:rPr>
          <w:rFonts w:ascii="Arial" w:hAnsi="Arial" w:eastAsia="方正小标宋简体" w:cs="Arial"/>
          <w:sz w:val="72"/>
          <w:szCs w:val="72"/>
        </w:rPr>
      </w:pPr>
      <w:r>
        <w:rPr>
          <w:rFonts w:ascii="Arial" w:hAnsi="Arial" w:eastAsia="方正小标宋简体" w:cs="Arial"/>
          <w:sz w:val="72"/>
          <w:szCs w:val="72"/>
        </w:rPr>
        <w:t>文</w:t>
      </w:r>
    </w:p>
    <w:p>
      <w:pPr>
        <w:pStyle w:val="13"/>
        <w:snapToGrid w:val="0"/>
        <w:jc w:val="center"/>
        <w:rPr>
          <w:rFonts w:ascii="Arial" w:hAnsi="Arial" w:eastAsia="方正小标宋简体" w:cs="Arial"/>
          <w:sz w:val="72"/>
          <w:szCs w:val="72"/>
        </w:rPr>
      </w:pPr>
    </w:p>
    <w:p>
      <w:pPr>
        <w:pStyle w:val="13"/>
        <w:snapToGrid w:val="0"/>
        <w:jc w:val="center"/>
        <w:rPr>
          <w:rFonts w:ascii="Arial" w:hAnsi="Arial" w:eastAsia="方正小标宋简体" w:cs="Arial"/>
          <w:sz w:val="36"/>
          <w:szCs w:val="36"/>
        </w:rPr>
      </w:pPr>
      <w:r>
        <w:rPr>
          <w:rFonts w:ascii="Arial" w:hAnsi="Arial" w:eastAsia="方正小标宋简体" w:cs="Arial"/>
          <w:sz w:val="72"/>
          <w:szCs w:val="72"/>
        </w:rPr>
        <w:t>件</w:t>
      </w:r>
    </w:p>
    <w:p>
      <w:pPr>
        <w:pStyle w:val="13"/>
        <w:snapToGrid w:val="0"/>
        <w:jc w:val="center"/>
        <w:rPr>
          <w:rFonts w:ascii="Arial" w:hAnsi="Arial" w:cs="Arial"/>
          <w:sz w:val="32"/>
          <w:szCs w:val="32"/>
        </w:rPr>
      </w:pPr>
    </w:p>
    <w:p>
      <w:pPr>
        <w:pStyle w:val="13"/>
        <w:snapToGrid w:val="0"/>
        <w:jc w:val="center"/>
        <w:rPr>
          <w:rFonts w:ascii="Arial" w:hAnsi="Arial" w:cs="Arial"/>
          <w:sz w:val="32"/>
          <w:szCs w:val="32"/>
        </w:rPr>
      </w:pPr>
    </w:p>
    <w:p>
      <w:pPr>
        <w:pStyle w:val="13"/>
        <w:snapToGrid w:val="0"/>
        <w:jc w:val="center"/>
        <w:rPr>
          <w:rFonts w:ascii="Arial" w:hAnsi="Arial" w:cs="Arial"/>
          <w:sz w:val="32"/>
          <w:szCs w:val="32"/>
        </w:rPr>
      </w:pPr>
    </w:p>
    <w:p>
      <w:pPr>
        <w:spacing w:line="360" w:lineRule="auto"/>
        <w:rPr>
          <w:rFonts w:hint="eastAsia"/>
          <w:bCs/>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27" w:lineRule="atLeast"/>
        <w:ind w:left="0" w:right="0"/>
        <w:jc w:val="center"/>
        <w:rPr>
          <w:rFonts w:hint="eastAsia"/>
          <w:bCs/>
          <w:sz w:val="32"/>
          <w:szCs w:val="32"/>
        </w:rPr>
      </w:pPr>
      <w:r>
        <w:rPr>
          <w:rFonts w:hint="eastAsia"/>
          <w:bCs/>
          <w:sz w:val="32"/>
          <w:szCs w:val="32"/>
        </w:rPr>
        <w:t>项目名称：</w:t>
      </w:r>
      <w:r>
        <w:rPr>
          <w:rFonts w:hint="eastAsia"/>
          <w:bCs/>
          <w:sz w:val="32"/>
          <w:szCs w:val="32"/>
          <w:lang w:val="en-US" w:eastAsia="zh-CN"/>
        </w:rPr>
        <w:t>娄底市中心医院设备科医疗器械招标文件</w:t>
      </w:r>
    </w:p>
    <w:p>
      <w:pPr>
        <w:jc w:val="center"/>
        <w:rPr>
          <w:rFonts w:hint="default" w:ascii="Times New Roman" w:hAnsi="Times New Roman" w:eastAsia="宋体" w:cs="Times New Roman"/>
          <w:b/>
          <w:bCs/>
          <w:kern w:val="44"/>
          <w:sz w:val="32"/>
          <w:szCs w:val="32"/>
          <w:lang w:val="en-US" w:eastAsia="zh-CN" w:bidi="ar-SA"/>
        </w:rPr>
      </w:pPr>
      <w:r>
        <w:rPr>
          <w:rFonts w:hint="eastAsia" w:cs="Times New Roman"/>
          <w:b/>
          <w:bCs/>
          <w:kern w:val="44"/>
          <w:sz w:val="32"/>
          <w:szCs w:val="32"/>
          <w:lang w:val="en-US" w:eastAsia="zh-CN" w:bidi="ar-SA"/>
        </w:rPr>
        <w:t>（甲状腺手术器械医院公开挂网</w:t>
      </w:r>
      <w:r>
        <w:rPr>
          <w:rFonts w:hint="eastAsia" w:ascii="Times New Roman" w:hAnsi="Times New Roman" w:eastAsia="宋体" w:cs="Times New Roman"/>
          <w:b/>
          <w:bCs/>
          <w:kern w:val="44"/>
          <w:sz w:val="32"/>
          <w:szCs w:val="32"/>
          <w:lang w:val="en-US" w:eastAsia="zh-CN" w:bidi="ar-SA"/>
        </w:rPr>
        <w:t>）</w:t>
      </w:r>
    </w:p>
    <w:p>
      <w:pPr>
        <w:spacing w:line="320" w:lineRule="exact"/>
        <w:jc w:val="left"/>
        <w:rPr>
          <w:sz w:val="24"/>
        </w:rPr>
      </w:pPr>
    </w:p>
    <w:p>
      <w:pPr>
        <w:spacing w:line="320" w:lineRule="exact"/>
        <w:ind w:firstLine="3520" w:firstLineChars="1100"/>
        <w:jc w:val="both"/>
        <w:rPr>
          <w:rFonts w:hint="eastAsia" w:ascii="宋体" w:hAnsi="宋体" w:cs="宋体"/>
          <w:bCs/>
          <w:sz w:val="32"/>
          <w:szCs w:val="32"/>
        </w:rPr>
      </w:pPr>
      <w:r>
        <w:rPr>
          <w:rFonts w:hint="eastAsia" w:ascii="宋体" w:hAnsi="宋体" w:cs="宋体"/>
          <w:bCs/>
          <w:sz w:val="32"/>
          <w:szCs w:val="32"/>
        </w:rPr>
        <w:t>二〇二</w:t>
      </w:r>
      <w:r>
        <w:rPr>
          <w:rFonts w:hint="eastAsia" w:ascii="宋体" w:hAnsi="宋体" w:cs="宋体"/>
          <w:bCs/>
          <w:sz w:val="32"/>
          <w:szCs w:val="32"/>
          <w:lang w:val="en-US" w:eastAsia="zh-CN"/>
        </w:rPr>
        <w:t>四</w:t>
      </w:r>
      <w:r>
        <w:rPr>
          <w:rFonts w:hint="eastAsia" w:ascii="宋体" w:hAnsi="宋体" w:cs="宋体"/>
          <w:bCs/>
          <w:sz w:val="32"/>
          <w:szCs w:val="32"/>
        </w:rPr>
        <w:t>年</w:t>
      </w:r>
      <w:r>
        <w:rPr>
          <w:rFonts w:hint="eastAsia" w:ascii="宋体" w:hAnsi="宋体" w:cs="宋体"/>
          <w:bCs/>
          <w:sz w:val="32"/>
          <w:szCs w:val="32"/>
          <w:lang w:eastAsia="zh-CN"/>
        </w:rPr>
        <w:t>五</w:t>
      </w:r>
      <w:r>
        <w:rPr>
          <w:rFonts w:hint="eastAsia" w:ascii="宋体" w:hAnsi="宋体" w:cs="宋体"/>
          <w:bCs/>
          <w:sz w:val="32"/>
          <w:szCs w:val="32"/>
        </w:rPr>
        <w:t>月</w:t>
      </w:r>
    </w:p>
    <w:p>
      <w:pPr>
        <w:pStyle w:val="2"/>
        <w:numPr>
          <w:ilvl w:val="0"/>
          <w:numId w:val="0"/>
        </w:numPr>
        <w:spacing w:line="240" w:lineRule="auto"/>
        <w:ind w:leftChars="0"/>
        <w:jc w:val="center"/>
        <w:rPr>
          <w:rFonts w:hint="eastAsia"/>
          <w:b/>
          <w:bCs w:val="0"/>
          <w:color w:val="auto"/>
          <w:sz w:val="44"/>
          <w:szCs w:val="44"/>
        </w:rPr>
      </w:pPr>
      <w:r>
        <w:rPr>
          <w:rFonts w:hint="eastAsia" w:ascii="宋体" w:hAnsi="宋体" w:cs="宋体"/>
          <w:color w:val="auto"/>
          <w:sz w:val="44"/>
          <w:szCs w:val="44"/>
          <w:lang w:val="en-US" w:eastAsia="zh-CN"/>
        </w:rPr>
        <w:t xml:space="preserve">第一章 </w:t>
      </w:r>
      <w:r>
        <w:rPr>
          <w:rFonts w:hint="eastAsia" w:ascii="宋体" w:hAnsi="宋体" w:cs="宋体"/>
          <w:color w:val="auto"/>
          <w:sz w:val="44"/>
          <w:szCs w:val="44"/>
        </w:rPr>
        <w:t>投标邀请</w:t>
      </w:r>
    </w:p>
    <w:p>
      <w:pPr>
        <w:pStyle w:val="13"/>
        <w:numPr>
          <w:ilvl w:val="0"/>
          <w:numId w:val="0"/>
        </w:numPr>
        <w:tabs>
          <w:tab w:val="left" w:pos="312"/>
        </w:tabs>
        <w:snapToGrid w:val="0"/>
        <w:spacing w:line="480" w:lineRule="auto"/>
        <w:ind w:firstLine="480" w:firstLineChars="200"/>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u w:val="single"/>
          <w:lang w:val="en-US" w:eastAsia="zh-CN"/>
        </w:rPr>
        <w:t>甲状腺手术器械</w:t>
      </w:r>
      <w:r>
        <w:rPr>
          <w:rFonts w:hint="eastAsia" w:asciiTheme="minorEastAsia" w:hAnsiTheme="minorEastAsia" w:eastAsiaTheme="minorEastAsia" w:cstheme="minorEastAsia"/>
          <w:bCs/>
          <w:color w:val="auto"/>
          <w:sz w:val="24"/>
          <w:szCs w:val="24"/>
          <w:lang w:val="en-US" w:eastAsia="zh-CN"/>
        </w:rPr>
        <w:t>项目进行院内挂网招标，将招标事项公告如下：</w:t>
      </w:r>
    </w:p>
    <w:p>
      <w:pPr>
        <w:pStyle w:val="13"/>
        <w:numPr>
          <w:ilvl w:val="0"/>
          <w:numId w:val="0"/>
        </w:numPr>
        <w:tabs>
          <w:tab w:val="left" w:pos="312"/>
        </w:tabs>
        <w:snapToGrid w:val="0"/>
        <w:spacing w:line="480" w:lineRule="auto"/>
        <w:ind w:firstLine="480" w:firstLineChars="200"/>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一、项目信息</w:t>
      </w:r>
    </w:p>
    <w:p>
      <w:pPr>
        <w:pStyle w:val="13"/>
        <w:numPr>
          <w:ilvl w:val="0"/>
          <w:numId w:val="0"/>
        </w:numPr>
        <w:tabs>
          <w:tab w:val="left" w:pos="312"/>
        </w:tabs>
        <w:snapToGrid w:val="0"/>
        <w:spacing w:line="480" w:lineRule="auto"/>
        <w:ind w:firstLine="480" w:firstLineChars="200"/>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项目名称：</w:t>
      </w:r>
      <w:r>
        <w:rPr>
          <w:rFonts w:hint="eastAsia" w:asciiTheme="minorEastAsia" w:hAnsiTheme="minorEastAsia" w:eastAsiaTheme="minorEastAsia" w:cstheme="minorEastAsia"/>
          <w:bCs/>
          <w:color w:val="auto"/>
          <w:sz w:val="24"/>
          <w:szCs w:val="24"/>
          <w:u w:val="single"/>
          <w:lang w:val="en-US" w:eastAsia="zh-CN"/>
        </w:rPr>
        <w:t>甲状腺手术器械</w:t>
      </w:r>
      <w:r>
        <w:rPr>
          <w:rFonts w:hint="eastAsia" w:asciiTheme="minorEastAsia" w:hAnsiTheme="minorEastAsia" w:eastAsiaTheme="minorEastAsia" w:cstheme="minorEastAsia"/>
          <w:b w:val="0"/>
          <w:bCs/>
          <w:color w:val="auto"/>
          <w:sz w:val="24"/>
          <w:szCs w:val="24"/>
          <w:lang w:val="en-US" w:eastAsia="zh-CN"/>
        </w:rPr>
        <w:t>项目</w:t>
      </w:r>
    </w:p>
    <w:p>
      <w:pPr>
        <w:pStyle w:val="13"/>
        <w:keepNext w:val="0"/>
        <w:keepLines w:val="0"/>
        <w:pageBreakBefore w:val="0"/>
        <w:widowControl w:val="0"/>
        <w:numPr>
          <w:ilvl w:val="0"/>
          <w:numId w:val="1"/>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采购方式</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bidi="ar-SA"/>
        </w:rPr>
        <w:t>1、医院</w:t>
      </w:r>
      <w:r>
        <w:rPr>
          <w:rFonts w:hint="eastAsia" w:asciiTheme="minorEastAsia" w:hAnsiTheme="minorEastAsia" w:eastAsiaTheme="minorEastAsia" w:cstheme="minorEastAsia"/>
          <w:bCs/>
          <w:color w:val="auto"/>
          <w:sz w:val="24"/>
          <w:szCs w:val="24"/>
          <w:lang w:val="en-US" w:eastAsia="zh-CN"/>
        </w:rPr>
        <w:t>公开挂网，最低评标价法，在满足所有参数的条件下，报价最低者中标，如有多个并列最低价，则由并列最低价投标人再次报价，直至出现最低报价为止。</w:t>
      </w:r>
    </w:p>
    <w:bookmarkEnd w:id="0"/>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三、投标人资格要求</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1、投标人的基本资格条件：投标人必须是在中华人民共和国境内注册登记的法人、其他组织或者自然人，且应当符合《政府采购法》第二十二条第一款的规定；</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2、参加政府采购活动近3年内，在经营活动中没有重大违法记录，拥有湖南省政府采购电子卖场供应商账号；</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3、投标人未列入经营异常名录和未列入严重违法失信企业名单（黑名单），投标人企业法人代表未被列入失信被执行人名单；</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720" w:firstLineChars="3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投标人在“信用中国”（www.creditchina.gov.cn）、中国政府采购网（www.ccgp.gov.cn）等网站，未被列入“失信被执行人”、“重大税收违法案件当事人名单”、“政府采购严重违法失信行为记录名单”；</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4、本项目不接受联合体投标，不得分包、转包；</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5、单位负责人为同一人或者存在直接控股、管理关系的不同投标人，不得参加本次采购活动。</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四、投标截止时间、开标时间及地点：</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1、投标截止时间、开标时间：具体时间另行通知</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2、开标地点;娄底市中心医院</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五、招标人地址和联系方法：</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1、招标人名称：娄底市中心医院</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2、联系人及联系方式：张思远 15115875288</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3、招标人地址：娄底市长青中街51号</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六、投标须知</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1、否决投标的情形：</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1.1、投标人以他人名义投标、串通投标、以行贿手段谋取中标的；</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1.2、资格评审时，投标人资格条件不符合国家有关规定或者招标文件要求的，或者拒不按照要求对投标文件进行澄清、说明或补正，或者其说明补正无法证明其为合格投标人的；</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1.3、评标委员会认定投标人以低于成本报价竞标的；</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1.4、投标人未按照要求出席开标会的；</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1.5、投标报价有错误的，评标委员会将要求投标人作出书面澄清说明和确认，投标人拒不作出澄清说明和确认的；</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1.6、投标文件存在弄虚作假或者隐瞒事实，或者未按照招标文件要求如实提供有关情况和文件，以及证明资料且对投标人有利的，应当否决其投标。被列为中标候选人的，应当取消其中标候选人资格。</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2、有下列情形之一的，招标人将重新招标：</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2.1、投标截止时间止，投标人少于3家的；</w:t>
      </w:r>
    </w:p>
    <w:p>
      <w:pPr>
        <w:pStyle w:val="13"/>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2.2、经评标委员会评审后，符合资格审查的投标人少于3家的。</w:t>
      </w:r>
    </w:p>
    <w:p>
      <w:pPr>
        <w:pStyle w:val="14"/>
        <w:rPr>
          <w:rFonts w:hint="eastAsia"/>
          <w:lang w:val="en-US" w:eastAsia="zh-CN"/>
        </w:rPr>
      </w:pPr>
    </w:p>
    <w:p>
      <w:pPr>
        <w:pStyle w:val="14"/>
        <w:jc w:val="both"/>
        <w:rPr>
          <w:rFonts w:hint="default"/>
          <w:lang w:val="en-US" w:eastAsia="zh-CN"/>
        </w:rPr>
      </w:pPr>
    </w:p>
    <w:p>
      <w:pPr>
        <w:pStyle w:val="13"/>
        <w:numPr>
          <w:ilvl w:val="0"/>
          <w:numId w:val="0"/>
        </w:numPr>
        <w:tabs>
          <w:tab w:val="left" w:pos="312"/>
        </w:tabs>
        <w:snapToGrid w:val="0"/>
        <w:spacing w:line="480" w:lineRule="auto"/>
        <w:jc w:val="center"/>
        <w:rPr>
          <w:rFonts w:hint="eastAsia" w:ascii="宋体" w:hAnsi="宋体" w:cs="宋体"/>
          <w:b/>
          <w:bCs/>
          <w:color w:val="auto"/>
          <w:sz w:val="44"/>
          <w:szCs w:val="44"/>
          <w:lang w:val="en-US" w:eastAsia="zh-CN"/>
        </w:rPr>
      </w:pPr>
    </w:p>
    <w:p>
      <w:pPr>
        <w:pStyle w:val="13"/>
        <w:numPr>
          <w:ilvl w:val="0"/>
          <w:numId w:val="0"/>
        </w:numPr>
        <w:tabs>
          <w:tab w:val="left" w:pos="312"/>
        </w:tabs>
        <w:snapToGrid w:val="0"/>
        <w:spacing w:line="480" w:lineRule="auto"/>
        <w:jc w:val="center"/>
        <w:rPr>
          <w:rFonts w:hint="eastAsia" w:ascii="宋体" w:hAnsi="宋体" w:cs="宋体"/>
          <w:b/>
          <w:bCs/>
          <w:color w:val="auto"/>
          <w:sz w:val="44"/>
          <w:szCs w:val="44"/>
          <w:lang w:val="en-US" w:eastAsia="zh-CN"/>
        </w:rPr>
      </w:pPr>
    </w:p>
    <w:p>
      <w:pPr>
        <w:pStyle w:val="14"/>
        <w:rPr>
          <w:rFonts w:hint="eastAsia" w:ascii="宋体" w:hAnsi="宋体" w:cs="宋体"/>
          <w:b/>
          <w:bCs/>
          <w:color w:val="auto"/>
          <w:sz w:val="44"/>
          <w:szCs w:val="44"/>
          <w:lang w:val="en-US" w:eastAsia="zh-CN"/>
        </w:rPr>
      </w:pPr>
    </w:p>
    <w:p>
      <w:pPr>
        <w:pStyle w:val="5"/>
        <w:rPr>
          <w:rFonts w:hint="eastAsia" w:ascii="宋体" w:hAnsi="宋体" w:cs="宋体"/>
          <w:b/>
          <w:bCs/>
          <w:color w:val="auto"/>
          <w:sz w:val="44"/>
          <w:szCs w:val="44"/>
          <w:lang w:val="en-US" w:eastAsia="zh-CN"/>
        </w:rPr>
      </w:pPr>
    </w:p>
    <w:p>
      <w:pPr>
        <w:rPr>
          <w:rFonts w:hint="eastAsia" w:ascii="宋体" w:hAnsi="宋体" w:cs="宋体"/>
          <w:b/>
          <w:bCs/>
          <w:color w:val="auto"/>
          <w:sz w:val="44"/>
          <w:szCs w:val="44"/>
          <w:lang w:val="en-US" w:eastAsia="zh-CN"/>
        </w:rPr>
      </w:pPr>
    </w:p>
    <w:p>
      <w:pPr>
        <w:pStyle w:val="12"/>
        <w:rPr>
          <w:rFonts w:hint="eastAsia"/>
          <w:lang w:val="en-US" w:eastAsia="zh-CN"/>
        </w:rPr>
      </w:pPr>
    </w:p>
    <w:p>
      <w:pPr>
        <w:pStyle w:val="2"/>
        <w:rPr>
          <w:rFonts w:hint="eastAsia" w:ascii="宋体" w:hAnsi="宋体" w:cs="宋体"/>
          <w:b/>
          <w:bCs/>
          <w:color w:val="auto"/>
          <w:sz w:val="44"/>
          <w:szCs w:val="44"/>
          <w:lang w:val="en-US" w:eastAsia="zh-CN"/>
        </w:rPr>
      </w:pPr>
    </w:p>
    <w:p>
      <w:pPr>
        <w:rPr>
          <w:rFonts w:hint="eastAsia" w:ascii="宋体" w:hAnsi="宋体" w:cs="宋体"/>
          <w:b/>
          <w:bCs/>
          <w:color w:val="auto"/>
          <w:sz w:val="44"/>
          <w:szCs w:val="44"/>
          <w:lang w:val="en-US" w:eastAsia="zh-CN"/>
        </w:rPr>
      </w:pPr>
    </w:p>
    <w:p>
      <w:pPr>
        <w:rPr>
          <w:rFonts w:hint="eastAsia" w:ascii="宋体" w:hAnsi="宋体" w:cs="宋体"/>
          <w:b/>
          <w:bCs/>
          <w:color w:val="auto"/>
          <w:sz w:val="44"/>
          <w:szCs w:val="44"/>
          <w:lang w:val="en-US" w:eastAsia="zh-CN"/>
        </w:rPr>
      </w:pPr>
    </w:p>
    <w:p>
      <w:pPr>
        <w:rPr>
          <w:rFonts w:hint="eastAsia"/>
          <w:lang w:val="en-US" w:eastAsia="zh-CN"/>
        </w:rPr>
      </w:pPr>
    </w:p>
    <w:p>
      <w:pPr>
        <w:pStyle w:val="13"/>
        <w:numPr>
          <w:ilvl w:val="0"/>
          <w:numId w:val="0"/>
        </w:numPr>
        <w:tabs>
          <w:tab w:val="left" w:pos="312"/>
        </w:tabs>
        <w:snapToGrid w:val="0"/>
        <w:spacing w:line="480" w:lineRule="auto"/>
        <w:jc w:val="center"/>
        <w:rPr>
          <w:rFonts w:hint="eastAsia" w:ascii="宋体" w:hAnsi="宋体" w:cs="宋体"/>
          <w:b/>
          <w:bCs/>
          <w:color w:val="auto"/>
          <w:sz w:val="44"/>
          <w:szCs w:val="44"/>
          <w:lang w:val="en-US" w:eastAsia="zh-CN"/>
        </w:rPr>
      </w:pPr>
      <w:r>
        <w:rPr>
          <w:rFonts w:hint="eastAsia" w:ascii="宋体" w:hAnsi="宋体" w:cs="宋体"/>
          <w:b/>
          <w:bCs/>
          <w:color w:val="auto"/>
          <w:sz w:val="44"/>
          <w:szCs w:val="44"/>
          <w:lang w:val="en-US" w:eastAsia="zh-CN"/>
        </w:rPr>
        <w:t>第二章采购需求</w:t>
      </w:r>
    </w:p>
    <w:p>
      <w:pPr>
        <w:spacing w:line="360" w:lineRule="auto"/>
        <w:ind w:firstLine="560" w:firstLineChars="200"/>
        <w:rPr>
          <w:rFonts w:hint="eastAsia" w:asciiTheme="minorEastAsia" w:hAnsiTheme="minorEastAsia" w:eastAsiaTheme="minorEastAsia" w:cstheme="minorEastAsia"/>
          <w:bCs/>
          <w:color w:val="auto"/>
          <w:kern w:val="0"/>
          <w:sz w:val="28"/>
          <w:szCs w:val="28"/>
          <w:lang w:val="en-US" w:eastAsia="zh-CN" w:bidi="ar-SA"/>
        </w:rPr>
      </w:pPr>
      <w:r>
        <w:rPr>
          <w:rFonts w:hint="eastAsia" w:asciiTheme="minorEastAsia" w:hAnsiTheme="minorEastAsia" w:eastAsiaTheme="minorEastAsia" w:cstheme="minorEastAsia"/>
          <w:bCs/>
          <w:color w:val="auto"/>
          <w:kern w:val="0"/>
          <w:sz w:val="28"/>
          <w:szCs w:val="28"/>
          <w:lang w:val="en-US" w:eastAsia="zh-CN" w:bidi="ar-SA"/>
        </w:rPr>
        <w:t>一、采购清单、采购项目交付或者实施的时间和地点</w:t>
      </w:r>
    </w:p>
    <w:p>
      <w:pPr>
        <w:spacing w:line="360" w:lineRule="auto"/>
        <w:ind w:firstLine="480" w:firstLineChars="200"/>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1.采购项目</w:t>
      </w:r>
    </w:p>
    <w:tbl>
      <w:tblPr>
        <w:tblStyle w:val="9"/>
        <w:tblW w:w="9309"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958"/>
        <w:gridCol w:w="2370"/>
        <w:gridCol w:w="1665"/>
        <w:gridCol w:w="2310"/>
        <w:gridCol w:w="200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570"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序号</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设备名称</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数量</w:t>
            </w:r>
            <w:r>
              <w:rPr>
                <w:rFonts w:hint="eastAsia" w:asciiTheme="minorEastAsia" w:hAnsiTheme="minorEastAsia" w:eastAsiaTheme="minorEastAsia" w:cstheme="minorEastAsia"/>
                <w:sz w:val="24"/>
                <w:szCs w:val="24"/>
              </w:rPr>
              <w:t>(台/套)</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5" w:type="dxa"/>
              <w:left w:w="150" w:type="dxa"/>
              <w:bottom w:w="75" w:type="dxa"/>
              <w:right w:w="150" w:type="dxa"/>
            </w:tcMar>
            <w:vAlign w:val="center"/>
          </w:tcPr>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预算</w:t>
            </w:r>
            <w:r>
              <w:rPr>
                <w:rFonts w:hint="eastAsia" w:asciiTheme="minorEastAsia" w:hAnsiTheme="minorEastAsia" w:eastAsiaTheme="minorEastAsia" w:cstheme="minorEastAsia"/>
                <w:kern w:val="2"/>
                <w:sz w:val="24"/>
                <w:szCs w:val="24"/>
                <w:lang w:eastAsia="zh-CN"/>
              </w:rPr>
              <w:t>总</w:t>
            </w:r>
            <w:r>
              <w:rPr>
                <w:rFonts w:hint="eastAsia" w:asciiTheme="minorEastAsia" w:hAnsiTheme="minorEastAsia" w:eastAsiaTheme="minorEastAsia" w:cstheme="minorEastAsia"/>
                <w:kern w:val="2"/>
                <w:sz w:val="24"/>
                <w:szCs w:val="24"/>
              </w:rPr>
              <w:t>价（元）</w:t>
            </w:r>
          </w:p>
        </w:tc>
        <w:tc>
          <w:tcPr>
            <w:tcW w:w="2006"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是否允许进口设备投标</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346"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 xml:space="preserve">I 型甲状腺拉钩(小号左弯） </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7700</w:t>
            </w:r>
          </w:p>
        </w:tc>
        <w:tc>
          <w:tcPr>
            <w:tcW w:w="2006"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否</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346"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I型甲状腺拉钩(小号右弯）</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7700</w:t>
            </w:r>
          </w:p>
        </w:tc>
        <w:tc>
          <w:tcPr>
            <w:tcW w:w="2006"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否</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346"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I型甲状腺拉钩(中号直)</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7700</w:t>
            </w:r>
          </w:p>
        </w:tc>
        <w:tc>
          <w:tcPr>
            <w:tcW w:w="2006"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否</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346"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II 型甲状腺拉钩(简易)</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7600</w:t>
            </w:r>
          </w:p>
        </w:tc>
        <w:tc>
          <w:tcPr>
            <w:tcW w:w="2006"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否</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346"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悬吊卷链器</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5000</w:t>
            </w:r>
          </w:p>
        </w:tc>
        <w:tc>
          <w:tcPr>
            <w:tcW w:w="2006"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否</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346"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悬吊装置固定器</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4500</w:t>
            </w:r>
          </w:p>
        </w:tc>
        <w:tc>
          <w:tcPr>
            <w:tcW w:w="2006"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否</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346"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悬吊杆</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3800</w:t>
            </w:r>
          </w:p>
        </w:tc>
        <w:tc>
          <w:tcPr>
            <w:tcW w:w="2006"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否</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346"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隐疤痕免气腹甲状腺手术器械箱</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4" w:type="dxa"/>
              <w:left w:w="147" w:type="dxa"/>
              <w:bottom w:w="74" w:type="dxa"/>
              <w:right w:w="147" w:type="dxa"/>
            </w:tcMar>
            <w:vAlign w:val="center"/>
          </w:tcPr>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赠送</w:t>
            </w:r>
            <w:bookmarkStart w:id="4" w:name="_GoBack"/>
            <w:bookmarkEnd w:id="4"/>
          </w:p>
        </w:tc>
        <w:tc>
          <w:tcPr>
            <w:tcW w:w="2006"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否</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346"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bidi="ar-SA"/>
              </w:rPr>
            </w:pP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合计</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jc w:val="center"/>
              <w:rPr>
                <w:rFonts w:hint="eastAsia" w:asciiTheme="minorEastAsia" w:hAnsiTheme="minorEastAsia" w:eastAsiaTheme="minorEastAsia" w:cstheme="minorEastAsia"/>
                <w:kern w:val="2"/>
                <w:sz w:val="24"/>
                <w:szCs w:val="24"/>
                <w:lang w:val="en-US" w:eastAsia="zh-CN" w:bidi="ar-SA"/>
              </w:rPr>
            </w:pP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4" w:type="dxa"/>
              <w:left w:w="147" w:type="dxa"/>
              <w:bottom w:w="74" w:type="dxa"/>
              <w:right w:w="147" w:type="dxa"/>
            </w:tcMar>
            <w:vAlign w:val="center"/>
          </w:tcPr>
          <w:p>
            <w:pPr>
              <w:jc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44000</w:t>
            </w:r>
          </w:p>
        </w:tc>
        <w:tc>
          <w:tcPr>
            <w:tcW w:w="2006" w:type="dxa"/>
            <w:tcBorders>
              <w:top w:val="single" w:color="000000" w:sz="6" w:space="0"/>
              <w:left w:val="single" w:color="000000" w:sz="6" w:space="0"/>
              <w:bottom w:val="single" w:color="000000" w:sz="6" w:space="0"/>
              <w:right w:val="single" w:color="000000" w:sz="6" w:space="0"/>
            </w:tcBorders>
            <w:shd w:val="clear" w:color="auto" w:fill="auto"/>
            <w:tcMar>
              <w:top w:w="74" w:type="dxa"/>
              <w:left w:w="147" w:type="dxa"/>
              <w:bottom w:w="74" w:type="dxa"/>
              <w:right w:w="14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bidi="ar-SA"/>
              </w:rPr>
            </w:pPr>
          </w:p>
        </w:tc>
      </w:tr>
    </w:tbl>
    <w:p>
      <w:pPr>
        <w:spacing w:line="360" w:lineRule="auto"/>
        <w:rPr>
          <w:rFonts w:hint="eastAsia" w:asciiTheme="minorEastAsia" w:hAnsiTheme="minorEastAsia" w:eastAsiaTheme="minorEastAsia" w:cstheme="minorEastAsia"/>
          <w:bCs/>
          <w:color w:val="auto"/>
          <w:kern w:val="0"/>
          <w:sz w:val="24"/>
          <w:szCs w:val="24"/>
          <w:lang w:val="en-US" w:eastAsia="zh-CN" w:bidi="ar-SA"/>
        </w:rPr>
      </w:pPr>
    </w:p>
    <w:p>
      <w:pPr>
        <w:spacing w:line="360" w:lineRule="auto"/>
        <w:ind w:firstLine="480" w:firstLineChars="200"/>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2、服务时间：双方签订合同时具体约定。</w:t>
      </w:r>
    </w:p>
    <w:p>
      <w:pPr>
        <w:spacing w:line="360" w:lineRule="auto"/>
        <w:ind w:firstLine="480" w:firstLineChars="200"/>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3、服务地点：娄底市中心医院。</w:t>
      </w:r>
    </w:p>
    <w:p>
      <w:pPr>
        <w:spacing w:line="360" w:lineRule="auto"/>
        <w:ind w:firstLine="560" w:firstLineChars="200"/>
        <w:rPr>
          <w:rFonts w:hint="eastAsia" w:asciiTheme="minorEastAsia" w:hAnsiTheme="minorEastAsia" w:eastAsiaTheme="minorEastAsia" w:cstheme="minorEastAsia"/>
          <w:bCs/>
          <w:color w:val="auto"/>
          <w:kern w:val="0"/>
          <w:sz w:val="28"/>
          <w:szCs w:val="28"/>
          <w:lang w:val="en-US" w:eastAsia="zh-CN" w:bidi="ar-SA"/>
        </w:rPr>
      </w:pPr>
      <w:r>
        <w:rPr>
          <w:rFonts w:hint="eastAsia" w:asciiTheme="minorEastAsia" w:hAnsiTheme="minorEastAsia" w:eastAsiaTheme="minorEastAsia" w:cstheme="minorEastAsia"/>
          <w:bCs/>
          <w:color w:val="auto"/>
          <w:kern w:val="0"/>
          <w:sz w:val="28"/>
          <w:szCs w:val="28"/>
          <w:lang w:val="en-US" w:eastAsia="zh-CN" w:bidi="ar-SA"/>
        </w:rPr>
        <w:t>二、项目内容及要求（以下内容必须全部响应，否则视为无效投标）</w:t>
      </w:r>
    </w:p>
    <w:p>
      <w:pPr>
        <w:spacing w:line="360" w:lineRule="auto"/>
        <w:ind w:firstLine="482" w:firstLineChars="200"/>
        <w:rPr>
          <w:rFonts w:hint="eastAsia" w:asciiTheme="minorEastAsia" w:hAnsiTheme="minorEastAsia" w:eastAsiaTheme="minorEastAsia" w:cstheme="minorEastAsia"/>
          <w:b/>
          <w:bCs w:val="0"/>
          <w:color w:val="auto"/>
          <w:kern w:val="0"/>
          <w:sz w:val="24"/>
          <w:szCs w:val="24"/>
          <w:lang w:val="en-US" w:eastAsia="zh-CN" w:bidi="ar-SA"/>
        </w:rPr>
      </w:pPr>
      <w:r>
        <w:rPr>
          <w:rFonts w:hint="eastAsia" w:ascii="宋体" w:hAnsi="宋体" w:eastAsia="宋体" w:cs="宋体"/>
          <w:b/>
          <w:bCs/>
          <w:color w:val="auto"/>
          <w:sz w:val="24"/>
          <w:szCs w:val="24"/>
          <w:lang w:val="en-US" w:eastAsia="zh-CN"/>
        </w:rPr>
        <w:t xml:space="preserve"> </w:t>
      </w:r>
      <w:r>
        <w:rPr>
          <w:rFonts w:hint="eastAsia" w:asciiTheme="minorEastAsia" w:hAnsiTheme="minorEastAsia" w:eastAsiaTheme="minorEastAsia" w:cstheme="minorEastAsia"/>
          <w:b/>
          <w:bCs w:val="0"/>
          <w:color w:val="auto"/>
          <w:kern w:val="0"/>
          <w:sz w:val="24"/>
          <w:szCs w:val="24"/>
          <w:lang w:val="en-US" w:eastAsia="zh-CN" w:bidi="ar-SA"/>
        </w:rPr>
        <w:t>技术参数:</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一、</w:t>
      </w:r>
      <w:r>
        <w:rPr>
          <w:rFonts w:hint="eastAsia" w:ascii="宋体" w:hAnsi="宋体" w:eastAsia="宋体" w:cs="宋体"/>
          <w:sz w:val="24"/>
          <w:szCs w:val="24"/>
        </w:rPr>
        <w:t>此类产品本术式适应症：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1，甲状腺结节及肿瘤等良性病灶，直径小于6cm</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分化型甲状腺癌，要求肿瘤最大直径小于4cm，或肿瘤突破甲状腺包膜的微小外侵病灶，或仅侵犯颈前带状肌如胸骨甲状肌，最好没有颈侧方淋巴转移，或者有转移单淋巴结较小（小于或等于3cm）且无包膜外侵的淋巴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3，患者有颈部不留疤痕的美容手术要求。</w:t>
      </w:r>
    </w:p>
    <w:p>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产品由《甲状腺手术器械包》的Ⅰ型甲状腺牵开器、Ⅰ型甲状腺拉钩和Ⅱ型甲状腺拉钩组成，其中包含Ⅰ型甲状腺牵开器悬吊卷链器、悬吊杆和悬吊装置固定器，Ⅰ型甲状腺拉钩小号左弯、小号右弯和中号直，Ⅱ型甲状腺拉钩15。</w:t>
      </w:r>
    </w:p>
    <w:p>
      <w:pPr>
        <w:widowControl w:val="0"/>
        <w:numPr>
          <w:ilvl w:val="0"/>
          <w:numId w:val="0"/>
        </w:numPr>
        <w:jc w:val="both"/>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467350" cy="440055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67350" cy="4400550"/>
                    </a:xfrm>
                    <a:prstGeom prst="rect">
                      <a:avLst/>
                    </a:prstGeom>
                    <a:noFill/>
                    <a:ln>
                      <a:noFill/>
                    </a:ln>
                    <a:effectLst/>
                  </pic:spPr>
                </pic:pic>
              </a:graphicData>
            </a:graphic>
          </wp:inline>
        </w:drawing>
      </w:r>
    </w:p>
    <w:p>
      <w:pPr>
        <w:widowControl w:val="0"/>
        <w:numPr>
          <w:ilvl w:val="0"/>
          <w:numId w:val="0"/>
        </w:numPr>
        <w:jc w:val="both"/>
        <w:rPr>
          <w:rFonts w:hint="eastAsia" w:ascii="宋体" w:hAnsi="宋体" w:eastAsia="宋体" w:cs="宋体"/>
          <w:sz w:val="24"/>
          <w:szCs w:val="24"/>
        </w:rPr>
      </w:pPr>
    </w:p>
    <w:p>
      <w:pPr>
        <w:ind w:firstLine="480" w:firstLineChars="200"/>
        <w:rPr>
          <w:rFonts w:hint="eastAsia" w:ascii="宋体" w:hAnsi="宋体" w:eastAsia="宋体" w:cs="宋体"/>
          <w:sz w:val="24"/>
          <w:szCs w:val="24"/>
        </w:rPr>
      </w:pPr>
    </w:p>
    <w:tbl>
      <w:tblPr>
        <w:tblStyle w:val="10"/>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2"/>
        <w:gridCol w:w="3125"/>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392" w:type="dxa"/>
          </w:tcPr>
          <w:p>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3125" w:type="dxa"/>
          </w:tcPr>
          <w:p>
            <w:pPr>
              <w:jc w:val="center"/>
              <w:rPr>
                <w:rFonts w:hint="eastAsia" w:ascii="宋体" w:hAnsi="宋体" w:eastAsia="宋体" w:cs="宋体"/>
                <w:sz w:val="24"/>
                <w:szCs w:val="24"/>
              </w:rPr>
            </w:pPr>
            <w:r>
              <w:rPr>
                <w:rFonts w:hint="eastAsia" w:ascii="宋体" w:hAnsi="宋体" w:eastAsia="宋体" w:cs="宋体"/>
                <w:sz w:val="24"/>
                <w:szCs w:val="24"/>
              </w:rPr>
              <w:t>主要技术参数</w:t>
            </w:r>
          </w:p>
        </w:tc>
        <w:tc>
          <w:tcPr>
            <w:tcW w:w="3173" w:type="dxa"/>
          </w:tcPr>
          <w:p>
            <w:pPr>
              <w:jc w:val="center"/>
              <w:rPr>
                <w:rFonts w:hint="eastAsia" w:ascii="宋体" w:hAnsi="宋体" w:eastAsia="宋体" w:cs="宋体"/>
                <w:sz w:val="24"/>
                <w:szCs w:val="24"/>
              </w:rPr>
            </w:pPr>
            <w:r>
              <w:rPr>
                <w:rFonts w:hint="eastAsia" w:ascii="宋体" w:hAnsi="宋体" w:eastAsia="宋体" w:cs="宋体"/>
                <w:sz w:val="24"/>
                <w:szCs w:val="24"/>
              </w:rPr>
              <w:t>功能介绍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392" w:type="dxa"/>
          </w:tcPr>
          <w:p>
            <w:pPr>
              <w:jc w:val="center"/>
              <w:rPr>
                <w:rFonts w:hint="eastAsia" w:ascii="宋体" w:hAnsi="宋体" w:eastAsia="宋体" w:cs="宋体"/>
                <w:sz w:val="24"/>
                <w:szCs w:val="24"/>
              </w:rPr>
            </w:pPr>
            <w:r>
              <w:rPr>
                <w:rFonts w:hint="eastAsia" w:ascii="宋体" w:hAnsi="宋体" w:eastAsia="宋体" w:cs="宋体"/>
                <w:sz w:val="24"/>
                <w:szCs w:val="24"/>
              </w:rPr>
              <w:t xml:space="preserve"> I型甲状腺牵开器</w:t>
            </w:r>
          </w:p>
          <w:p>
            <w:pPr>
              <w:jc w:val="center"/>
              <w:rPr>
                <w:rFonts w:hint="eastAsia" w:ascii="宋体" w:hAnsi="宋体" w:eastAsia="宋体" w:cs="宋体"/>
                <w:sz w:val="24"/>
                <w:szCs w:val="24"/>
              </w:rPr>
            </w:pPr>
            <w:r>
              <w:rPr>
                <w:rFonts w:hint="eastAsia" w:ascii="宋体" w:hAnsi="宋体" w:eastAsia="宋体" w:cs="宋体"/>
                <w:sz w:val="24"/>
                <w:szCs w:val="24"/>
              </w:rPr>
              <w:t>悬吊装置固定器</w:t>
            </w:r>
          </w:p>
        </w:tc>
        <w:tc>
          <w:tcPr>
            <w:tcW w:w="3125" w:type="dxa"/>
          </w:tcPr>
          <w:p>
            <w:pPr>
              <w:rPr>
                <w:rFonts w:hint="eastAsia" w:ascii="宋体" w:hAnsi="宋体" w:eastAsia="宋体" w:cs="宋体"/>
                <w:sz w:val="24"/>
                <w:szCs w:val="24"/>
              </w:rPr>
            </w:pPr>
            <w:r>
              <w:rPr>
                <w:rFonts w:hint="eastAsia" w:ascii="宋体" w:hAnsi="宋体" w:eastAsia="宋体" w:cs="宋体"/>
                <w:sz w:val="24"/>
                <w:szCs w:val="24"/>
              </w:rPr>
              <w:t xml:space="preserve"> YY/T 0294.1-2016标准中的M号钢材料制造，经固定后垂直拉力50N，变形不超过1cm</w:t>
            </w:r>
          </w:p>
          <w:p>
            <w:pPr>
              <w:rPr>
                <w:rFonts w:hint="eastAsia" w:ascii="宋体" w:hAnsi="宋体" w:eastAsia="宋体" w:cs="宋体"/>
                <w:sz w:val="24"/>
                <w:szCs w:val="24"/>
              </w:rPr>
            </w:pPr>
            <w:r>
              <w:rPr>
                <w:rFonts w:hint="eastAsia" w:ascii="宋体" w:hAnsi="宋体" w:eastAsia="宋体" w:cs="宋体"/>
                <w:sz w:val="24"/>
                <w:szCs w:val="24"/>
              </w:rPr>
              <w:t>最小调整角度：10度</w:t>
            </w:r>
          </w:p>
          <w:p>
            <w:pPr>
              <w:rPr>
                <w:rFonts w:hint="eastAsia" w:ascii="宋体" w:hAnsi="宋体" w:eastAsia="宋体" w:cs="宋体"/>
                <w:sz w:val="24"/>
                <w:szCs w:val="24"/>
              </w:rPr>
            </w:pPr>
            <w:r>
              <w:rPr>
                <w:rFonts w:hint="eastAsia" w:ascii="宋体" w:hAnsi="宋体" w:eastAsia="宋体" w:cs="宋体"/>
                <w:sz w:val="24"/>
                <w:szCs w:val="24"/>
              </w:rPr>
              <w:t>悬吊杆孔径：不大于D18mm</w:t>
            </w:r>
          </w:p>
        </w:tc>
        <w:tc>
          <w:tcPr>
            <w:tcW w:w="3173" w:type="dxa"/>
          </w:tcPr>
          <w:p>
            <w:pPr>
              <w:rPr>
                <w:rFonts w:hint="eastAsia" w:ascii="宋体" w:hAnsi="宋体" w:eastAsia="宋体" w:cs="宋体"/>
                <w:sz w:val="24"/>
                <w:szCs w:val="24"/>
              </w:rPr>
            </w:pPr>
            <w:r>
              <w:rPr>
                <w:rFonts w:hint="eastAsia" w:ascii="宋体" w:hAnsi="宋体" w:eastAsia="宋体" w:cs="宋体"/>
                <w:sz w:val="24"/>
                <w:szCs w:val="24"/>
              </w:rPr>
              <w:t>可通过调整齿形螺纹套调节悬吊杆角度，并可上下调节高度，自由度高。</w:t>
            </w:r>
          </w:p>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392" w:type="dxa"/>
          </w:tcPr>
          <w:p>
            <w:pPr>
              <w:jc w:val="center"/>
              <w:rPr>
                <w:rFonts w:hint="eastAsia" w:ascii="宋体" w:hAnsi="宋体" w:eastAsia="宋体" w:cs="宋体"/>
                <w:sz w:val="24"/>
                <w:szCs w:val="24"/>
              </w:rPr>
            </w:pPr>
            <w:r>
              <w:rPr>
                <w:rFonts w:hint="eastAsia" w:ascii="宋体" w:hAnsi="宋体" w:eastAsia="宋体" w:cs="宋体"/>
                <w:sz w:val="24"/>
                <w:szCs w:val="24"/>
              </w:rPr>
              <w:t>I型甲状腺牵开器悬吊杆</w:t>
            </w:r>
          </w:p>
        </w:tc>
        <w:tc>
          <w:tcPr>
            <w:tcW w:w="3125" w:type="dxa"/>
          </w:tcPr>
          <w:p>
            <w:pPr>
              <w:jc w:val="center"/>
              <w:rPr>
                <w:rFonts w:hint="eastAsia" w:ascii="宋体" w:hAnsi="宋体" w:eastAsia="宋体" w:cs="宋体"/>
                <w:sz w:val="24"/>
                <w:szCs w:val="24"/>
              </w:rPr>
            </w:pPr>
            <w:r>
              <w:rPr>
                <w:rFonts w:hint="eastAsia" w:ascii="宋体" w:hAnsi="宋体" w:eastAsia="宋体" w:cs="宋体"/>
                <w:sz w:val="24"/>
                <w:szCs w:val="24"/>
              </w:rPr>
              <w:t xml:space="preserve"> YY/T 0294.1-2016标准中的M号钢材料制造，经固定后垂直拉力50N，变形不超过1cm</w:t>
            </w:r>
          </w:p>
          <w:p>
            <w:pPr>
              <w:jc w:val="center"/>
              <w:rPr>
                <w:rFonts w:hint="eastAsia" w:ascii="宋体" w:hAnsi="宋体" w:eastAsia="宋体" w:cs="宋体"/>
                <w:sz w:val="24"/>
                <w:szCs w:val="24"/>
              </w:rPr>
            </w:pPr>
            <w:r>
              <w:rPr>
                <w:rFonts w:hint="eastAsia" w:ascii="宋体" w:hAnsi="宋体" w:eastAsia="宋体" w:cs="宋体"/>
                <w:sz w:val="24"/>
                <w:szCs w:val="24"/>
              </w:rPr>
              <w:t>高低调节范围：0-64cm</w:t>
            </w:r>
          </w:p>
          <w:p>
            <w:pPr>
              <w:jc w:val="center"/>
              <w:rPr>
                <w:rFonts w:hint="eastAsia" w:ascii="宋体" w:hAnsi="宋体" w:eastAsia="宋体" w:cs="宋体"/>
                <w:sz w:val="24"/>
                <w:szCs w:val="24"/>
              </w:rPr>
            </w:pPr>
            <w:r>
              <w:rPr>
                <w:rFonts w:hint="eastAsia" w:ascii="宋体" w:hAnsi="宋体" w:eastAsia="宋体" w:cs="宋体"/>
                <w:sz w:val="24"/>
                <w:szCs w:val="24"/>
              </w:rPr>
              <w:t>横向调节范围：0-55cm</w:t>
            </w:r>
          </w:p>
        </w:tc>
        <w:tc>
          <w:tcPr>
            <w:tcW w:w="3173" w:type="dxa"/>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392" w:type="dxa"/>
          </w:tcPr>
          <w:p>
            <w:pPr>
              <w:jc w:val="center"/>
              <w:rPr>
                <w:rFonts w:hint="eastAsia" w:ascii="宋体" w:hAnsi="宋体" w:eastAsia="宋体" w:cs="宋体"/>
                <w:sz w:val="24"/>
                <w:szCs w:val="24"/>
              </w:rPr>
            </w:pPr>
            <w:r>
              <w:rPr>
                <w:rFonts w:hint="eastAsia" w:ascii="宋体" w:hAnsi="宋体" w:eastAsia="宋体" w:cs="宋体"/>
                <w:sz w:val="24"/>
                <w:szCs w:val="24"/>
              </w:rPr>
              <w:t xml:space="preserve"> I型甲状腺牵开器</w:t>
            </w:r>
          </w:p>
          <w:p>
            <w:pPr>
              <w:jc w:val="center"/>
              <w:rPr>
                <w:rFonts w:hint="eastAsia" w:ascii="宋体" w:hAnsi="宋体" w:eastAsia="宋体" w:cs="宋体"/>
                <w:sz w:val="24"/>
                <w:szCs w:val="24"/>
              </w:rPr>
            </w:pPr>
            <w:r>
              <w:rPr>
                <w:rFonts w:hint="eastAsia" w:ascii="宋体" w:hAnsi="宋体" w:eastAsia="宋体" w:cs="宋体"/>
                <w:sz w:val="24"/>
                <w:szCs w:val="24"/>
              </w:rPr>
              <w:t>悬吊卷链器</w:t>
            </w:r>
          </w:p>
        </w:tc>
        <w:tc>
          <w:tcPr>
            <w:tcW w:w="3125" w:type="dxa"/>
          </w:tcPr>
          <w:p>
            <w:pPr>
              <w:jc w:val="center"/>
              <w:rPr>
                <w:rFonts w:hint="eastAsia" w:ascii="宋体" w:hAnsi="宋体" w:eastAsia="宋体" w:cs="宋体"/>
                <w:sz w:val="24"/>
                <w:szCs w:val="24"/>
              </w:rPr>
            </w:pPr>
            <w:r>
              <w:rPr>
                <w:rFonts w:hint="eastAsia" w:ascii="宋体" w:hAnsi="宋体" w:eastAsia="宋体" w:cs="宋体"/>
                <w:sz w:val="24"/>
                <w:szCs w:val="24"/>
              </w:rPr>
              <w:t>YY/T 0294.1-2016标准中的M号钢材料制造，经固定后垂直拉力50N，变形不超过1cm</w:t>
            </w:r>
          </w:p>
          <w:p>
            <w:pPr>
              <w:jc w:val="center"/>
              <w:rPr>
                <w:rFonts w:hint="eastAsia" w:ascii="宋体" w:hAnsi="宋体" w:eastAsia="宋体" w:cs="宋体"/>
                <w:sz w:val="24"/>
                <w:szCs w:val="24"/>
              </w:rPr>
            </w:pPr>
            <w:r>
              <w:rPr>
                <w:rFonts w:hint="eastAsia" w:ascii="宋体" w:hAnsi="宋体" w:eastAsia="宋体" w:cs="宋体"/>
                <w:sz w:val="24"/>
                <w:szCs w:val="24"/>
              </w:rPr>
              <w:t>高低调节范围：0-10cm</w:t>
            </w:r>
          </w:p>
        </w:tc>
        <w:tc>
          <w:tcPr>
            <w:tcW w:w="3173" w:type="dxa"/>
          </w:tcPr>
          <w:p>
            <w:pPr>
              <w:jc w:val="center"/>
              <w:rPr>
                <w:rFonts w:hint="eastAsia" w:ascii="宋体" w:hAnsi="宋体" w:eastAsia="宋体" w:cs="宋体"/>
                <w:sz w:val="24"/>
                <w:szCs w:val="24"/>
              </w:rPr>
            </w:pPr>
            <w:r>
              <w:rPr>
                <w:rFonts w:hint="eastAsia" w:ascii="宋体" w:hAnsi="宋体" w:eastAsia="宋体" w:cs="宋体"/>
                <w:sz w:val="24"/>
                <w:szCs w:val="24"/>
              </w:rPr>
              <w:t>可拆卸成三个零件，清洗、灭菌彻底。结构简单牢靠，上下调节范围大，手术操作方便</w:t>
            </w:r>
          </w:p>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392" w:type="dxa"/>
          </w:tcPr>
          <w:p>
            <w:pPr>
              <w:jc w:val="center"/>
              <w:rPr>
                <w:rFonts w:hint="eastAsia" w:ascii="宋体" w:hAnsi="宋体" w:eastAsia="宋体" w:cs="宋体"/>
                <w:sz w:val="24"/>
                <w:szCs w:val="24"/>
              </w:rPr>
            </w:pPr>
            <w:r>
              <w:rPr>
                <w:rFonts w:hint="eastAsia" w:ascii="宋体" w:hAnsi="宋体" w:eastAsia="宋体" w:cs="宋体"/>
                <w:sz w:val="24"/>
                <w:szCs w:val="24"/>
              </w:rPr>
              <w:t>Ⅰ型甲状腺拉钩</w:t>
            </w:r>
          </w:p>
          <w:p>
            <w:pPr>
              <w:jc w:val="center"/>
              <w:rPr>
                <w:rFonts w:hint="eastAsia" w:ascii="宋体" w:hAnsi="宋体" w:eastAsia="宋体" w:cs="宋体"/>
                <w:sz w:val="24"/>
                <w:szCs w:val="24"/>
              </w:rPr>
            </w:pPr>
            <w:r>
              <w:rPr>
                <w:rFonts w:hint="eastAsia" w:ascii="宋体" w:hAnsi="宋体" w:eastAsia="宋体" w:cs="宋体"/>
                <w:sz w:val="24"/>
                <w:szCs w:val="24"/>
              </w:rPr>
              <w:t>小号左弯</w:t>
            </w:r>
          </w:p>
          <w:p>
            <w:pPr>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314450" cy="2749550"/>
                  <wp:effectExtent l="0" t="0" r="1143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14450" cy="2749550"/>
                          </a:xfrm>
                          <a:prstGeom prst="rect">
                            <a:avLst/>
                          </a:prstGeom>
                          <a:noFill/>
                          <a:ln>
                            <a:noFill/>
                          </a:ln>
                        </pic:spPr>
                      </pic:pic>
                    </a:graphicData>
                  </a:graphic>
                </wp:inline>
              </w:drawing>
            </w:r>
          </w:p>
        </w:tc>
        <w:tc>
          <w:tcPr>
            <w:tcW w:w="3125" w:type="dxa"/>
          </w:tcPr>
          <w:p>
            <w:pPr>
              <w:jc w:val="center"/>
              <w:rPr>
                <w:rFonts w:hint="eastAsia" w:ascii="宋体" w:hAnsi="宋体" w:eastAsia="宋体" w:cs="宋体"/>
                <w:sz w:val="24"/>
                <w:szCs w:val="24"/>
              </w:rPr>
            </w:pPr>
            <w:r>
              <w:rPr>
                <w:rFonts w:hint="eastAsia" w:ascii="宋体" w:hAnsi="宋体" w:eastAsia="宋体" w:cs="宋体"/>
                <w:sz w:val="24"/>
                <w:szCs w:val="24"/>
              </w:rPr>
              <w:t>YY/T 0294.1-2016标准中的05Cr17Ni4Cu4Nb钢材料制造，组织拉钩进入人体部位表面粗糙度Ra值应≤0.8μm，具有不小于50N的弹性拉力。</w:t>
            </w:r>
          </w:p>
          <w:p>
            <w:pPr>
              <w:jc w:val="center"/>
              <w:rPr>
                <w:rFonts w:hint="eastAsia" w:ascii="宋体" w:hAnsi="宋体" w:eastAsia="宋体" w:cs="宋体"/>
                <w:sz w:val="24"/>
                <w:szCs w:val="24"/>
              </w:rPr>
            </w:pPr>
            <w:r>
              <w:rPr>
                <w:rFonts w:hint="eastAsia" w:ascii="宋体" w:hAnsi="宋体" w:eastAsia="宋体" w:cs="宋体"/>
                <w:sz w:val="24"/>
                <w:szCs w:val="24"/>
              </w:rPr>
              <w:t>头部宽度：40mm</w:t>
            </w:r>
          </w:p>
          <w:p>
            <w:pPr>
              <w:jc w:val="center"/>
              <w:rPr>
                <w:rFonts w:hint="eastAsia" w:ascii="宋体" w:hAnsi="宋体" w:eastAsia="宋体" w:cs="宋体"/>
                <w:sz w:val="24"/>
                <w:szCs w:val="24"/>
              </w:rPr>
            </w:pPr>
            <w:r>
              <w:rPr>
                <w:rFonts w:hint="eastAsia" w:ascii="宋体" w:hAnsi="宋体" w:eastAsia="宋体" w:cs="宋体"/>
                <w:sz w:val="24"/>
                <w:szCs w:val="24"/>
              </w:rPr>
              <w:t>头端弯曲角度：30度</w:t>
            </w:r>
          </w:p>
          <w:p>
            <w:pPr>
              <w:jc w:val="center"/>
              <w:rPr>
                <w:rFonts w:hint="eastAsia" w:ascii="宋体" w:hAnsi="宋体" w:eastAsia="宋体" w:cs="宋体"/>
                <w:sz w:val="24"/>
                <w:szCs w:val="24"/>
              </w:rPr>
            </w:pPr>
            <w:r>
              <w:rPr>
                <w:rFonts w:hint="eastAsia" w:ascii="宋体" w:hAnsi="宋体" w:eastAsia="宋体" w:cs="宋体"/>
                <w:sz w:val="24"/>
                <w:szCs w:val="24"/>
              </w:rPr>
              <w:t>钩身长：21cm</w:t>
            </w:r>
          </w:p>
          <w:p>
            <w:pPr>
              <w:jc w:val="center"/>
              <w:rPr>
                <w:rFonts w:hint="eastAsia" w:ascii="宋体" w:hAnsi="宋体" w:eastAsia="宋体" w:cs="宋体"/>
                <w:sz w:val="24"/>
                <w:szCs w:val="24"/>
              </w:rPr>
            </w:pPr>
            <w:r>
              <w:rPr>
                <w:rFonts w:hint="eastAsia" w:ascii="宋体" w:hAnsi="宋体" w:eastAsia="宋体" w:cs="宋体"/>
                <w:sz w:val="24"/>
                <w:szCs w:val="24"/>
              </w:rPr>
              <w:t>悬高：9cm</w:t>
            </w:r>
          </w:p>
          <w:p>
            <w:pPr>
              <w:jc w:val="center"/>
              <w:rPr>
                <w:rFonts w:hint="eastAsia" w:ascii="宋体" w:hAnsi="宋体" w:eastAsia="宋体" w:cs="宋体"/>
                <w:sz w:val="24"/>
                <w:szCs w:val="24"/>
              </w:rPr>
            </w:pPr>
            <w:r>
              <w:rPr>
                <w:rFonts w:hint="eastAsia" w:ascii="宋体" w:hAnsi="宋体" w:eastAsia="宋体" w:cs="宋体"/>
                <w:sz w:val="24"/>
                <w:szCs w:val="24"/>
              </w:rPr>
              <w:t>头端镂空</w:t>
            </w:r>
          </w:p>
        </w:tc>
        <w:tc>
          <w:tcPr>
            <w:tcW w:w="3173" w:type="dxa"/>
          </w:tcPr>
          <w:p>
            <w:pPr>
              <w:jc w:val="center"/>
              <w:rPr>
                <w:rFonts w:hint="eastAsia" w:ascii="宋体" w:hAnsi="宋体" w:eastAsia="宋体" w:cs="宋体"/>
                <w:sz w:val="24"/>
                <w:szCs w:val="24"/>
              </w:rPr>
            </w:pPr>
            <w:r>
              <w:rPr>
                <w:rFonts w:hint="eastAsia" w:ascii="宋体" w:hAnsi="宋体" w:eastAsia="宋体" w:cs="宋体"/>
                <w:sz w:val="24"/>
                <w:szCs w:val="24"/>
              </w:rPr>
              <w:t>头宽40，拉钩头端尺寸小，进入人体容易，钩头部分与钩体角度为30度，符合人体生理结构，整个承托肌肉形成完美的暴露间隙，使甲状腺腔镜手术具有良好的操作空间，大大降低手术难度，提高效率，可使手术时间接近传统开放手术。拉钩带有半埋式吸引管，不影响器械操作的同时可以有效吸引手术中能量器械产生的烟雾，术中无烟雾或水汽影响视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392" w:type="dxa"/>
          </w:tcPr>
          <w:p>
            <w:pPr>
              <w:jc w:val="center"/>
              <w:rPr>
                <w:rFonts w:hint="eastAsia" w:ascii="宋体" w:hAnsi="宋体" w:eastAsia="宋体" w:cs="宋体"/>
                <w:sz w:val="24"/>
                <w:szCs w:val="24"/>
              </w:rPr>
            </w:pPr>
            <w:r>
              <w:rPr>
                <w:rFonts w:hint="eastAsia" w:ascii="宋体" w:hAnsi="宋体" w:eastAsia="宋体" w:cs="宋体"/>
                <w:sz w:val="24"/>
                <w:szCs w:val="24"/>
              </w:rPr>
              <w:t>Ⅰ型甲状腺拉钩</w:t>
            </w:r>
          </w:p>
          <w:p>
            <w:pPr>
              <w:jc w:val="center"/>
              <w:rPr>
                <w:rFonts w:hint="eastAsia" w:ascii="宋体" w:hAnsi="宋体" w:eastAsia="宋体" w:cs="宋体"/>
                <w:sz w:val="24"/>
                <w:szCs w:val="24"/>
              </w:rPr>
            </w:pPr>
            <w:r>
              <w:rPr>
                <w:rFonts w:hint="eastAsia" w:ascii="宋体" w:hAnsi="宋体" w:eastAsia="宋体" w:cs="宋体"/>
                <w:sz w:val="24"/>
                <w:szCs w:val="24"/>
              </w:rPr>
              <w:t>小号右弯</w:t>
            </w: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314450" cy="2698750"/>
                  <wp:effectExtent l="0" t="0" r="1143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14450" cy="2698750"/>
                          </a:xfrm>
                          <a:prstGeom prst="rect">
                            <a:avLst/>
                          </a:prstGeom>
                          <a:noFill/>
                          <a:ln>
                            <a:noFill/>
                          </a:ln>
                        </pic:spPr>
                      </pic:pic>
                    </a:graphicData>
                  </a:graphic>
                </wp:inline>
              </w:drawing>
            </w:r>
          </w:p>
        </w:tc>
        <w:tc>
          <w:tcPr>
            <w:tcW w:w="3125" w:type="dxa"/>
          </w:tcPr>
          <w:p>
            <w:pPr>
              <w:jc w:val="center"/>
              <w:rPr>
                <w:rFonts w:hint="eastAsia" w:ascii="宋体" w:hAnsi="宋体" w:eastAsia="宋体" w:cs="宋体"/>
                <w:sz w:val="24"/>
                <w:szCs w:val="24"/>
              </w:rPr>
            </w:pPr>
            <w:r>
              <w:rPr>
                <w:rFonts w:hint="eastAsia" w:ascii="宋体" w:hAnsi="宋体" w:eastAsia="宋体" w:cs="宋体"/>
                <w:sz w:val="24"/>
                <w:szCs w:val="24"/>
              </w:rPr>
              <w:t>YY/T 0294.1-2016标准中的05Cr17Ni4Cu4Nb钢材料制造，组织拉钩进入人体部位表面粗糙度Ra值应≤0.8μm，具有不小于50N的弹性拉力。</w:t>
            </w:r>
          </w:p>
          <w:p>
            <w:pPr>
              <w:jc w:val="center"/>
              <w:rPr>
                <w:rFonts w:hint="eastAsia" w:ascii="宋体" w:hAnsi="宋体" w:eastAsia="宋体" w:cs="宋体"/>
                <w:sz w:val="24"/>
                <w:szCs w:val="24"/>
              </w:rPr>
            </w:pPr>
            <w:r>
              <w:rPr>
                <w:rFonts w:hint="eastAsia" w:ascii="宋体" w:hAnsi="宋体" w:eastAsia="宋体" w:cs="宋体"/>
                <w:sz w:val="24"/>
                <w:szCs w:val="24"/>
              </w:rPr>
              <w:t>头部宽度：40mm</w:t>
            </w:r>
          </w:p>
          <w:p>
            <w:pPr>
              <w:jc w:val="center"/>
              <w:rPr>
                <w:rFonts w:hint="eastAsia" w:ascii="宋体" w:hAnsi="宋体" w:eastAsia="宋体" w:cs="宋体"/>
                <w:sz w:val="24"/>
                <w:szCs w:val="24"/>
              </w:rPr>
            </w:pPr>
            <w:r>
              <w:rPr>
                <w:rFonts w:hint="eastAsia" w:ascii="宋体" w:hAnsi="宋体" w:eastAsia="宋体" w:cs="宋体"/>
                <w:sz w:val="24"/>
                <w:szCs w:val="24"/>
              </w:rPr>
              <w:t>头端弯曲角度：30度</w:t>
            </w:r>
          </w:p>
          <w:p>
            <w:pPr>
              <w:jc w:val="center"/>
              <w:rPr>
                <w:rFonts w:hint="eastAsia" w:ascii="宋体" w:hAnsi="宋体" w:eastAsia="宋体" w:cs="宋体"/>
                <w:sz w:val="24"/>
                <w:szCs w:val="24"/>
              </w:rPr>
            </w:pPr>
            <w:r>
              <w:rPr>
                <w:rFonts w:hint="eastAsia" w:ascii="宋体" w:hAnsi="宋体" w:eastAsia="宋体" w:cs="宋体"/>
                <w:sz w:val="24"/>
                <w:szCs w:val="24"/>
              </w:rPr>
              <w:t>钩身长：21cm</w:t>
            </w:r>
          </w:p>
          <w:p>
            <w:pPr>
              <w:jc w:val="center"/>
              <w:rPr>
                <w:rFonts w:hint="eastAsia" w:ascii="宋体" w:hAnsi="宋体" w:eastAsia="宋体" w:cs="宋体"/>
                <w:sz w:val="24"/>
                <w:szCs w:val="24"/>
              </w:rPr>
            </w:pPr>
            <w:r>
              <w:rPr>
                <w:rFonts w:hint="eastAsia" w:ascii="宋体" w:hAnsi="宋体" w:eastAsia="宋体" w:cs="宋体"/>
                <w:sz w:val="24"/>
                <w:szCs w:val="24"/>
              </w:rPr>
              <w:t>悬高：9cm</w:t>
            </w:r>
          </w:p>
          <w:p>
            <w:pPr>
              <w:jc w:val="center"/>
              <w:rPr>
                <w:rFonts w:hint="eastAsia" w:ascii="宋体" w:hAnsi="宋体" w:eastAsia="宋体" w:cs="宋体"/>
                <w:sz w:val="24"/>
                <w:szCs w:val="24"/>
              </w:rPr>
            </w:pPr>
            <w:r>
              <w:rPr>
                <w:rFonts w:hint="eastAsia" w:ascii="宋体" w:hAnsi="宋体" w:eastAsia="宋体" w:cs="宋体"/>
                <w:sz w:val="24"/>
                <w:szCs w:val="24"/>
              </w:rPr>
              <w:t>头端镂空</w:t>
            </w: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tc>
        <w:tc>
          <w:tcPr>
            <w:tcW w:w="3173" w:type="dxa"/>
          </w:tcPr>
          <w:p>
            <w:pPr>
              <w:jc w:val="center"/>
              <w:rPr>
                <w:rFonts w:hint="eastAsia" w:ascii="宋体" w:hAnsi="宋体" w:eastAsia="宋体" w:cs="宋体"/>
                <w:sz w:val="24"/>
                <w:szCs w:val="24"/>
              </w:rPr>
            </w:pPr>
            <w:r>
              <w:rPr>
                <w:rFonts w:hint="eastAsia" w:ascii="宋体" w:hAnsi="宋体" w:eastAsia="宋体" w:cs="宋体"/>
                <w:sz w:val="24"/>
                <w:szCs w:val="24"/>
              </w:rPr>
              <w:t>头宽40，拉钩头端尺寸小，进入人体容易，钩头部分与钩体角度为30度，符合人体生理结构，整个承托肌肉形成完美的暴露间隙，使甲状腺腔镜手术具有良好的操作空间，大大降低手术难度，提高效率，可使手术时间接近传统开放手术。拉钩带有半埋式吸引管，不影响器械操作的同时可以有效吸引手术中能量器械产生的烟雾，术中无烟雾或水汽影响视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392" w:type="dxa"/>
          </w:tcPr>
          <w:p>
            <w:pPr>
              <w:jc w:val="center"/>
              <w:rPr>
                <w:rFonts w:hint="eastAsia" w:ascii="宋体" w:hAnsi="宋体" w:eastAsia="宋体" w:cs="宋体"/>
                <w:sz w:val="24"/>
                <w:szCs w:val="24"/>
              </w:rPr>
            </w:pPr>
            <w:r>
              <w:rPr>
                <w:rFonts w:hint="eastAsia" w:ascii="宋体" w:hAnsi="宋体" w:eastAsia="宋体" w:cs="宋体"/>
                <w:sz w:val="24"/>
                <w:szCs w:val="24"/>
              </w:rPr>
              <w:t>Ⅰ型甲状腺拉钩</w:t>
            </w:r>
          </w:p>
          <w:p>
            <w:pPr>
              <w:jc w:val="center"/>
              <w:rPr>
                <w:rFonts w:hint="eastAsia" w:ascii="宋体" w:hAnsi="宋体" w:eastAsia="宋体" w:cs="宋体"/>
                <w:sz w:val="24"/>
                <w:szCs w:val="24"/>
              </w:rPr>
            </w:pPr>
            <w:r>
              <w:rPr>
                <w:rFonts w:hint="eastAsia" w:ascii="宋体" w:hAnsi="宋体" w:eastAsia="宋体" w:cs="宋体"/>
                <w:sz w:val="24"/>
                <w:szCs w:val="24"/>
              </w:rPr>
              <w:t>中号直</w:t>
            </w:r>
            <w:r>
              <w:rPr>
                <w:rFonts w:hint="eastAsia" w:ascii="宋体" w:hAnsi="宋体" w:eastAsia="宋体" w:cs="宋体"/>
                <w:sz w:val="24"/>
                <w:szCs w:val="24"/>
              </w:rPr>
              <w:drawing>
                <wp:inline distT="0" distB="0" distL="0" distR="0">
                  <wp:extent cx="1314450" cy="2686050"/>
                  <wp:effectExtent l="0" t="0" r="1143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14450" cy="2686050"/>
                          </a:xfrm>
                          <a:prstGeom prst="rect">
                            <a:avLst/>
                          </a:prstGeom>
                          <a:noFill/>
                          <a:ln>
                            <a:noFill/>
                          </a:ln>
                        </pic:spPr>
                      </pic:pic>
                    </a:graphicData>
                  </a:graphic>
                </wp:inline>
              </w:drawing>
            </w:r>
          </w:p>
        </w:tc>
        <w:tc>
          <w:tcPr>
            <w:tcW w:w="3125" w:type="dxa"/>
          </w:tcPr>
          <w:p>
            <w:pPr>
              <w:rPr>
                <w:rFonts w:hint="eastAsia" w:ascii="宋体" w:hAnsi="宋体" w:eastAsia="宋体" w:cs="宋体"/>
                <w:sz w:val="24"/>
                <w:szCs w:val="24"/>
              </w:rPr>
            </w:pPr>
            <w:r>
              <w:rPr>
                <w:rFonts w:hint="eastAsia" w:ascii="宋体" w:hAnsi="宋体" w:eastAsia="宋体" w:cs="宋体"/>
                <w:sz w:val="24"/>
                <w:szCs w:val="24"/>
              </w:rPr>
              <w:t>YY/T 0294.1-2016标准中的05Cr17Ni4Cu4Nb钢材料制造，组织拉钩进入人体部位表面粗糙度Ra值应≤0.8μm，具有不小于50N的弹性拉力。</w:t>
            </w:r>
          </w:p>
          <w:p>
            <w:pPr>
              <w:jc w:val="center"/>
              <w:rPr>
                <w:rFonts w:hint="eastAsia" w:ascii="宋体" w:hAnsi="宋体" w:eastAsia="宋体" w:cs="宋体"/>
                <w:sz w:val="24"/>
                <w:szCs w:val="24"/>
              </w:rPr>
            </w:pPr>
            <w:r>
              <w:rPr>
                <w:rFonts w:hint="eastAsia" w:ascii="宋体" w:hAnsi="宋体" w:eastAsia="宋体" w:cs="宋体"/>
                <w:sz w:val="24"/>
                <w:szCs w:val="24"/>
              </w:rPr>
              <w:t>头部宽度：60mm</w:t>
            </w:r>
          </w:p>
          <w:p>
            <w:pPr>
              <w:jc w:val="center"/>
              <w:rPr>
                <w:rFonts w:hint="eastAsia" w:ascii="宋体" w:hAnsi="宋体" w:eastAsia="宋体" w:cs="宋体"/>
                <w:sz w:val="24"/>
                <w:szCs w:val="24"/>
              </w:rPr>
            </w:pPr>
            <w:r>
              <w:rPr>
                <w:rFonts w:hint="eastAsia" w:ascii="宋体" w:hAnsi="宋体" w:eastAsia="宋体" w:cs="宋体"/>
                <w:sz w:val="24"/>
                <w:szCs w:val="24"/>
              </w:rPr>
              <w:t>钩身长：20cm</w:t>
            </w:r>
          </w:p>
          <w:p>
            <w:pPr>
              <w:jc w:val="center"/>
              <w:rPr>
                <w:rFonts w:hint="eastAsia" w:ascii="宋体" w:hAnsi="宋体" w:eastAsia="宋体" w:cs="宋体"/>
                <w:sz w:val="24"/>
                <w:szCs w:val="24"/>
              </w:rPr>
            </w:pPr>
            <w:r>
              <w:rPr>
                <w:rFonts w:hint="eastAsia" w:ascii="宋体" w:hAnsi="宋体" w:eastAsia="宋体" w:cs="宋体"/>
                <w:sz w:val="24"/>
                <w:szCs w:val="24"/>
              </w:rPr>
              <w:t>悬高：9cm</w:t>
            </w:r>
          </w:p>
          <w:p>
            <w:pPr>
              <w:jc w:val="center"/>
              <w:rPr>
                <w:rFonts w:hint="eastAsia" w:ascii="宋体" w:hAnsi="宋体" w:eastAsia="宋体" w:cs="宋体"/>
                <w:sz w:val="24"/>
                <w:szCs w:val="24"/>
              </w:rPr>
            </w:pPr>
            <w:r>
              <w:rPr>
                <w:rFonts w:hint="eastAsia" w:ascii="宋体" w:hAnsi="宋体" w:eastAsia="宋体" w:cs="宋体"/>
                <w:sz w:val="24"/>
                <w:szCs w:val="24"/>
              </w:rPr>
              <w:t>头端镂空</w:t>
            </w:r>
          </w:p>
          <w:p>
            <w:pPr>
              <w:jc w:val="center"/>
              <w:rPr>
                <w:rFonts w:hint="eastAsia" w:ascii="宋体" w:hAnsi="宋体" w:eastAsia="宋体" w:cs="宋体"/>
                <w:sz w:val="24"/>
                <w:szCs w:val="24"/>
              </w:rPr>
            </w:pPr>
          </w:p>
        </w:tc>
        <w:tc>
          <w:tcPr>
            <w:tcW w:w="3173" w:type="dxa"/>
          </w:tcPr>
          <w:p>
            <w:pPr>
              <w:jc w:val="center"/>
              <w:rPr>
                <w:rFonts w:hint="eastAsia" w:ascii="宋体" w:hAnsi="宋体" w:eastAsia="宋体" w:cs="宋体"/>
                <w:sz w:val="24"/>
                <w:szCs w:val="24"/>
              </w:rPr>
            </w:pPr>
            <w:r>
              <w:rPr>
                <w:rFonts w:hint="eastAsia" w:ascii="宋体" w:hAnsi="宋体" w:eastAsia="宋体" w:cs="宋体"/>
                <w:sz w:val="24"/>
                <w:szCs w:val="24"/>
              </w:rPr>
              <w:t>头宽60，整个承托肌肉，形成完美的暴露间隙，使甲状腺腔镜手术具有良好的操作空间，大大降低手术难度，提高效率，可让手术时间接近传统开放手术。拉钩带有半埋式吸引管，不影响器械操作的同时可以有效吸引手术中能量器械产生的烟雾，术中无烟雾或水汽影响视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392" w:type="dxa"/>
          </w:tcPr>
          <w:p>
            <w:pPr>
              <w:jc w:val="center"/>
              <w:rPr>
                <w:rFonts w:hint="eastAsia" w:ascii="宋体" w:hAnsi="宋体" w:eastAsia="宋体" w:cs="宋体"/>
                <w:sz w:val="24"/>
                <w:szCs w:val="24"/>
              </w:rPr>
            </w:pPr>
            <w:r>
              <w:rPr>
                <w:rFonts w:hint="eastAsia" w:ascii="宋体" w:hAnsi="宋体" w:eastAsia="宋体" w:cs="宋体"/>
                <w:sz w:val="24"/>
                <w:szCs w:val="24"/>
              </w:rPr>
              <w:t>Ⅱ型甲状腺拉钩</w:t>
            </w:r>
          </w:p>
          <w:p>
            <w:pPr>
              <w:jc w:val="center"/>
              <w:rPr>
                <w:rFonts w:hint="eastAsia" w:ascii="宋体" w:hAnsi="宋体" w:eastAsia="宋体" w:cs="宋体"/>
                <w:sz w:val="24"/>
                <w:szCs w:val="24"/>
              </w:rPr>
            </w:pPr>
            <w:r>
              <w:rPr>
                <w:rFonts w:hint="eastAsia" w:ascii="宋体" w:hAnsi="宋体" w:eastAsia="宋体" w:cs="宋体"/>
                <w:sz w:val="24"/>
                <w:szCs w:val="24"/>
              </w:rPr>
              <w:t xml:space="preserve"> 15</w:t>
            </w:r>
          </w:p>
          <w:p>
            <w:pPr>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314450" cy="1701800"/>
                  <wp:effectExtent l="0" t="0" r="1143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14450" cy="1701800"/>
                          </a:xfrm>
                          <a:prstGeom prst="rect">
                            <a:avLst/>
                          </a:prstGeom>
                          <a:noFill/>
                          <a:ln>
                            <a:noFill/>
                          </a:ln>
                        </pic:spPr>
                      </pic:pic>
                    </a:graphicData>
                  </a:graphic>
                </wp:inline>
              </w:drawing>
            </w:r>
          </w:p>
        </w:tc>
        <w:tc>
          <w:tcPr>
            <w:tcW w:w="3125" w:type="dxa"/>
          </w:tcPr>
          <w:p>
            <w:pPr>
              <w:jc w:val="center"/>
              <w:rPr>
                <w:rFonts w:hint="eastAsia" w:ascii="宋体" w:hAnsi="宋体" w:eastAsia="宋体" w:cs="宋体"/>
                <w:sz w:val="24"/>
                <w:szCs w:val="24"/>
              </w:rPr>
            </w:pPr>
            <w:r>
              <w:rPr>
                <w:rFonts w:hint="eastAsia" w:ascii="宋体" w:hAnsi="宋体" w:eastAsia="宋体" w:cs="宋体"/>
                <w:sz w:val="24"/>
                <w:szCs w:val="24"/>
              </w:rPr>
              <w:t>YY/T 0294.1-2016标准中的05Cr17Ni4Cu4Nb钢材料制造，组织拉钩进入人体部位表面粗糙度Ra值应≤0.8μm，具有不小于50N的弹性拉力。</w:t>
            </w:r>
          </w:p>
          <w:p>
            <w:pPr>
              <w:jc w:val="center"/>
              <w:rPr>
                <w:rFonts w:hint="eastAsia" w:ascii="宋体" w:hAnsi="宋体" w:eastAsia="宋体" w:cs="宋体"/>
                <w:sz w:val="24"/>
                <w:szCs w:val="24"/>
              </w:rPr>
            </w:pPr>
            <w:r>
              <w:rPr>
                <w:rFonts w:hint="eastAsia" w:ascii="宋体" w:hAnsi="宋体" w:eastAsia="宋体" w:cs="宋体"/>
                <w:sz w:val="24"/>
                <w:szCs w:val="24"/>
              </w:rPr>
              <w:t>长短钩身长度：6/17cm</w:t>
            </w:r>
          </w:p>
          <w:p>
            <w:pPr>
              <w:jc w:val="center"/>
              <w:rPr>
                <w:rFonts w:hint="eastAsia" w:ascii="宋体" w:hAnsi="宋体" w:eastAsia="宋体" w:cs="宋体"/>
                <w:sz w:val="24"/>
                <w:szCs w:val="24"/>
              </w:rPr>
            </w:pPr>
            <w:r>
              <w:rPr>
                <w:rFonts w:hint="eastAsia" w:ascii="宋体" w:hAnsi="宋体" w:eastAsia="宋体" w:cs="宋体"/>
                <w:sz w:val="24"/>
                <w:szCs w:val="24"/>
              </w:rPr>
              <w:t>钩头宽度15mm</w:t>
            </w:r>
          </w:p>
        </w:tc>
        <w:tc>
          <w:tcPr>
            <w:tcW w:w="3173" w:type="dxa"/>
          </w:tcPr>
          <w:p>
            <w:pPr>
              <w:jc w:val="center"/>
              <w:rPr>
                <w:rFonts w:hint="eastAsia" w:ascii="宋体" w:hAnsi="宋体" w:eastAsia="宋体" w:cs="宋体"/>
                <w:sz w:val="24"/>
                <w:szCs w:val="24"/>
              </w:rPr>
            </w:pPr>
            <w:r>
              <w:rPr>
                <w:rFonts w:hint="eastAsia" w:ascii="宋体" w:hAnsi="宋体" w:eastAsia="宋体" w:cs="宋体"/>
                <w:sz w:val="24"/>
                <w:szCs w:val="24"/>
              </w:rPr>
              <w:t>用于手术初始建立腋窝和甲状腺之间的腔道。长钩头设计异常手术的建腔。</w:t>
            </w:r>
          </w:p>
          <w:p>
            <w:pPr>
              <w:jc w:val="both"/>
              <w:rPr>
                <w:rFonts w:hint="eastAsia" w:ascii="宋体" w:hAnsi="宋体" w:eastAsia="宋体" w:cs="宋体"/>
                <w:sz w:val="24"/>
                <w:szCs w:val="24"/>
              </w:rPr>
            </w:pPr>
          </w:p>
        </w:tc>
      </w:tr>
    </w:tbl>
    <w:p>
      <w:pPr>
        <w:spacing w:line="360" w:lineRule="auto"/>
        <w:ind w:firstLine="482" w:firstLineChars="200"/>
        <w:rPr>
          <w:rFonts w:hint="eastAsia" w:asciiTheme="minorEastAsia" w:hAnsiTheme="minorEastAsia" w:eastAsiaTheme="minorEastAsia" w:cstheme="minorEastAsia"/>
          <w:b/>
          <w:bCs w:val="0"/>
          <w:color w:val="auto"/>
          <w:kern w:val="0"/>
          <w:sz w:val="24"/>
          <w:szCs w:val="24"/>
          <w:lang w:val="en-US" w:eastAsia="zh-CN" w:bidi="ar-SA"/>
        </w:rPr>
      </w:pPr>
    </w:p>
    <w:p>
      <w:pPr>
        <w:pStyle w:val="2"/>
        <w:keepNext/>
        <w:keepLines/>
        <w:pageBreakBefore w:val="0"/>
        <w:widowControl w:val="0"/>
        <w:numPr>
          <w:ilvl w:val="0"/>
          <w:numId w:val="0"/>
        </w:numPr>
        <w:kinsoku/>
        <w:wordWrap/>
        <w:overflowPunct/>
        <w:topLinePunct w:val="0"/>
        <w:autoSpaceDE/>
        <w:autoSpaceDN/>
        <w:bidi w:val="0"/>
        <w:adjustRightInd w:val="0"/>
        <w:snapToGrid/>
        <w:spacing w:before="0" w:after="0" w:line="360" w:lineRule="auto"/>
        <w:ind w:firstLine="482" w:firstLineChars="200"/>
        <w:textAlignment w:val="baseline"/>
        <w:rPr>
          <w:rFonts w:hint="eastAsia" w:asciiTheme="minorEastAsia" w:hAnsiTheme="minorEastAsia" w:eastAsiaTheme="minorEastAsia" w:cstheme="minorEastAsia"/>
          <w:b/>
          <w:bCs w:val="0"/>
          <w:color w:val="auto"/>
          <w:kern w:val="0"/>
          <w:sz w:val="24"/>
          <w:szCs w:val="24"/>
          <w:lang w:val="en-US" w:eastAsia="zh-CN" w:bidi="ar-SA"/>
        </w:rPr>
      </w:pPr>
      <w:r>
        <w:rPr>
          <w:rFonts w:hint="eastAsia" w:ascii="宋体" w:hAnsi="宋体" w:eastAsia="宋体" w:cs="宋体"/>
          <w:b/>
          <w:bCs/>
          <w:color w:val="auto"/>
          <w:sz w:val="24"/>
          <w:szCs w:val="24"/>
          <w:lang w:val="en-US" w:eastAsia="zh-CN"/>
        </w:rPr>
        <w:t xml:space="preserve"> </w:t>
      </w:r>
      <w:r>
        <w:rPr>
          <w:rFonts w:hint="eastAsia" w:asciiTheme="minorEastAsia" w:hAnsiTheme="minorEastAsia" w:eastAsiaTheme="minorEastAsia" w:cstheme="minorEastAsia"/>
          <w:b/>
          <w:bCs w:val="0"/>
          <w:color w:val="auto"/>
          <w:kern w:val="0"/>
          <w:sz w:val="24"/>
          <w:szCs w:val="24"/>
          <w:lang w:val="en-US" w:eastAsia="zh-CN" w:bidi="ar-SA"/>
        </w:rPr>
        <w:t>商务参数：</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lang w:val="en-US" w:eastAsia="zh-CN"/>
        </w:rPr>
      </w:pPr>
      <w:r>
        <w:rPr>
          <w:rFonts w:hint="eastAsia" w:ascii="宋体" w:hAnsi="宋体" w:eastAsia="宋体" w:cs="宋体"/>
          <w:color w:val="auto"/>
          <w:sz w:val="24"/>
          <w:szCs w:val="24"/>
        </w:rPr>
        <w:t>1、运输、装卸、培训、安装调试：由中标人负责承担，最终通过使用科室、设备科及相关部门确认验收交付使用。</w:t>
      </w:r>
      <w:r>
        <w:rPr>
          <w:rFonts w:hint="eastAsia" w:ascii="宋体" w:hAnsi="宋体" w:eastAsia="宋体" w:cs="宋体"/>
          <w:color w:val="auto"/>
          <w:sz w:val="24"/>
          <w:szCs w:val="24"/>
        </w:rPr>
        <w:cr/>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2、交货时间：按</w:t>
      </w:r>
      <w:r>
        <w:rPr>
          <w:rFonts w:hint="eastAsia" w:ascii="宋体" w:hAnsi="宋体" w:cs="宋体"/>
          <w:color w:val="auto"/>
          <w:sz w:val="24"/>
          <w:szCs w:val="24"/>
          <w:lang w:val="en-US" w:eastAsia="zh-CN"/>
        </w:rPr>
        <w:t>合同约定的日期交货。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、交货地点：娄底市中心医院</w:t>
      </w:r>
      <w:r>
        <w:rPr>
          <w:rFonts w:hint="eastAsia" w:ascii="宋体" w:hAnsi="宋体" w:cs="宋体"/>
          <w:color w:val="auto"/>
          <w:sz w:val="24"/>
          <w:szCs w:val="24"/>
          <w:lang w:val="en-US" w:eastAsia="zh-CN"/>
        </w:rPr>
        <w:t>指定地点</w:t>
      </w:r>
      <w:r>
        <w:rPr>
          <w:rFonts w:hint="eastAsia" w:ascii="宋体" w:hAnsi="宋体" w:eastAsia="宋体" w:cs="宋体"/>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、付款方式：设备验收合格后，供应商将发票交到娄底市中心医院后按程序支付货款90%（按医院财务制度一般情况下4个月内支付、特殊情况下最多不超过6个月），甲方在设备验收合格</w:t>
      </w:r>
      <w:r>
        <w:rPr>
          <w:rFonts w:hint="eastAsia" w:ascii="宋体" w:hAnsi="宋体" w:eastAsia="宋体" w:cs="宋体"/>
          <w:color w:val="auto"/>
          <w:sz w:val="24"/>
          <w:szCs w:val="24"/>
          <w:lang w:val="en-US" w:eastAsia="zh-CN"/>
        </w:rPr>
        <w:t>满</w:t>
      </w:r>
      <w:r>
        <w:rPr>
          <w:rFonts w:hint="eastAsia" w:ascii="宋体" w:hAnsi="宋体" w:cs="宋体"/>
          <w:color w:val="auto"/>
          <w:sz w:val="24"/>
          <w:szCs w:val="24"/>
          <w:u w:val="none"/>
          <w:lang w:val="en-US" w:eastAsia="zh-CN"/>
        </w:rPr>
        <w:t>1年</w:t>
      </w:r>
      <w:r>
        <w:rPr>
          <w:rFonts w:hint="eastAsia" w:ascii="宋体" w:hAnsi="宋体" w:eastAsia="宋体" w:cs="宋体"/>
          <w:color w:val="auto"/>
          <w:sz w:val="24"/>
          <w:szCs w:val="24"/>
        </w:rPr>
        <w:t>后</w:t>
      </w:r>
      <w:r>
        <w:rPr>
          <w:rFonts w:hint="eastAsia" w:ascii="宋体" w:hAnsi="宋体" w:cs="宋体"/>
          <w:color w:val="auto"/>
          <w:sz w:val="24"/>
          <w:szCs w:val="24"/>
          <w:lang w:eastAsia="zh-CN"/>
        </w:rPr>
        <w:t>免息</w:t>
      </w:r>
      <w:r>
        <w:rPr>
          <w:rFonts w:hint="eastAsia" w:ascii="宋体" w:hAnsi="宋体" w:eastAsia="宋体" w:cs="宋体"/>
          <w:color w:val="auto"/>
          <w:sz w:val="24"/>
          <w:szCs w:val="24"/>
        </w:rPr>
        <w:t>支付10%余款给乙方。</w:t>
      </w:r>
      <w:r>
        <w:rPr>
          <w:rFonts w:hint="eastAsia" w:ascii="宋体" w:hAnsi="宋体" w:eastAsia="宋体" w:cs="宋体"/>
          <w:color w:val="auto"/>
          <w:sz w:val="24"/>
          <w:szCs w:val="24"/>
        </w:rPr>
        <w:cr/>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5、质保与售后：整机保修</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年，终身维修。验收时出具原厂售后质保承诺书，质保期内每年巡检一次，并提交巡检记录。质保期内出现故障，24小时响应，响应后4小时上门服务。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6、在投标文件中必须提供相关佐证资料（加盖投标人公章的技术参数、技术白皮书、说明书、彩页），并在响应表中备注该条参数响应或正偏离的佐证资料所在页码。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heme="minorEastAsia" w:hAnsiTheme="minorEastAsia" w:eastAsiaTheme="minorEastAsia" w:cstheme="minorEastAsia"/>
          <w:bCs/>
          <w:color w:val="auto"/>
          <w:kern w:val="0"/>
          <w:sz w:val="28"/>
          <w:szCs w:val="28"/>
          <w:lang w:val="en-US" w:eastAsia="zh-CN" w:bidi="ar-SA"/>
        </w:rPr>
      </w:pPr>
      <w:r>
        <w:rPr>
          <w:rFonts w:hint="eastAsia" w:asciiTheme="minorEastAsia" w:hAnsiTheme="minorEastAsia" w:eastAsiaTheme="minorEastAsia" w:cstheme="minorEastAsia"/>
          <w:bCs/>
          <w:color w:val="auto"/>
          <w:kern w:val="0"/>
          <w:sz w:val="28"/>
          <w:szCs w:val="28"/>
          <w:lang w:val="en-US" w:eastAsia="zh-CN" w:bidi="ar-SA"/>
        </w:rPr>
        <w:t>三、标书要求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1、封面：需注明标的名称、投标文件、单位、时间；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2、“三证合一”或“五证合一”营业执照，医疗器械经营许可证或医疗器械经营备案凭证（按法律规定提供证件）、生产厂家营业执照、生产许可证（如按法律规定需提供）、产品注册证（如按法律规定需提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3、投标人身份证复印件；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4、如投标人不是法定代表人，须持法定代表人亲笔签名的授权委托书,并提供法定代表人身份证明和法定代表人身份证复印件，同时要求法定代表人在身份证复印件上注明用途及签全名。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5、履行本项目所必需的资质证明；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6、针对此项目的技术、服务方案；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7、投标人认为需提供的其他和评审有关的资料；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8、投标文件的每一页都必须加盖投标单位的公章；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9、投标文件参数响应表中必须标注响应项佐证材料所对应页面。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10、所有资料均应编入投标文件，胶装并用纸质文件袋封好（一正一副），标书必须“A4规格纸张胶制（非打孔或夹装）装订成册，并编制总目录”,要求密封，否则视为符合性审查不合格，作无效投标处理，在开标现场验证时打开，采用现场开标的方式。</w:t>
      </w:r>
    </w:p>
    <w:p>
      <w:pPr>
        <w:spacing w:line="360" w:lineRule="auto"/>
        <w:ind w:firstLine="560" w:firstLineChars="200"/>
        <w:rPr>
          <w:rFonts w:hint="eastAsia" w:asciiTheme="minorEastAsia" w:hAnsiTheme="minorEastAsia" w:eastAsiaTheme="minorEastAsia" w:cstheme="minorEastAsia"/>
          <w:bCs/>
          <w:color w:val="auto"/>
          <w:kern w:val="0"/>
          <w:sz w:val="28"/>
          <w:szCs w:val="28"/>
          <w:lang w:val="en-US" w:eastAsia="zh-CN" w:bidi="ar-SA"/>
        </w:rPr>
      </w:pPr>
      <w:r>
        <w:rPr>
          <w:rFonts w:hint="eastAsia" w:asciiTheme="minorEastAsia" w:hAnsiTheme="minorEastAsia" w:eastAsiaTheme="minorEastAsia" w:cstheme="minorEastAsia"/>
          <w:bCs/>
          <w:color w:val="auto"/>
          <w:kern w:val="0"/>
          <w:sz w:val="28"/>
          <w:szCs w:val="28"/>
          <w:lang w:val="en-US" w:eastAsia="zh-CN" w:bidi="ar-SA"/>
        </w:rPr>
        <w:t>四、合同</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sz w:val="24"/>
        </w:rPr>
        <w:t xml:space="preserve">                                        </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auto"/>
          <w:sz w:val="24"/>
          <w:szCs w:val="24"/>
          <w:lang w:val="en-US" w:eastAsia="zh-CN"/>
        </w:rPr>
        <w:t xml:space="preserve">   合同编号：</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auto"/>
          <w:sz w:val="24"/>
          <w:szCs w:val="24"/>
          <w:lang w:val="en-US" w:eastAsia="zh-CN"/>
        </w:rPr>
      </w:pPr>
      <w:r>
        <w:rPr>
          <w:rFonts w:hint="eastAsia" w:ascii="黑体" w:hAnsi="黑体" w:eastAsia="黑体" w:cs="黑体"/>
          <w:color w:val="auto"/>
          <w:sz w:val="44"/>
          <w:szCs w:val="44"/>
          <w:lang w:val="en-US" w:eastAsia="zh-CN"/>
        </w:rPr>
        <w:t>医疗器械采购合同</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甲方（采购方）：</w:t>
      </w:r>
      <w:r>
        <w:rPr>
          <w:rFonts w:hint="eastAsia" w:ascii="宋体" w:hAnsi="宋体" w:eastAsia="宋体" w:cs="宋体"/>
          <w:color w:val="auto"/>
          <w:sz w:val="24"/>
          <w:szCs w:val="24"/>
          <w:lang w:val="en-US" w:eastAsia="zh-CN"/>
        </w:rPr>
        <w:t>娄底市中心医院</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统一社会信用代码：12431300447162073W</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地址：湖南省娄底市娄星区长青中街51号</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联系人：彭耀华</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联系电话：18711825378</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乙方（供货方）：</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统一社会信用代码：</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宋体" w:hAnsi="宋体" w:eastAsia="宋体" w:cs="宋体"/>
          <w:color w:val="auto"/>
          <w:sz w:val="24"/>
          <w:szCs w:val="24"/>
          <w:lang w:val="en-US" w:eastAsia="zh-CN"/>
        </w:rPr>
        <w:t>地址：</w:t>
      </w:r>
    </w:p>
    <w:p>
      <w:pPr>
        <w:keepNext w:val="0"/>
        <w:keepLines w:val="0"/>
        <w:pageBreakBefore w:val="0"/>
        <w:widowControl w:val="0"/>
        <w:kinsoku/>
        <w:wordWrap/>
        <w:overflowPunct/>
        <w:topLinePunct w:val="0"/>
        <w:autoSpaceDE/>
        <w:autoSpaceDN/>
        <w:bidi w:val="0"/>
        <w:adjustRightInd/>
        <w:snapToGrid/>
        <w:spacing w:line="440" w:lineRule="exact"/>
        <w:ind w:left="5040" w:hanging="4320" w:hangingChars="1800"/>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联系人：</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联系电话：</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甲方通过</w:t>
      </w:r>
      <w:r>
        <w:rPr>
          <w:rFonts w:hint="eastAsia" w:ascii="宋体" w:hAnsi="宋体" w:eastAsia="宋体" w:cs="宋体"/>
          <w:color w:val="auto"/>
          <w:sz w:val="24"/>
          <w:szCs w:val="24"/>
          <w:u w:val="single"/>
          <w:lang w:val="en-US" w:eastAsia="zh-CN"/>
        </w:rPr>
        <w:t xml:space="preserve"> 医院公开挂网 </w:t>
      </w:r>
      <w:r>
        <w:rPr>
          <w:rFonts w:hint="eastAsia" w:ascii="宋体" w:hAnsi="宋体" w:eastAsia="宋体" w:cs="宋体"/>
          <w:color w:val="auto"/>
          <w:sz w:val="24"/>
          <w:szCs w:val="24"/>
          <w:u w:val="none"/>
          <w:lang w:val="en-US" w:eastAsia="zh-CN"/>
        </w:rPr>
        <w:t>方式采</w:t>
      </w:r>
      <w:r>
        <w:rPr>
          <w:rFonts w:hint="eastAsia" w:ascii="宋体" w:hAnsi="宋体" w:eastAsia="宋体" w:cs="宋体"/>
          <w:color w:val="auto"/>
          <w:sz w:val="24"/>
          <w:szCs w:val="24"/>
          <w:lang w:val="en-US" w:eastAsia="zh-CN"/>
        </w:rPr>
        <w:t xml:space="preserve">购 </w:t>
      </w:r>
      <w:r>
        <w:rPr>
          <w:rFonts w:hint="eastAsia" w:ascii="宋体" w:hAnsi="宋体" w:eastAsia="宋体" w:cs="宋体"/>
          <w:color w:val="000000" w:themeColor="text1"/>
          <w:kern w:val="0"/>
          <w:sz w:val="24"/>
          <w:szCs w:val="24"/>
          <w:u w:val="single"/>
          <w:lang w:val="en-US" w:eastAsia="zh-CN"/>
          <w14:textFill>
            <w14:solidFill>
              <w14:schemeClr w14:val="tx1"/>
            </w14:solidFill>
          </w14:textFill>
        </w:rPr>
        <w:t>甲状腺手术器械一批</w:t>
      </w:r>
      <w:r>
        <w:rPr>
          <w:rFonts w:hint="eastAsia" w:ascii="宋体" w:hAnsi="宋体" w:eastAsia="宋体" w:cs="宋体"/>
          <w:color w:val="auto"/>
          <w:sz w:val="24"/>
          <w:szCs w:val="24"/>
          <w:lang w:val="en-US" w:eastAsia="zh-CN"/>
        </w:rPr>
        <w:t>，乙方为成交供应商。根据《中华人民共和国民法典》《中华人民共和国政府采购法》等相关法律规定，甲乙双方在采购项目确定的基础上，就采购</w:t>
      </w:r>
      <w:r>
        <w:rPr>
          <w:rFonts w:hint="eastAsia" w:ascii="宋体" w:hAnsi="宋体" w:eastAsia="宋体" w:cs="宋体"/>
          <w:color w:val="000000" w:themeColor="text1"/>
          <w:kern w:val="0"/>
          <w:sz w:val="24"/>
          <w:szCs w:val="24"/>
          <w:u w:val="single"/>
          <w:lang w:val="en-US" w:eastAsia="zh-CN"/>
          <w14:textFill>
            <w14:solidFill>
              <w14:schemeClr w14:val="tx1"/>
            </w14:solidFill>
          </w14:textFill>
        </w:rPr>
        <w:t>甲状腺手术器械一批</w:t>
      </w:r>
      <w:r>
        <w:rPr>
          <w:rFonts w:hint="eastAsia" w:ascii="宋体" w:hAnsi="宋体" w:eastAsia="宋体" w:cs="宋体"/>
          <w:color w:val="auto"/>
          <w:sz w:val="24"/>
          <w:szCs w:val="24"/>
          <w:lang w:val="en-US" w:eastAsia="zh-CN"/>
        </w:rPr>
        <w:t>事宜平等、自愿、公平、诚信协商，达成一致，特订立本合同，以资共同遵守。</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采购内容</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 项目名称、品牌、总价见下表，详细医疗器械名称、型号、分项价格、单价等见附件：</w:t>
      </w:r>
    </w:p>
    <w:tbl>
      <w:tblPr>
        <w:tblStyle w:val="9"/>
        <w:tblpPr w:leftFromText="180" w:rightFromText="180" w:vertAnchor="text" w:horzAnchor="page" w:tblpX="1885" w:tblpY="148"/>
        <w:tblOverlap w:val="never"/>
        <w:tblW w:w="83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3105"/>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415" w:type="dxa"/>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项目</w:t>
            </w:r>
            <w:r>
              <w:rPr>
                <w:rFonts w:hint="eastAsia" w:ascii="宋体" w:hAnsi="宋体" w:eastAsia="宋体" w:cs="宋体"/>
                <w:color w:val="000000" w:themeColor="text1"/>
                <w:kern w:val="0"/>
                <w:sz w:val="24"/>
                <w:szCs w:val="24"/>
                <w14:textFill>
                  <w14:solidFill>
                    <w14:schemeClr w14:val="tx1"/>
                  </w14:solidFill>
                </w14:textFill>
              </w:rPr>
              <w:t>名称</w:t>
            </w:r>
          </w:p>
        </w:tc>
        <w:tc>
          <w:tcPr>
            <w:tcW w:w="3105" w:type="dxa"/>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品牌</w:t>
            </w:r>
          </w:p>
        </w:tc>
        <w:tc>
          <w:tcPr>
            <w:tcW w:w="2827" w:type="dxa"/>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 w:val="0"/>
                <w:bCs w:val="0"/>
                <w:color w:val="000000"/>
                <w:kern w:val="0"/>
                <w:sz w:val="21"/>
                <w:szCs w:val="21"/>
                <w:lang w:val="en-US" w:eastAsia="zh-CN"/>
              </w:rPr>
              <w:t>暂定</w:t>
            </w:r>
            <w:r>
              <w:rPr>
                <w:rFonts w:hint="eastAsia" w:ascii="宋体" w:hAnsi="宋体" w:eastAsia="宋体" w:cs="宋体"/>
                <w:b w:val="0"/>
                <w:bCs w:val="0"/>
                <w:color w:val="000000"/>
                <w:kern w:val="0"/>
                <w:sz w:val="21"/>
                <w:szCs w:val="21"/>
                <w:lang w:eastAsia="zh-CN"/>
              </w:rPr>
              <w:t>总价</w:t>
            </w:r>
            <w:r>
              <w:rPr>
                <w:rFonts w:hint="eastAsia" w:ascii="宋体" w:hAnsi="宋体" w:eastAsia="宋体" w:cs="宋体"/>
                <w:b w:val="0"/>
                <w:bCs w:val="0"/>
                <w:color w:val="000000"/>
                <w:kern w:val="0"/>
                <w:sz w:val="21"/>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41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甲状腺手术器械一批</w:t>
            </w:r>
          </w:p>
        </w:tc>
        <w:tc>
          <w:tcPr>
            <w:tcW w:w="310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lang w:val="en-US" w:eastAsia="zh-CN"/>
                <w14:textFill>
                  <w14:solidFill>
                    <w14:schemeClr w14:val="tx1"/>
                  </w14:solidFill>
                </w14:textFill>
              </w:rPr>
            </w:pPr>
          </w:p>
        </w:tc>
        <w:tc>
          <w:tcPr>
            <w:tcW w:w="2827"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themeColor="text1"/>
                <w:kern w:val="0"/>
                <w:sz w:val="24"/>
                <w:szCs w:val="24"/>
                <w:lang w:val="en-US" w:eastAsia="zh-CN"/>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auto"/>
          <w:sz w:val="24"/>
          <w:szCs w:val="24"/>
          <w:lang w:val="en-US" w:eastAsia="zh-CN"/>
        </w:rPr>
        <w:t>1.2 本合同约定价格为固定单价，</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不因物价、市场波动变更，约定价格包括且不限于设计费、材料费、人工费、安装费、包装费、运输费、装卸费、调试费、接口费、检测费、检验费、税费、保险费、售后服务费、附随服务费等在内所有费用。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1.3 </w:t>
      </w:r>
      <w:r>
        <w:rPr>
          <w:rFonts w:hint="eastAsia" w:ascii="宋体" w:hAnsi="宋体" w:cs="宋体"/>
          <w:color w:val="000000" w:themeColor="text1"/>
          <w:sz w:val="24"/>
          <w:szCs w:val="24"/>
          <w:highlight w:val="none"/>
          <w14:textFill>
            <w14:solidFill>
              <w14:schemeClr w14:val="tx1"/>
            </w14:solidFill>
          </w14:textFill>
        </w:rPr>
        <w:t>本合同</w:t>
      </w:r>
      <w:r>
        <w:rPr>
          <w:rFonts w:hint="eastAsia" w:ascii="宋体" w:hAnsi="宋体" w:cs="宋体"/>
          <w:color w:val="000000" w:themeColor="text1"/>
          <w:sz w:val="24"/>
          <w:szCs w:val="24"/>
          <w:highlight w:val="none"/>
          <w:lang w:val="en-US" w:eastAsia="zh-CN"/>
          <w14:textFill>
            <w14:solidFill>
              <w14:schemeClr w14:val="tx1"/>
            </w14:solidFill>
          </w14:textFill>
        </w:rPr>
        <w:t>医疗器械</w:t>
      </w:r>
      <w:r>
        <w:rPr>
          <w:rFonts w:hint="eastAsia" w:ascii="宋体" w:hAnsi="宋体" w:cs="宋体"/>
          <w:color w:val="000000" w:themeColor="text1"/>
          <w:sz w:val="24"/>
          <w:szCs w:val="24"/>
          <w:highlight w:val="none"/>
          <w:lang w:eastAsia="zh-CN"/>
          <w14:textFill>
            <w14:solidFill>
              <w14:schemeClr w14:val="tx1"/>
            </w14:solidFill>
          </w14:textFill>
        </w:rPr>
        <w:t>无需</w:t>
      </w:r>
      <w:r>
        <w:rPr>
          <w:rFonts w:hint="eastAsia" w:ascii="宋体" w:hAnsi="宋体" w:cs="宋体"/>
          <w:color w:val="000000" w:themeColor="text1"/>
          <w:sz w:val="24"/>
          <w:szCs w:val="24"/>
          <w:highlight w:val="none"/>
          <w14:textFill>
            <w14:solidFill>
              <w14:schemeClr w14:val="tx1"/>
            </w14:solidFill>
          </w14:textFill>
        </w:rPr>
        <w:t>与甲方</w:t>
      </w:r>
      <w:r>
        <w:rPr>
          <w:rFonts w:hint="eastAsia" w:ascii="宋体" w:hAnsi="宋体" w:cs="宋体"/>
          <w:color w:val="000000" w:themeColor="text1"/>
          <w:sz w:val="24"/>
          <w:szCs w:val="24"/>
          <w:highlight w:val="none"/>
          <w:lang w:eastAsia="zh-CN"/>
          <w14:textFill>
            <w14:solidFill>
              <w14:schemeClr w14:val="tx1"/>
            </w14:solidFill>
          </w14:textFill>
        </w:rPr>
        <w:t>使用的</w:t>
      </w:r>
      <w:r>
        <w:rPr>
          <w:rFonts w:hint="eastAsia" w:ascii="宋体" w:hAnsi="宋体" w:cs="宋体"/>
          <w:color w:val="000000" w:themeColor="text1"/>
          <w:sz w:val="24"/>
          <w:szCs w:val="24"/>
          <w:highlight w:val="none"/>
          <w14:textFill>
            <w14:solidFill>
              <w14:schemeClr w14:val="tx1"/>
            </w14:solidFill>
          </w14:textFill>
        </w:rPr>
        <w:t>信息系统</w:t>
      </w:r>
      <w:r>
        <w:rPr>
          <w:rFonts w:hint="eastAsia" w:ascii="宋体" w:hAnsi="宋体" w:cs="宋体"/>
          <w:color w:val="000000" w:themeColor="text1"/>
          <w:sz w:val="24"/>
          <w:szCs w:val="24"/>
          <w:highlight w:val="none"/>
          <w:lang w:eastAsia="zh-CN"/>
          <w14:textFill>
            <w14:solidFill>
              <w14:schemeClr w14:val="tx1"/>
            </w14:solidFill>
          </w14:textFill>
        </w:rPr>
        <w:t>对接。</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482" w:firstLineChars="200"/>
        <w:jc w:val="both"/>
        <w:textAlignment w:val="auto"/>
        <w:rPr>
          <w:rFonts w:hint="default" w:ascii="宋体" w:hAnsi="宋体" w:eastAsia="宋体" w:cs="宋体"/>
          <w:b/>
          <w:bCs/>
          <w:color w:val="auto"/>
          <w:sz w:val="24"/>
          <w:szCs w:val="24"/>
          <w:lang w:val="en-US" w:eastAsia="zh-CN"/>
        </w:rPr>
      </w:pPr>
      <w:r>
        <w:rPr>
          <w:rFonts w:hint="default" w:ascii="宋体" w:hAnsi="宋体" w:eastAsia="宋体" w:cs="宋体"/>
          <w:b/>
          <w:bCs/>
          <w:color w:val="000000" w:themeColor="text1"/>
          <w:sz w:val="24"/>
          <w:szCs w:val="24"/>
          <w:highlight w:val="none"/>
          <w:lang w:val="en-US" w:eastAsia="zh-CN"/>
          <w14:textFill>
            <w14:solidFill>
              <w14:schemeClr w14:val="tx1"/>
            </w14:solidFill>
          </w14:textFill>
        </w:rPr>
        <w:t>交货时间、地点、运输</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w:t>
      </w:r>
      <w:r>
        <w:rPr>
          <w:rFonts w:hint="default" w:ascii="宋体" w:hAnsi="宋体" w:eastAsia="宋体" w:cs="宋体"/>
          <w:b/>
          <w:bCs/>
          <w:color w:val="000000" w:themeColor="text1"/>
          <w:sz w:val="24"/>
          <w:szCs w:val="24"/>
          <w:highlight w:val="none"/>
          <w:lang w:val="en-US" w:eastAsia="zh-CN"/>
          <w14:textFill>
            <w14:solidFill>
              <w14:schemeClr w14:val="tx1"/>
            </w14:solidFill>
          </w14:textFill>
        </w:rPr>
        <w:t>装卸</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、搬运</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2.1 </w:t>
      </w:r>
      <w:r>
        <w:rPr>
          <w:rFonts w:hint="default" w:ascii="宋体" w:hAnsi="宋体" w:eastAsia="宋体" w:cs="宋体"/>
          <w:color w:val="auto"/>
          <w:sz w:val="24"/>
          <w:szCs w:val="24"/>
          <w:lang w:val="en-US" w:eastAsia="zh-CN"/>
        </w:rPr>
        <w:t>交货时间：乙方应在</w:t>
      </w:r>
      <w:r>
        <w:rPr>
          <w:rFonts w:hint="eastAsia" w:ascii="宋体" w:hAnsi="宋体" w:eastAsia="宋体" w:cs="宋体"/>
          <w:color w:val="auto"/>
          <w:sz w:val="24"/>
          <w:szCs w:val="24"/>
          <w:lang w:val="en-US" w:eastAsia="zh-CN"/>
        </w:rPr>
        <w:t>自</w:t>
      </w:r>
      <w:r>
        <w:rPr>
          <w:rFonts w:hint="eastAsia" w:ascii="宋体" w:hAnsi="宋体" w:cs="宋体"/>
          <w:sz w:val="24"/>
          <w:szCs w:val="24"/>
        </w:rPr>
        <w:t>接到甲方通知</w:t>
      </w:r>
      <w:r>
        <w:rPr>
          <w:rFonts w:hint="eastAsia" w:ascii="宋体" w:hAnsi="宋体" w:cs="宋体"/>
          <w:sz w:val="24"/>
          <w:szCs w:val="24"/>
          <w:lang w:val="en-US" w:eastAsia="zh-CN"/>
        </w:rPr>
        <w:t>之日起</w:t>
      </w:r>
      <w:r>
        <w:rPr>
          <w:rFonts w:hint="eastAsia" w:ascii="宋体" w:hAnsi="宋体" w:cs="宋体"/>
          <w:sz w:val="24"/>
          <w:szCs w:val="24"/>
        </w:rPr>
        <w:t>15日内</w:t>
      </w:r>
      <w:r>
        <w:rPr>
          <w:rFonts w:hint="default" w:ascii="宋体" w:hAnsi="宋体" w:eastAsia="宋体" w:cs="宋体"/>
          <w:color w:val="auto"/>
          <w:sz w:val="24"/>
          <w:szCs w:val="24"/>
          <w:lang w:val="en-US" w:eastAsia="zh-CN"/>
        </w:rPr>
        <w:t>将</w:t>
      </w:r>
      <w:r>
        <w:rPr>
          <w:rFonts w:hint="eastAsia" w:ascii="宋体" w:hAnsi="宋体" w:eastAsia="宋体" w:cs="宋体"/>
          <w:color w:val="auto"/>
          <w:sz w:val="24"/>
          <w:szCs w:val="24"/>
          <w:lang w:val="en-US" w:eastAsia="zh-CN"/>
        </w:rPr>
        <w:t>医疗器械</w:t>
      </w:r>
      <w:r>
        <w:rPr>
          <w:rFonts w:hint="default" w:ascii="宋体" w:hAnsi="宋体" w:eastAsia="宋体" w:cs="宋体"/>
          <w:color w:val="auto"/>
          <w:sz w:val="24"/>
          <w:szCs w:val="24"/>
          <w:lang w:val="en-US" w:eastAsia="zh-CN"/>
        </w:rPr>
        <w:t>运至</w:t>
      </w:r>
      <w:r>
        <w:rPr>
          <w:rFonts w:hint="eastAsia" w:ascii="宋体" w:hAnsi="宋体" w:eastAsia="宋体" w:cs="宋体"/>
          <w:color w:val="auto"/>
          <w:sz w:val="24"/>
          <w:szCs w:val="24"/>
          <w:lang w:val="en-US" w:eastAsia="zh-CN"/>
        </w:rPr>
        <w:t>甲方指定交货</w:t>
      </w:r>
      <w:r>
        <w:rPr>
          <w:rFonts w:hint="default" w:ascii="宋体" w:hAnsi="宋体" w:eastAsia="宋体" w:cs="宋体"/>
          <w:color w:val="auto"/>
          <w:sz w:val="24"/>
          <w:szCs w:val="24"/>
          <w:lang w:val="en-US" w:eastAsia="zh-CN"/>
        </w:rPr>
        <w:t>地点，并</w:t>
      </w:r>
      <w:r>
        <w:rPr>
          <w:rFonts w:hint="eastAsia" w:ascii="宋体" w:hAnsi="宋体" w:eastAsia="宋体" w:cs="宋体"/>
          <w:color w:val="auto"/>
          <w:sz w:val="24"/>
          <w:szCs w:val="24"/>
          <w:lang w:val="en-US" w:eastAsia="zh-CN"/>
        </w:rPr>
        <w:t>在</w:t>
      </w:r>
      <w:r>
        <w:rPr>
          <w:rFonts w:hint="eastAsia" w:ascii="宋体" w:hAnsi="宋体" w:cs="宋体"/>
          <w:sz w:val="24"/>
          <w:szCs w:val="24"/>
          <w:lang w:eastAsia="zh-CN"/>
        </w:rPr>
        <w:t>到货后</w:t>
      </w:r>
      <w:r>
        <w:rPr>
          <w:rFonts w:hint="eastAsia" w:ascii="宋体" w:hAnsi="宋体" w:cs="宋体"/>
          <w:sz w:val="24"/>
          <w:szCs w:val="24"/>
        </w:rPr>
        <w:t>1</w:t>
      </w:r>
      <w:r>
        <w:rPr>
          <w:rFonts w:hint="eastAsia" w:ascii="宋体" w:hAnsi="宋体" w:cs="宋体"/>
          <w:sz w:val="24"/>
          <w:szCs w:val="24"/>
          <w:lang w:val="en-US" w:eastAsia="zh-CN"/>
        </w:rPr>
        <w:t>日内</w:t>
      </w:r>
      <w:r>
        <w:rPr>
          <w:rFonts w:hint="default" w:ascii="宋体" w:hAnsi="宋体" w:eastAsia="宋体" w:cs="宋体"/>
          <w:color w:val="auto"/>
          <w:sz w:val="24"/>
          <w:szCs w:val="24"/>
          <w:lang w:val="en-US" w:eastAsia="zh-CN"/>
        </w:rPr>
        <w:t>完成安装、调试，办理验收手续并交付甲方使用。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.2 甲方指定</w:t>
      </w:r>
      <w:r>
        <w:rPr>
          <w:rFonts w:hint="default" w:ascii="宋体" w:hAnsi="宋体" w:eastAsia="宋体" w:cs="宋体"/>
          <w:color w:val="auto"/>
          <w:sz w:val="24"/>
          <w:szCs w:val="24"/>
          <w:lang w:val="en-US" w:eastAsia="zh-CN"/>
        </w:rPr>
        <w:t>交货地点：娄底市中心医院</w:t>
      </w:r>
      <w:r>
        <w:rPr>
          <w:rFonts w:hint="eastAsia" w:ascii="宋体" w:hAnsi="宋体" w:eastAsia="宋体" w:cs="宋体"/>
          <w:color w:val="auto"/>
          <w:sz w:val="24"/>
          <w:szCs w:val="24"/>
          <w:lang w:val="en-US" w:eastAsia="zh-CN"/>
        </w:rPr>
        <w:t>设备科</w:t>
      </w:r>
      <w:r>
        <w:rPr>
          <w:rFonts w:hint="default" w:ascii="宋体" w:hAnsi="宋体" w:eastAsia="宋体" w:cs="宋体"/>
          <w:color w:val="auto"/>
          <w:sz w:val="24"/>
          <w:szCs w:val="24"/>
          <w:lang w:val="en-US" w:eastAsia="zh-CN"/>
        </w:rPr>
        <w:t>（湖南省娄底市</w:t>
      </w:r>
      <w:r>
        <w:rPr>
          <w:rFonts w:hint="eastAsia" w:ascii="宋体" w:hAnsi="宋体" w:eastAsia="宋体" w:cs="宋体"/>
          <w:color w:val="auto"/>
          <w:sz w:val="24"/>
          <w:szCs w:val="24"/>
          <w:lang w:val="en-US" w:eastAsia="zh-CN"/>
        </w:rPr>
        <w:t>娄星区</w:t>
      </w:r>
      <w:r>
        <w:rPr>
          <w:rFonts w:hint="default" w:ascii="宋体" w:hAnsi="宋体" w:eastAsia="宋体" w:cs="宋体"/>
          <w:color w:val="auto"/>
          <w:sz w:val="24"/>
          <w:szCs w:val="24"/>
          <w:lang w:val="en-US" w:eastAsia="zh-CN"/>
        </w:rPr>
        <w:t xml:space="preserve">长青中街51号）。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default" w:ascii="宋体"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 xml:space="preserve"> </w:t>
      </w:r>
      <w:r>
        <w:rPr>
          <w:rFonts w:hint="default" w:ascii="宋体" w:hAnsi="宋体" w:eastAsia="宋体" w:cs="宋体"/>
          <w:color w:val="000000" w:themeColor="text1"/>
          <w:sz w:val="24"/>
          <w:szCs w:val="24"/>
          <w:highlight w:val="none"/>
          <w:lang w:val="en-US" w:eastAsia="zh-CN"/>
          <w14:textFill>
            <w14:solidFill>
              <w14:schemeClr w14:val="tx1"/>
            </w14:solidFill>
          </w14:textFill>
        </w:rPr>
        <w:t>运输</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default" w:ascii="宋体" w:hAnsi="宋体" w:eastAsia="宋体" w:cs="宋体"/>
          <w:color w:val="000000" w:themeColor="text1"/>
          <w:sz w:val="24"/>
          <w:szCs w:val="24"/>
          <w:highlight w:val="none"/>
          <w:lang w:val="en-US" w:eastAsia="zh-CN"/>
          <w14:textFill>
            <w14:solidFill>
              <w14:schemeClr w14:val="tx1"/>
            </w14:solidFill>
          </w14:textFill>
        </w:rPr>
        <w:t>装卸</w:t>
      </w:r>
      <w:r>
        <w:rPr>
          <w:rFonts w:hint="eastAsia" w:ascii="宋体" w:hAnsi="宋体" w:eastAsia="宋体" w:cs="宋体"/>
          <w:color w:val="000000" w:themeColor="text1"/>
          <w:sz w:val="24"/>
          <w:szCs w:val="24"/>
          <w:highlight w:val="none"/>
          <w:lang w:val="en-US" w:eastAsia="zh-CN"/>
          <w14:textFill>
            <w14:solidFill>
              <w14:schemeClr w14:val="tx1"/>
            </w14:solidFill>
          </w14:textFill>
        </w:rPr>
        <w:t>、搬运</w:t>
      </w:r>
      <w:r>
        <w:rPr>
          <w:rFonts w:hint="default" w:ascii="宋体" w:hAnsi="宋体" w:eastAsia="宋体" w:cs="宋体"/>
          <w:color w:val="000000" w:themeColor="text1"/>
          <w:sz w:val="24"/>
          <w:szCs w:val="24"/>
          <w:highlight w:val="none"/>
          <w:lang w:val="en-US" w:eastAsia="zh-CN"/>
          <w14:textFill>
            <w14:solidFill>
              <w14:schemeClr w14:val="tx1"/>
            </w14:solidFill>
          </w14:textFill>
        </w:rPr>
        <w:t>：由乙方自备交通运输工具将</w:t>
      </w:r>
      <w:r>
        <w:rPr>
          <w:rFonts w:hint="eastAsia" w:ascii="宋体" w:hAnsi="宋体" w:eastAsia="宋体" w:cs="宋体"/>
          <w:color w:val="000000" w:themeColor="text1"/>
          <w:sz w:val="24"/>
          <w:szCs w:val="24"/>
          <w:highlight w:val="none"/>
          <w:lang w:val="en-US" w:eastAsia="zh-CN"/>
          <w14:textFill>
            <w14:solidFill>
              <w14:schemeClr w14:val="tx1"/>
            </w14:solidFill>
          </w14:textFill>
        </w:rPr>
        <w:t>医疗器械</w:t>
      </w:r>
      <w:r>
        <w:rPr>
          <w:rFonts w:hint="default" w:ascii="宋体" w:hAnsi="宋体" w:eastAsia="宋体" w:cs="宋体"/>
          <w:color w:val="000000" w:themeColor="text1"/>
          <w:sz w:val="24"/>
          <w:szCs w:val="24"/>
          <w:highlight w:val="none"/>
          <w:lang w:val="en-US" w:eastAsia="zh-CN"/>
          <w14:textFill>
            <w14:solidFill>
              <w14:schemeClr w14:val="tx1"/>
            </w14:solidFill>
          </w14:textFill>
        </w:rPr>
        <w:t>运至合同约定地点，并负责</w:t>
      </w:r>
      <w:r>
        <w:rPr>
          <w:rFonts w:hint="eastAsia" w:ascii="宋体" w:hAnsi="宋体" w:eastAsia="宋体" w:cs="宋体"/>
          <w:color w:val="auto"/>
          <w:sz w:val="24"/>
          <w:szCs w:val="24"/>
          <w:lang w:val="en-US" w:eastAsia="zh-CN"/>
        </w:rPr>
        <w:t>医疗器械</w:t>
      </w:r>
      <w:r>
        <w:rPr>
          <w:rFonts w:hint="default" w:ascii="宋体" w:hAnsi="宋体" w:eastAsia="宋体" w:cs="宋体"/>
          <w:color w:val="000000" w:themeColor="text1"/>
          <w:sz w:val="24"/>
          <w:szCs w:val="24"/>
          <w:highlight w:val="none"/>
          <w:lang w:val="en-US" w:eastAsia="zh-CN"/>
          <w14:textFill>
            <w14:solidFill>
              <w14:schemeClr w14:val="tx1"/>
            </w14:solidFill>
          </w14:textFill>
        </w:rPr>
        <w:t>装卸</w:t>
      </w:r>
      <w:r>
        <w:rPr>
          <w:rFonts w:hint="eastAsia" w:ascii="宋体" w:hAnsi="宋体" w:eastAsia="宋体" w:cs="宋体"/>
          <w:color w:val="000000" w:themeColor="text1"/>
          <w:sz w:val="24"/>
          <w:szCs w:val="24"/>
          <w:highlight w:val="none"/>
          <w:lang w:val="en-US" w:eastAsia="zh-CN"/>
          <w14:textFill>
            <w14:solidFill>
              <w14:schemeClr w14:val="tx1"/>
            </w14:solidFill>
          </w14:textFill>
        </w:rPr>
        <w:t>、搬运的人工及费用</w:t>
      </w:r>
      <w:r>
        <w:rPr>
          <w:rFonts w:hint="default" w:ascii="宋体" w:hAnsi="宋体" w:eastAsia="宋体" w:cs="宋体"/>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000000" w:themeColor="text1"/>
          <w:sz w:val="24"/>
          <w:szCs w:val="24"/>
          <w:lang w:val="en-US" w:eastAsia="zh-CN"/>
          <w14:textFill>
            <w14:solidFill>
              <w14:schemeClr w14:val="tx1"/>
            </w14:solidFill>
          </w14:textFill>
        </w:rPr>
        <w:t>第三条 质量标准、质量验收、包装要求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auto"/>
          <w:sz w:val="24"/>
          <w:szCs w:val="24"/>
          <w:lang w:val="en-US" w:eastAsia="zh-CN"/>
        </w:rPr>
        <w:t>3.1 质量标准：乙方提供医疗器械的质量、安装应符合或优于国家标准；</w:t>
      </w:r>
      <w:r>
        <w:rPr>
          <w:rFonts w:hint="eastAsia" w:ascii="宋体" w:hAnsi="宋体" w:eastAsia="宋体" w:cs="宋体"/>
          <w:color w:val="000000" w:themeColor="text1"/>
          <w:sz w:val="24"/>
          <w:szCs w:val="24"/>
          <w:lang w:val="en-US" w:eastAsia="zh-CN"/>
          <w14:textFill>
            <w14:solidFill>
              <w14:schemeClr w14:val="tx1"/>
            </w14:solidFill>
          </w14:textFill>
        </w:rPr>
        <w:t>如响应文件中的技术参数和质量标准高于国家标准，则医疗器械的技术参数和质量标准以响应文件为准。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3.2 质量验收：以本合同约定标准按以下方式进行验收：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3.2.1 到货验收：乙方将医疗器械运至指定交货地点后，应通知甲方，并向甲方提供厂家标准资料文件（进口医疗器械需提供真实有效的海关报关单，其他医疗器械需提供产品合格证）和原厂售后质保承诺书。甲方自接到乙方通知之日起7日内组织人员对医疗器械按合同约定及厂家出厂装箱单进行到货验收，经甲方验收合格后签署验收报告单，乙方方可进行现场拆包、安装、调试、培训。如经甲方验收不合格，乙方应在</w:t>
      </w:r>
      <w:r>
        <w:rPr>
          <w:rFonts w:hint="eastAsia" w:ascii="宋体" w:hAnsi="宋体" w:eastAsia="宋体" w:cs="宋体"/>
          <w:color w:val="auto"/>
          <w:sz w:val="24"/>
          <w:szCs w:val="24"/>
          <w:highlight w:val="none"/>
          <w:u w:val="single"/>
          <w:lang w:val="en-US" w:eastAsia="zh-CN"/>
        </w:rPr>
        <w:t>7</w:t>
      </w:r>
      <w:r>
        <w:rPr>
          <w:rFonts w:hint="eastAsia" w:ascii="宋体" w:hAnsi="宋体" w:eastAsia="宋体" w:cs="宋体"/>
          <w:color w:val="auto"/>
          <w:sz w:val="24"/>
          <w:szCs w:val="24"/>
          <w:highlight w:val="none"/>
          <w:lang w:val="en-US" w:eastAsia="zh-CN"/>
        </w:rPr>
        <w:t>日内无条件予以更换。</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3.2.2 拆包、安装、调试、培训验收：乙方将医疗器械全部拆包、安装、调试、培训后应及时通知甲方，甲方自接到乙方通知之日起7日内自行组织或委托第三方进行总体验收，验收合格后签署总体验收报告单。如经甲方或第三方验收不合格，乙方应在</w:t>
      </w:r>
      <w:r>
        <w:rPr>
          <w:rFonts w:hint="eastAsia" w:ascii="宋体" w:hAnsi="宋体" w:eastAsia="宋体" w:cs="宋体"/>
          <w:color w:val="auto"/>
          <w:sz w:val="24"/>
          <w:szCs w:val="24"/>
          <w:highlight w:val="none"/>
          <w:u w:val="single"/>
          <w:lang w:val="en-US" w:eastAsia="zh-CN"/>
        </w:rPr>
        <w:t>7</w:t>
      </w:r>
      <w:r>
        <w:rPr>
          <w:rFonts w:hint="eastAsia" w:ascii="宋体" w:hAnsi="宋体" w:eastAsia="宋体" w:cs="宋体"/>
          <w:color w:val="auto"/>
          <w:sz w:val="24"/>
          <w:szCs w:val="24"/>
          <w:highlight w:val="none"/>
          <w:lang w:val="en-US" w:eastAsia="zh-CN"/>
        </w:rPr>
        <w:t>日内无条件予以返工并承担所有费用。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3.2.3 甲方验收时如发现乙方所交付、安装的医疗器械不符合本合同约定，甲方应做出详尽的现场记录，由甲乙双方签署备忘录，该现场记录和备忘录作为乙方补交缺少部件、更换不符标准部件的有效依据，由此产生的一切经济损失由乙方承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3.3 包装要求：乙方提供的医疗器械必须为原厂包装，外包装到货时应保证完好无损，否则甲方有权拒绝收货，由此造成的延期交货违约责任和一切经济损失全部由乙方承担。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第四条 安装、培训等事项</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4.1 甲方负责协调、处理与安装、调试有关事宜，为乙方创造良好的安装、调试环境。</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4.2 甲方委派</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杨娟  </w:t>
      </w:r>
      <w:r>
        <w:rPr>
          <w:rFonts w:hint="eastAsia" w:ascii="宋体" w:hAnsi="宋体" w:eastAsia="宋体" w:cs="宋体"/>
          <w:color w:val="000000" w:themeColor="text1"/>
          <w:sz w:val="24"/>
          <w:szCs w:val="24"/>
          <w:highlight w:val="none"/>
          <w:lang w:val="en-US" w:eastAsia="zh-CN"/>
          <w14:textFill>
            <w14:solidFill>
              <w14:schemeClr w14:val="tx1"/>
            </w14:solidFill>
          </w14:textFill>
        </w:rPr>
        <w:t>作为代表，跟踪、检查安装、调试现场。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4.3 乙方负责对甲方的操作人员进行免费培训。</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4.4 乙方在安装、调试过程中应加强操作人员的安全教育，杜绝安全事故的发生。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第五条 售后服务</w:t>
      </w:r>
    </w:p>
    <w:p>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5.1 本合同医疗器械质保期为</w:t>
      </w:r>
      <w:r>
        <w:rPr>
          <w:rFonts w:hint="eastAsia" w:ascii="宋体" w:hAnsi="宋体" w:eastAsia="宋体" w:cs="宋体"/>
          <w:color w:val="auto"/>
          <w:sz w:val="24"/>
          <w:szCs w:val="24"/>
          <w:u w:val="single"/>
          <w:lang w:val="en-US" w:eastAsia="zh-CN"/>
        </w:rPr>
        <w:t xml:space="preserve"> 1 </w:t>
      </w:r>
      <w:r>
        <w:rPr>
          <w:rFonts w:hint="eastAsia" w:ascii="宋体" w:hAnsi="宋体" w:eastAsia="宋体" w:cs="宋体"/>
          <w:color w:val="auto"/>
          <w:sz w:val="24"/>
          <w:szCs w:val="24"/>
          <w:lang w:val="en-US" w:eastAsia="zh-CN"/>
        </w:rPr>
        <w:t>年，自甲方在总体验收报告单上签字确认合格之日起算。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FF0000"/>
          <w:sz w:val="24"/>
          <w:szCs w:val="24"/>
          <w:highlight w:val="none"/>
          <w:u w:val="single"/>
          <w:lang w:val="en-US" w:eastAsia="zh-CN"/>
        </w:rPr>
      </w:pPr>
      <w:r>
        <w:rPr>
          <w:rFonts w:hint="eastAsia" w:ascii="宋体" w:hAnsi="宋体" w:eastAsia="宋体" w:cs="宋体"/>
          <w:b/>
          <w:bCs/>
          <w:color w:val="FF0000"/>
          <w:sz w:val="24"/>
          <w:szCs w:val="24"/>
          <w:highlight w:val="none"/>
          <w:u w:val="single"/>
          <w:lang w:val="en-US" w:eastAsia="zh-CN"/>
        </w:rPr>
        <w:t xml:space="preserve">5.2 </w:t>
      </w:r>
      <w:r>
        <w:rPr>
          <w:rFonts w:hint="eastAsia" w:ascii="宋体" w:hAnsi="宋体" w:eastAsia="宋体" w:cs="宋体"/>
          <w:b/>
          <w:bCs/>
          <w:color w:val="FF0000"/>
          <w:sz w:val="24"/>
          <w:highlight w:val="none"/>
          <w:u w:val="single"/>
        </w:rPr>
        <w:t>乙方在质保期内免费提供更换、保养、咨询等服务。</w:t>
      </w:r>
      <w:r>
        <w:rPr>
          <w:rFonts w:hint="eastAsia" w:ascii="宋体" w:hAnsi="宋体" w:eastAsia="宋体" w:cs="宋体"/>
          <w:b/>
          <w:bCs/>
          <w:color w:val="FF0000"/>
          <w:sz w:val="24"/>
          <w:szCs w:val="24"/>
          <w:highlight w:val="none"/>
          <w:u w:val="single"/>
          <w:lang w:val="en-US" w:eastAsia="zh-CN"/>
        </w:rPr>
        <w:t>如医疗器械在</w:t>
      </w:r>
      <w:r>
        <w:rPr>
          <w:rFonts w:hint="eastAsia" w:ascii="宋体" w:hAnsi="宋体" w:eastAsia="宋体" w:cs="宋体"/>
          <w:b/>
          <w:bCs/>
          <w:color w:val="FF0000"/>
          <w:sz w:val="24"/>
          <w:highlight w:val="none"/>
          <w:u w:val="single"/>
        </w:rPr>
        <w:t>质</w:t>
      </w:r>
      <w:r>
        <w:rPr>
          <w:rFonts w:hint="eastAsia" w:ascii="宋体" w:hAnsi="宋体" w:eastAsia="宋体" w:cs="宋体"/>
          <w:b/>
          <w:bCs/>
          <w:color w:val="FF0000"/>
          <w:sz w:val="24"/>
          <w:szCs w:val="24"/>
          <w:highlight w:val="none"/>
          <w:u w:val="single"/>
          <w:lang w:val="en-US" w:eastAsia="zh-CN"/>
        </w:rPr>
        <w:t>保期内出现质量问题，乙方应在接到甲方通知（包括电话通知）后24小时内响应，响应后4小时上门服务并更换全新医疗器械，相关费用由乙方承担。如乙方不及时履行质保义务，甲方有权从第三方采购相应医疗器械，由此产生的相关费用，甲方有权在支付价款中予以扣除或要求乙方支付对应价款。</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5.3 质保期内，乙方每年至少对医疗器械进行一次巡检并向甲方提交巡检记录。</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5.4 质保期届满后，如医疗器械出现问题，乙方应在接到甲方通知（包括电话通知）后24小时内响应，响应后4小时上门服务，相关费用由甲方承担。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color w:val="auto"/>
          <w:sz w:val="24"/>
          <w:szCs w:val="24"/>
          <w:lang w:val="en-US" w:eastAsia="zh-CN"/>
        </w:rPr>
      </w:pP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 xml:space="preserve">5 </w:t>
      </w:r>
      <w:r>
        <w:rPr>
          <w:rFonts w:hint="eastAsia" w:ascii="宋体" w:hAnsi="宋体" w:eastAsia="宋体" w:cs="宋体"/>
          <w:color w:val="auto"/>
          <w:sz w:val="24"/>
          <w:szCs w:val="24"/>
        </w:rPr>
        <w:t>乙方须指派</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电话：</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rPr>
        <w:t>专门负责与甲方联系售后服务事宜，如人员发生变动，应及时通知甲方。</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第六条 结算、付款方式</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6.1 甲乙双方在本合同医疗器械经总体验收合格之日起</w:t>
      </w:r>
      <w:r>
        <w:rPr>
          <w:rFonts w:hint="eastAsia" w:ascii="宋体" w:hAnsi="宋体" w:eastAsia="宋体" w:cs="宋体"/>
          <w:color w:val="FF0000"/>
          <w:sz w:val="24"/>
          <w:szCs w:val="24"/>
          <w:highlight w:val="none"/>
          <w:u w:val="single"/>
          <w:lang w:val="en-US" w:eastAsia="zh-CN"/>
        </w:rPr>
        <w:t xml:space="preserve">   </w:t>
      </w:r>
      <w:r>
        <w:rPr>
          <w:rFonts w:hint="eastAsia" w:ascii="宋体" w:hAnsi="宋体" w:eastAsia="宋体" w:cs="宋体"/>
          <w:color w:val="FF0000"/>
          <w:sz w:val="24"/>
          <w:szCs w:val="24"/>
          <w:highlight w:val="none"/>
          <w:lang w:val="en-US" w:eastAsia="zh-CN"/>
        </w:rPr>
        <w:t>日内根据验收报告单内容据实结算。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auto"/>
          <w:sz w:val="24"/>
          <w:szCs w:val="24"/>
          <w:highlight w:val="none"/>
          <w:lang w:val="en-US" w:eastAsia="zh-CN"/>
        </w:rPr>
        <w:t>6.2 甲方通过银行转账方式向乙方指定银行账户支付结算价款：</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FF0000"/>
          <w:sz w:val="24"/>
          <w:szCs w:val="24"/>
          <w:highlight w:val="none"/>
          <w:lang w:val="en-US" w:eastAsia="zh-CN"/>
        </w:rPr>
        <w:t>在双方结算确认之日起</w:t>
      </w:r>
      <w:r>
        <w:rPr>
          <w:rFonts w:hint="eastAsia" w:ascii="宋体" w:hAnsi="宋体" w:eastAsia="宋体" w:cs="宋体"/>
          <w:color w:val="000000" w:themeColor="text1"/>
          <w:sz w:val="24"/>
          <w:szCs w:val="24"/>
          <w:highlight w:val="none"/>
          <w:lang w:val="en-US" w:eastAsia="zh-CN"/>
          <w14:textFill>
            <w14:solidFill>
              <w14:schemeClr w14:val="tx1"/>
            </w14:solidFill>
          </w14:textFill>
        </w:rPr>
        <w:t>4个月内，向乙方支付</w:t>
      </w:r>
      <w:r>
        <w:rPr>
          <w:rFonts w:hint="eastAsia" w:ascii="宋体" w:hAnsi="宋体" w:eastAsia="宋体" w:cs="宋体"/>
          <w:color w:val="FF0000"/>
          <w:sz w:val="24"/>
          <w:szCs w:val="24"/>
          <w:highlight w:val="none"/>
          <w:u w:val="none"/>
          <w:lang w:val="en-US" w:eastAsia="zh-CN"/>
        </w:rPr>
        <w:t>结算</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总价款</w:t>
      </w:r>
      <w:r>
        <w:rPr>
          <w:rFonts w:hint="eastAsia" w:ascii="宋体" w:hAnsi="宋体" w:eastAsia="宋体" w:cs="宋体"/>
          <w:color w:val="000000" w:themeColor="text1"/>
          <w:sz w:val="24"/>
          <w:szCs w:val="24"/>
          <w:highlight w:val="none"/>
          <w:lang w:val="en-US" w:eastAsia="zh-CN"/>
          <w14:textFill>
            <w14:solidFill>
              <w14:schemeClr w14:val="tx1"/>
            </w14:solidFill>
          </w14:textFill>
        </w:rPr>
        <w:t>的90%；余款10%，甲方在质保期届满且不存在需被扣除情形之日起10个工作日内，免息支付给乙方。</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6.3 乙方指定收款银行账户的开户名：</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开户银行：</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账号：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color w:val="000000" w:themeColor="text1"/>
          <w:sz w:val="28"/>
          <w:szCs w:val="28"/>
          <w:highlight w:val="none"/>
          <w:u w:val="none"/>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6.4 乙方应在甲方首次付款前，向甲方提供以乙方自己名义开具的与本合同</w:t>
      </w:r>
      <w:r>
        <w:rPr>
          <w:rFonts w:hint="eastAsia" w:ascii="宋体" w:hAnsi="宋体" w:eastAsia="宋体" w:cs="宋体"/>
          <w:color w:val="FF0000"/>
          <w:sz w:val="24"/>
          <w:szCs w:val="24"/>
          <w:highlight w:val="none"/>
          <w:u w:val="none"/>
          <w:lang w:val="en-US" w:eastAsia="zh-CN"/>
        </w:rPr>
        <w:t>结算总价款</w:t>
      </w:r>
      <w:r>
        <w:rPr>
          <w:rFonts w:hint="eastAsia" w:ascii="宋体" w:hAnsi="宋体" w:eastAsia="宋体" w:cs="宋体"/>
          <w:color w:val="000000" w:themeColor="text1"/>
          <w:sz w:val="24"/>
          <w:szCs w:val="24"/>
          <w:highlight w:val="none"/>
          <w:lang w:val="en-US" w:eastAsia="zh-CN"/>
          <w14:textFill>
            <w14:solidFill>
              <w14:schemeClr w14:val="tx1"/>
            </w14:solidFill>
          </w14:textFill>
        </w:rPr>
        <w:t>等额的增值税普通发票；如乙方未及时提供发票，甲方有权顺延付款，由此产生的责任均由乙方自行承担。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第七条 风险承担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7.1 乙方履行本合同过程中发生事故，包括但不限于在运输、装卸、安装及调试过程中发生事故，给甲方、乙方或第三方人身、财产造成的所有损失，均由乙方负责处理和承担全部法律责任、经济赔偿。</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7.2 本合同医疗器械毁损、丢失的风险自甲方在总体验收报告单上签字确认合格后转移给甲方，此前医疗器械的一切风险均由乙方承担。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highlight w:val="none"/>
          <w:lang w:val="en-US" w:eastAsia="zh-CN"/>
        </w:rPr>
        <w:t xml:space="preserve">7.3 </w:t>
      </w:r>
      <w:r>
        <w:rPr>
          <w:rFonts w:hint="eastAsia" w:ascii="宋体" w:hAnsi="宋体" w:eastAsia="宋体" w:cs="宋体"/>
          <w:color w:val="FF0000"/>
          <w:sz w:val="24"/>
          <w:szCs w:val="24"/>
          <w:lang w:val="en-US" w:eastAsia="zh-CN"/>
        </w:rPr>
        <w:t>医疗器械有效期内，因医疗器械质量问题产生的风险均由乙方承担。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7.4 如甲方因乙方医疗器械、质保服务等原因涉及纠纷、诉讼或被处以行政处罚，由乙方承担甲方因纠纷、诉讼、罚款等造成的全部经济损失。</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第八条 廉洁条款</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8.1 乙方应严格遵守国家相关法律法规，涉及合同的有关业务活动必须坚持公开、公平、公正、诚信原则，不得为获取不正当利益，损害国家、集体和甲方利益。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default" w:ascii="宋体" w:hAnsi="宋体" w:eastAsia="宋体" w:cs="宋体"/>
          <w:b/>
          <w:bCs/>
          <w:color w:val="000000" w:themeColor="text1"/>
          <w:sz w:val="24"/>
          <w:szCs w:val="24"/>
          <w:highlight w:val="none"/>
          <w:lang w:val="en-US" w:eastAsia="zh-CN"/>
          <w14:textFill>
            <w14:solidFill>
              <w14:schemeClr w14:val="tx1"/>
            </w14:solidFill>
          </w14:textFill>
        </w:rPr>
        <w:t xml:space="preserve">8.2 </w:t>
      </w:r>
      <w:r>
        <w:rPr>
          <w:rFonts w:hint="default" w:ascii="宋体" w:hAnsi="宋体" w:eastAsia="宋体" w:cs="宋体"/>
          <w:b/>
          <w:bCs/>
          <w:color w:val="000000" w:themeColor="text1"/>
          <w:sz w:val="24"/>
          <w:szCs w:val="24"/>
          <w:highlight w:val="none"/>
          <w:u w:val="single"/>
          <w:lang w:val="en-US" w:eastAsia="zh-CN"/>
          <w14:textFill>
            <w14:solidFill>
              <w14:schemeClr w14:val="tx1"/>
            </w14:solidFill>
          </w14:textFill>
        </w:rPr>
        <w:t>乙方的任何人员（包括股东、管理人员、普通员工等）及与乙方本业务有关的任何人员（包括与乙方不存在劳动、劳务关系的人员），均不得对甲方工作人员或其亲友、关系人请客、送礼或赠送礼金、有价证券、贵重物品及给予回扣、好处费、感谢费等其他形式的好处，否则甲方有权要求乙方按本合同约定向甲方支付违反廉洁条款的惩罚性违约金。</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第九条 保密条款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9.1 本合同订立、履行、变更等产生的研究、商讨、交流等信息，履行本合同获悉的甲方商业秘密、运营信息、工作人员信息、患陪个人信息等，均属保密信息。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9.2 乙方应对保密信息应当采取有效手段严格保密，不得用于非本合同之目的或向第三方泄露。如政府部门、法院或其他有权部门要求乙方提供保密信息，乙方应当立即向甲方通报。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9.3 因乙方未履行本合同保密义务造成甲方或第三方损失的，由乙方承担全部赔偿责任。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9.4 本合同保密条款在合同被认定无效、被撤销或终止、解除后仍然有效。</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 xml:space="preserve">第十条 </w:t>
      </w:r>
      <w:r>
        <w:rPr>
          <w:rFonts w:hint="default" w:ascii="宋体" w:hAnsi="宋体" w:eastAsia="宋体" w:cs="宋体"/>
          <w:b/>
          <w:bCs/>
          <w:color w:val="000000" w:themeColor="text1"/>
          <w:sz w:val="24"/>
          <w:highlight w:val="none"/>
          <w:lang w:val="en-US" w:eastAsia="zh-CN"/>
          <w14:textFill>
            <w14:solidFill>
              <w14:schemeClr w14:val="tx1"/>
            </w14:solidFill>
          </w14:textFill>
        </w:rPr>
        <w:t>通知</w:t>
      </w:r>
      <w:r>
        <w:rPr>
          <w:rFonts w:hint="eastAsia" w:ascii="宋体" w:hAnsi="宋体" w:eastAsia="宋体" w:cs="宋体"/>
          <w:b/>
          <w:bCs/>
          <w:color w:val="000000" w:themeColor="text1"/>
          <w:sz w:val="24"/>
          <w:highlight w:val="none"/>
          <w:lang w:val="en-US" w:eastAsia="zh-CN"/>
          <w14:textFill>
            <w14:solidFill>
              <w14:schemeClr w14:val="tx1"/>
            </w14:solidFill>
          </w14:textFill>
        </w:rPr>
        <w:t>与送达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10.1 甲乙双方同意，与本合同有关的任何文书，应以书面方式按照本合同约定发送，书面方式包括手机短信、微信、书面函件、电子邮件等形式。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10.2 双方确认的文书（包括未来可能发生的诉讼或仲裁活动中法院或仲裁机构的送达法律文书）送达地址：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 xml:space="preserve">10.2.1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甲方的联系地址：</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娄底市娄星区</w:t>
      </w:r>
      <w:r>
        <w:rPr>
          <w:rFonts w:hint="default" w:ascii="宋体" w:hAnsi="宋体" w:eastAsia="宋体" w:cs="宋体"/>
          <w:b w:val="0"/>
          <w:bCs w:val="0"/>
          <w:color w:val="000000" w:themeColor="text1"/>
          <w:sz w:val="24"/>
          <w:highlight w:val="none"/>
          <w:u w:val="single"/>
          <w:lang w:val="en-US" w:eastAsia="zh-CN"/>
          <w14:textFill>
            <w14:solidFill>
              <w14:schemeClr w14:val="tx1"/>
            </w14:solidFill>
          </w14:textFill>
        </w:rPr>
        <w:t>长青中街51号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娄底市中心医院设备科</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，联系人：</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auto"/>
          <w:sz w:val="24"/>
          <w:szCs w:val="24"/>
          <w:u w:val="single"/>
          <w:lang w:val="en-US" w:eastAsia="zh-CN"/>
        </w:rPr>
        <w:t>彭耀华</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，联系电话：</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auto"/>
          <w:sz w:val="24"/>
          <w:szCs w:val="24"/>
          <w:u w:val="single"/>
          <w:lang w:val="en-US" w:eastAsia="zh-CN"/>
        </w:rPr>
        <w:t xml:space="preserve">18711825378 </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，邮箱地址</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或微信号</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 xml:space="preserve">10.2.2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乙方的联系地址：</w:t>
      </w:r>
      <w:r>
        <w:rPr>
          <w:rFonts w:hint="default"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 xml:space="preserve"> ，联系人：</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 联系电话：</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，邮箱地址</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或微信号</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10.3 上述通知应被视为在下列时间送达：以快递或专人发送的，在收件人签收之日或拒收之日；以挂号邮件发出的，在发出之日起7个工作日；以电子邮件发出的，在电子邮件进入收件方电子邮箱服务器之日。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10.4 以上地址和联系方式，任何一方发生变更应在变更之日起3日内通知对方。如未通知，一方按原地址送达的书面资料被退回的，退回之日视为送达之日。任何一方按照确认地址送到另一方的书面资料被拒绝签收导致邮件被退回的，退回之日视为送达之日。</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eastAsia="zh-CN"/>
          <w14:textFill>
            <w14:solidFill>
              <w14:schemeClr w14:val="tx1"/>
            </w14:solidFill>
          </w14:textFill>
        </w:rPr>
        <w:t>第十</w:t>
      </w:r>
      <w:r>
        <w:rPr>
          <w:rFonts w:hint="eastAsia" w:ascii="宋体" w:hAnsi="宋体" w:eastAsia="宋体" w:cs="宋体"/>
          <w:b/>
          <w:bCs/>
          <w:color w:val="000000" w:themeColor="text1"/>
          <w:sz w:val="24"/>
          <w:highlight w:val="none"/>
          <w:lang w:val="en-US" w:eastAsia="zh-CN"/>
          <w14:textFill>
            <w14:solidFill>
              <w14:schemeClr w14:val="tx1"/>
            </w14:solidFill>
          </w14:textFill>
        </w:rPr>
        <w:t>一</w:t>
      </w:r>
      <w:r>
        <w:rPr>
          <w:rFonts w:hint="eastAsia" w:ascii="宋体" w:hAnsi="宋体" w:eastAsia="宋体" w:cs="宋体"/>
          <w:b/>
          <w:bCs/>
          <w:color w:val="000000" w:themeColor="text1"/>
          <w:sz w:val="24"/>
          <w:highlight w:val="none"/>
          <w:lang w:eastAsia="zh-CN"/>
          <w14:textFill>
            <w14:solidFill>
              <w14:schemeClr w14:val="tx1"/>
            </w14:solidFill>
          </w14:textFill>
        </w:rPr>
        <w:t>条</w:t>
      </w:r>
      <w:r>
        <w:rPr>
          <w:rFonts w:hint="eastAsia" w:ascii="宋体" w:hAnsi="宋体" w:eastAsia="宋体" w:cs="宋体"/>
          <w:b/>
          <w:bCs/>
          <w:color w:val="000000" w:themeColor="text1"/>
          <w:sz w:val="24"/>
          <w:highlight w:val="none"/>
          <w:lang w:val="en-US" w:eastAsia="zh-CN"/>
          <w14:textFill>
            <w14:solidFill>
              <w14:schemeClr w14:val="tx1"/>
            </w14:solidFill>
          </w14:textFill>
        </w:rPr>
        <w:t xml:space="preserve"> 合同的变更、解除</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11.1 本合同经双方协商一致后可以变更，双方应另行签订补充协议。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11.2 如甲方因政策变化等非自身主观原因不需要购买本合同全部医疗器械，经书面通知乙方后可以提前终止本合同；如甲方因运营需要等原因不需要购买本合同部分医疗器械，不需要购买的部分自动从采购内容中剔除。</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11.3 </w:t>
      </w:r>
      <w:r>
        <w:rPr>
          <w:rFonts w:hint="eastAsia" w:ascii="宋体" w:hAnsi="宋体" w:eastAsia="宋体" w:cs="宋体"/>
          <w:color w:val="000000" w:themeColor="text1"/>
          <w:sz w:val="24"/>
          <w:highlight w:val="none"/>
          <w14:textFill>
            <w14:solidFill>
              <w14:schemeClr w14:val="tx1"/>
            </w14:solidFill>
          </w14:textFill>
        </w:rPr>
        <w:t>乙方出现以下违约情形之一的，甲方有权拒绝支付任何价款并解除合同：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.1 乙方逾期</w:t>
      </w:r>
      <w:r>
        <w:rPr>
          <w:rFonts w:hint="eastAsia" w:ascii="宋体" w:hAnsi="宋体" w:eastAsia="宋体" w:cs="宋体"/>
          <w:color w:val="000000" w:themeColor="text1"/>
          <w:sz w:val="24"/>
          <w:highlight w:val="none"/>
          <w:u w:val="single"/>
          <w14:textFill>
            <w14:solidFill>
              <w14:schemeClr w14:val="tx1"/>
            </w14:solidFill>
          </w14:textFill>
        </w:rPr>
        <w:t>30</w:t>
      </w:r>
      <w:r>
        <w:rPr>
          <w:rFonts w:hint="eastAsia" w:ascii="宋体" w:hAnsi="宋体" w:eastAsia="宋体" w:cs="宋体"/>
          <w:color w:val="000000" w:themeColor="text1"/>
          <w:sz w:val="24"/>
          <w:highlight w:val="none"/>
          <w14:textFill>
            <w14:solidFill>
              <w14:schemeClr w14:val="tx1"/>
            </w14:solidFill>
          </w14:textFill>
        </w:rPr>
        <w:t>日仍不能供货；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.2 乙方提供的</w:t>
      </w:r>
      <w:r>
        <w:rPr>
          <w:rFonts w:hint="eastAsia" w:ascii="宋体" w:hAnsi="宋体" w:eastAsia="宋体" w:cs="宋体"/>
          <w:color w:val="000000" w:themeColor="text1"/>
          <w:sz w:val="24"/>
          <w:highlight w:val="none"/>
          <w:lang w:val="en-US" w:eastAsia="zh-CN"/>
          <w14:textFill>
            <w14:solidFill>
              <w14:schemeClr w14:val="tx1"/>
            </w14:solidFill>
          </w14:textFill>
        </w:rPr>
        <w:t>医疗器械</w:t>
      </w:r>
      <w:r>
        <w:rPr>
          <w:rFonts w:hint="eastAsia" w:ascii="宋体" w:hAnsi="宋体" w:eastAsia="宋体" w:cs="宋体"/>
          <w:color w:val="000000" w:themeColor="text1"/>
          <w:sz w:val="24"/>
          <w:highlight w:val="none"/>
          <w14:textFill>
            <w14:solidFill>
              <w14:schemeClr w14:val="tx1"/>
            </w14:solidFill>
          </w14:textFill>
        </w:rPr>
        <w:t>质量不符合国家标准、本合同标准或响应文件约定标准；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.3 乙方将</w:t>
      </w:r>
      <w:r>
        <w:rPr>
          <w:rFonts w:hint="eastAsia" w:ascii="宋体" w:hAnsi="宋体" w:eastAsia="宋体" w:cs="宋体"/>
          <w:color w:val="000000" w:themeColor="text1"/>
          <w:sz w:val="24"/>
          <w:highlight w:val="none"/>
          <w:lang w:val="en-US" w:eastAsia="zh-CN"/>
          <w14:textFill>
            <w14:solidFill>
              <w14:schemeClr w14:val="tx1"/>
            </w14:solidFill>
          </w14:textFill>
        </w:rPr>
        <w:t>本合同权利义务全部或部分转让给</w:t>
      </w:r>
      <w:r>
        <w:rPr>
          <w:rFonts w:hint="eastAsia" w:ascii="宋体" w:hAnsi="宋体" w:eastAsia="宋体" w:cs="宋体"/>
          <w:color w:val="000000" w:themeColor="text1"/>
          <w:sz w:val="24"/>
          <w:highlight w:val="none"/>
          <w14:textFill>
            <w14:solidFill>
              <w14:schemeClr w14:val="tx1"/>
            </w14:solidFill>
          </w14:textFill>
        </w:rPr>
        <w:t>第三方；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bCs/>
          <w:color w:val="auto"/>
          <w:sz w:val="24"/>
          <w:szCs w:val="24"/>
          <w:lang w:val="en-US" w:eastAsia="zh-CN"/>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.4 其他根本违约的情形。</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第</w:t>
      </w:r>
      <w:r>
        <w:rPr>
          <w:rFonts w:hint="eastAsia" w:ascii="宋体" w:hAnsi="宋体" w:eastAsia="宋体" w:cs="宋体"/>
          <w:b/>
          <w:bCs/>
          <w:color w:val="000000" w:themeColor="text1"/>
          <w:sz w:val="24"/>
          <w:highlight w:val="none"/>
          <w:lang w:eastAsia="zh-CN"/>
          <w14:textFill>
            <w14:solidFill>
              <w14:schemeClr w14:val="tx1"/>
            </w14:solidFill>
          </w14:textFill>
        </w:rPr>
        <w:t>十</w:t>
      </w:r>
      <w:r>
        <w:rPr>
          <w:rFonts w:hint="eastAsia" w:ascii="宋体" w:hAnsi="宋体" w:eastAsia="宋体" w:cs="宋体"/>
          <w:b/>
          <w:bCs/>
          <w:color w:val="000000" w:themeColor="text1"/>
          <w:sz w:val="24"/>
          <w:highlight w:val="none"/>
          <w:lang w:val="en-US" w:eastAsia="zh-CN"/>
          <w14:textFill>
            <w14:solidFill>
              <w14:schemeClr w14:val="tx1"/>
            </w14:solidFill>
          </w14:textFill>
        </w:rPr>
        <w:t>二</w:t>
      </w:r>
      <w:r>
        <w:rPr>
          <w:rFonts w:hint="eastAsia" w:ascii="宋体" w:hAnsi="宋体" w:eastAsia="宋体" w:cs="宋体"/>
          <w:b/>
          <w:bCs/>
          <w:color w:val="000000" w:themeColor="text1"/>
          <w:sz w:val="24"/>
          <w:highlight w:val="none"/>
          <w14:textFill>
            <w14:solidFill>
              <w14:schemeClr w14:val="tx1"/>
            </w14:solidFill>
          </w14:textFill>
        </w:rPr>
        <w:t>条 违约责任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eastAsia="宋体" w:cs="宋体"/>
          <w:color w:val="000000" w:themeColor="text1"/>
          <w:sz w:val="24"/>
          <w:highlight w:val="none"/>
          <w14:textFill>
            <w14:solidFill>
              <w14:schemeClr w14:val="tx1"/>
            </w14:solidFill>
          </w14:textFill>
        </w:rPr>
        <w:t xml:space="preserve">.1 </w:t>
      </w:r>
      <w:r>
        <w:rPr>
          <w:rFonts w:hint="eastAsia" w:ascii="宋体" w:hAnsi="宋体" w:eastAsia="宋体" w:cs="宋体"/>
          <w:color w:val="000000" w:themeColor="text1"/>
          <w:sz w:val="24"/>
          <w:highlight w:val="none"/>
          <w:lang w:eastAsia="zh-CN"/>
          <w14:textFill>
            <w14:solidFill>
              <w14:schemeClr w14:val="tx1"/>
            </w14:solidFill>
          </w14:textFill>
        </w:rPr>
        <w:t>甲方因</w:t>
      </w:r>
      <w:r>
        <w:rPr>
          <w:rFonts w:hint="eastAsia" w:ascii="宋体" w:hAnsi="宋体" w:eastAsia="宋体" w:cs="宋体"/>
          <w:color w:val="000000" w:themeColor="text1"/>
          <w:sz w:val="24"/>
          <w:highlight w:val="none"/>
          <w:lang w:val="en-US" w:eastAsia="zh-CN"/>
          <w14:textFill>
            <w14:solidFill>
              <w14:schemeClr w14:val="tx1"/>
            </w14:solidFill>
          </w14:textFill>
        </w:rPr>
        <w:t>11.2情形提前终止本合同或剔除部分采购内容均无须承担违约责任，乙方不得因此要求甲方予以任何经济赔偿或补偿。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eastAsia="宋体" w:cs="宋体"/>
          <w:color w:val="000000" w:themeColor="text1"/>
          <w:sz w:val="24"/>
          <w:highlight w:val="none"/>
          <w14:textFill>
            <w14:solidFill>
              <w14:schemeClr w14:val="tx1"/>
            </w14:solidFill>
          </w14:textFill>
        </w:rPr>
        <w:t>.2 如乙方未在本合同约定时间内将验收合格的</w:t>
      </w:r>
      <w:r>
        <w:rPr>
          <w:rFonts w:hint="eastAsia" w:ascii="宋体" w:hAnsi="宋体" w:eastAsia="宋体" w:cs="宋体"/>
          <w:color w:val="000000" w:themeColor="text1"/>
          <w:sz w:val="24"/>
          <w:highlight w:val="none"/>
          <w:lang w:val="en-US" w:eastAsia="zh-CN"/>
          <w14:textFill>
            <w14:solidFill>
              <w14:schemeClr w14:val="tx1"/>
            </w14:solidFill>
          </w14:textFill>
        </w:rPr>
        <w:t>医疗器械</w:t>
      </w:r>
      <w:r>
        <w:rPr>
          <w:rFonts w:hint="eastAsia" w:ascii="宋体" w:hAnsi="宋体" w:eastAsia="宋体" w:cs="宋体"/>
          <w:color w:val="000000" w:themeColor="text1"/>
          <w:sz w:val="24"/>
          <w:highlight w:val="none"/>
          <w14:textFill>
            <w14:solidFill>
              <w14:schemeClr w14:val="tx1"/>
            </w14:solidFill>
          </w14:textFill>
        </w:rPr>
        <w:t>交付给甲方使用，除应赔偿甲方因此造成的损失外，每逾期一日，按</w:t>
      </w:r>
      <w:r>
        <w:rPr>
          <w:rFonts w:hint="eastAsia" w:ascii="宋体" w:hAnsi="宋体" w:eastAsia="宋体" w:cs="宋体"/>
          <w:color w:val="000000" w:themeColor="text1"/>
          <w:sz w:val="24"/>
          <w:highlight w:val="none"/>
          <w:u w:val="none"/>
          <w14:textFill>
            <w14:solidFill>
              <w14:schemeClr w14:val="tx1"/>
            </w14:solidFill>
          </w14:textFill>
        </w:rPr>
        <w:t>本合同约定总价款的</w:t>
      </w:r>
      <w:r>
        <w:rPr>
          <w:rFonts w:hint="eastAsia" w:ascii="宋体" w:hAnsi="宋体" w:eastAsia="宋体" w:cs="宋体"/>
          <w:color w:val="000000" w:themeColor="text1"/>
          <w:sz w:val="24"/>
          <w:highlight w:val="none"/>
          <w:u w:val="none"/>
          <w:lang w:eastAsia="zh-CN"/>
          <w14:textFill>
            <w14:solidFill>
              <w14:schemeClr w14:val="tx1"/>
            </w14:solidFill>
          </w14:textFill>
        </w:rPr>
        <w:t>千分之一</w:t>
      </w:r>
      <w:r>
        <w:rPr>
          <w:rFonts w:hint="eastAsia" w:ascii="宋体" w:hAnsi="宋体" w:eastAsia="宋体" w:cs="宋体"/>
          <w:color w:val="000000" w:themeColor="text1"/>
          <w:sz w:val="24"/>
          <w:highlight w:val="none"/>
          <w:lang w:eastAsia="zh-CN"/>
          <w14:textFill>
            <w14:solidFill>
              <w14:schemeClr w14:val="tx1"/>
            </w14:solidFill>
          </w14:textFill>
        </w:rPr>
        <w:t>标准</w:t>
      </w:r>
      <w:r>
        <w:rPr>
          <w:rFonts w:hint="eastAsia" w:ascii="宋体" w:hAnsi="宋体" w:eastAsia="宋体" w:cs="宋体"/>
          <w:color w:val="000000" w:themeColor="text1"/>
          <w:sz w:val="24"/>
          <w:highlight w:val="none"/>
          <w14:textFill>
            <w14:solidFill>
              <w14:schemeClr w14:val="tx1"/>
            </w14:solidFill>
          </w14:textFill>
        </w:rPr>
        <w:t>向甲方支付违约金。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eastAsia="宋体" w:cs="宋体"/>
          <w:color w:val="000000" w:themeColor="text1"/>
          <w:sz w:val="24"/>
          <w:highlight w:val="none"/>
          <w14:textFill>
            <w14:solidFill>
              <w14:schemeClr w14:val="tx1"/>
            </w14:solidFill>
          </w14:textFill>
        </w:rPr>
        <w:t>.3 如乙方单方解除合同或甲方因</w:t>
      </w:r>
      <w:r>
        <w:rPr>
          <w:rFonts w:hint="eastAsia" w:ascii="宋体" w:hAnsi="宋体" w:eastAsia="宋体" w:cs="宋体"/>
          <w:color w:val="000000" w:themeColor="text1"/>
          <w:sz w:val="24"/>
          <w:highlight w:val="none"/>
          <w:lang w:val="en-US" w:eastAsia="zh-CN"/>
          <w14:textFill>
            <w14:solidFill>
              <w14:schemeClr w14:val="tx1"/>
            </w14:solidFill>
          </w14:textFill>
        </w:rPr>
        <w:t>11.3情形</w:t>
      </w:r>
      <w:r>
        <w:rPr>
          <w:rFonts w:hint="eastAsia" w:ascii="宋体" w:hAnsi="宋体" w:eastAsia="宋体" w:cs="宋体"/>
          <w:color w:val="000000" w:themeColor="text1"/>
          <w:sz w:val="24"/>
          <w:highlight w:val="none"/>
          <w14:textFill>
            <w14:solidFill>
              <w14:schemeClr w14:val="tx1"/>
            </w14:solidFill>
          </w14:textFill>
        </w:rPr>
        <w:t>解除合同，乙方应赔偿给甲方造成的全部经济损失，并按</w:t>
      </w:r>
      <w:r>
        <w:rPr>
          <w:rFonts w:hint="eastAsia" w:ascii="宋体" w:hAnsi="宋体" w:eastAsia="宋体" w:cs="宋体"/>
          <w:color w:val="000000" w:themeColor="text1"/>
          <w:sz w:val="24"/>
          <w:highlight w:val="none"/>
          <w:u w:val="none"/>
          <w14:textFill>
            <w14:solidFill>
              <w14:schemeClr w14:val="tx1"/>
            </w14:solidFill>
          </w14:textFill>
        </w:rPr>
        <w:t>本合同约定总价款30%</w:t>
      </w:r>
      <w:r>
        <w:rPr>
          <w:rFonts w:hint="eastAsia" w:ascii="宋体" w:hAnsi="宋体" w:eastAsia="宋体" w:cs="宋体"/>
          <w:color w:val="000000" w:themeColor="text1"/>
          <w:sz w:val="24"/>
          <w:highlight w:val="none"/>
          <w14:textFill>
            <w14:solidFill>
              <w14:schemeClr w14:val="tx1"/>
            </w14:solidFill>
          </w14:textFill>
        </w:rPr>
        <w:t>标准</w:t>
      </w:r>
      <w:r>
        <w:rPr>
          <w:rFonts w:hint="eastAsia" w:ascii="宋体" w:hAnsi="宋体" w:eastAsia="宋体" w:cs="宋体"/>
          <w:color w:val="000000" w:themeColor="text1"/>
          <w:sz w:val="24"/>
          <w:highlight w:val="none"/>
          <w:lang w:val="en-US" w:eastAsia="zh-CN"/>
          <w14:textFill>
            <w14:solidFill>
              <w14:schemeClr w14:val="tx1"/>
            </w14:solidFill>
          </w14:textFill>
        </w:rPr>
        <w:t>向</w:t>
      </w:r>
      <w:r>
        <w:rPr>
          <w:rFonts w:hint="eastAsia" w:ascii="宋体" w:hAnsi="宋体" w:eastAsia="宋体" w:cs="宋体"/>
          <w:color w:val="000000" w:themeColor="text1"/>
          <w:sz w:val="24"/>
          <w:highlight w:val="none"/>
          <w14:textFill>
            <w14:solidFill>
              <w14:schemeClr w14:val="tx1"/>
            </w14:solidFill>
          </w14:textFill>
        </w:rPr>
        <w:t>甲方支付违约金。</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12.4 无论甲方在任意时候（不限于本合同履行期间）发现存在违反本合同廉洁条款及供应商考核管理制度约定的行为，乙方均须向甲方一次性支付惩罚性违约金   .00元，如本金额与根据甲方供应商考核管理制度计算的违约金金额不一致，违约金金额以价高的为准。如乙方除需承担违反廉洁条款及供应商考核管理制度的违约责任外，同时存在其他违约行为，乙方仍须就其他违约行为承担相应违约责任。</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宋体" w:hAnsi="宋体" w:eastAsia="宋体" w:cs="宋体"/>
          <w:b/>
          <w:bCs/>
          <w:color w:val="000000" w:themeColor="text1"/>
          <w:sz w:val="24"/>
          <w:highlight w:val="none"/>
          <w:u w:val="single"/>
          <w:lang w:val="en-US" w:eastAsia="zh-CN"/>
          <w14:textFill>
            <w14:solidFill>
              <w14:schemeClr w14:val="tx1"/>
            </w14:solidFill>
          </w14:textFill>
        </w:rPr>
      </w:pPr>
      <w:r>
        <w:rPr>
          <w:rFonts w:hint="eastAsia" w:ascii="宋体" w:hAnsi="宋体" w:eastAsia="宋体" w:cs="宋体"/>
          <w:b/>
          <w:bCs/>
          <w:color w:val="000000" w:themeColor="text1"/>
          <w:sz w:val="24"/>
          <w:highlight w:val="none"/>
          <w:u w:val="single"/>
          <w:lang w:val="en-US" w:eastAsia="zh-CN"/>
          <w14:textFill>
            <w14:solidFill>
              <w14:schemeClr w14:val="tx1"/>
            </w14:solidFill>
          </w14:textFill>
        </w:rPr>
        <w:t>12.5 依据本合同约定乙方应支付给甲方的违约金，甲方有权在应支付给乙方的任意价款中直接予以扣除，如扣除部分不足，乙方应在接到甲方通知后3日内补足。</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第</w:t>
      </w:r>
      <w:r>
        <w:rPr>
          <w:rFonts w:hint="eastAsia" w:ascii="宋体" w:hAnsi="宋体" w:cs="宋体"/>
          <w:b/>
          <w:bCs/>
          <w:color w:val="000000" w:themeColor="text1"/>
          <w:sz w:val="24"/>
          <w:highlight w:val="none"/>
          <w:lang w:val="en-US" w:eastAsia="zh-CN"/>
          <w14:textFill>
            <w14:solidFill>
              <w14:schemeClr w14:val="tx1"/>
            </w14:solidFill>
          </w14:textFill>
        </w:rPr>
        <w:t>十三</w:t>
      </w:r>
      <w:r>
        <w:rPr>
          <w:rFonts w:hint="eastAsia" w:ascii="宋体" w:hAnsi="宋体" w:eastAsia="宋体" w:cs="宋体"/>
          <w:b/>
          <w:bCs/>
          <w:color w:val="000000" w:themeColor="text1"/>
          <w:sz w:val="24"/>
          <w:highlight w:val="none"/>
          <w14:textFill>
            <w14:solidFill>
              <w14:schemeClr w14:val="tx1"/>
            </w14:solidFill>
          </w14:textFill>
        </w:rPr>
        <w:t>条 争议解决</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13.1 本合同适用中华人民共和国法律，并按其解释。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13.2 </w:t>
      </w:r>
      <w:r>
        <w:rPr>
          <w:rFonts w:hint="eastAsia" w:ascii="宋体" w:hAnsi="宋体" w:eastAsia="宋体" w:cs="宋体"/>
          <w:color w:val="000000" w:themeColor="text1"/>
          <w:sz w:val="24"/>
          <w:highlight w:val="none"/>
          <w14:textFill>
            <w14:solidFill>
              <w14:schemeClr w14:val="tx1"/>
            </w14:solidFill>
          </w14:textFill>
        </w:rPr>
        <w:t>如双方在履行本合同过程中发生争议，双方应先协商解决，协商解决不成的，任一方均可向甲方所在地有管辖权的人民法院提起诉讼解决。</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第十</w:t>
      </w:r>
      <w:r>
        <w:rPr>
          <w:rFonts w:hint="eastAsia" w:ascii="宋体" w:hAnsi="宋体" w:cs="宋体"/>
          <w:b/>
          <w:bCs/>
          <w:color w:val="000000" w:themeColor="text1"/>
          <w:sz w:val="24"/>
          <w:highlight w:val="none"/>
          <w:lang w:val="en-US" w:eastAsia="zh-CN"/>
          <w14:textFill>
            <w14:solidFill>
              <w14:schemeClr w14:val="tx1"/>
            </w14:solidFill>
          </w14:textFill>
        </w:rPr>
        <w:t>四</w:t>
      </w:r>
      <w:r>
        <w:rPr>
          <w:rFonts w:hint="eastAsia" w:ascii="宋体" w:hAnsi="宋体" w:eastAsia="宋体" w:cs="宋体"/>
          <w:b/>
          <w:bCs/>
          <w:color w:val="000000" w:themeColor="text1"/>
          <w:sz w:val="24"/>
          <w:highlight w:val="none"/>
          <w14:textFill>
            <w14:solidFill>
              <w14:schemeClr w14:val="tx1"/>
            </w14:solidFill>
          </w14:textFill>
        </w:rPr>
        <w:t>条 附则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 xml:space="preserve"> 本合同组成文件和优先解释顺序：</w:t>
      </w:r>
      <w:r>
        <w:rPr>
          <w:rFonts w:hint="eastAsia" w:ascii="宋体" w:hAnsi="宋体" w:eastAsia="宋体" w:cs="宋体"/>
          <w:color w:val="000000" w:themeColor="text1"/>
          <w:sz w:val="24"/>
          <w:highlight w:val="none"/>
          <w:lang w:eastAsia="zh-CN"/>
          <w14:textFill>
            <w14:solidFill>
              <w14:schemeClr w14:val="tx1"/>
            </w14:solidFill>
          </w14:textFill>
        </w:rPr>
        <w:t>乙方在履行本合同中作出的书面承诺；</w:t>
      </w:r>
      <w:r>
        <w:rPr>
          <w:rFonts w:hint="eastAsia" w:ascii="宋体" w:hAnsi="宋体" w:eastAsia="宋体" w:cs="宋体"/>
          <w:color w:val="000000" w:themeColor="text1"/>
          <w:sz w:val="24"/>
          <w:highlight w:val="none"/>
          <w14:textFill>
            <w14:solidFill>
              <w14:schemeClr w14:val="tx1"/>
            </w14:solidFill>
          </w14:textFill>
        </w:rPr>
        <w:t>本合同补充协议；本合同及附件；</w:t>
      </w:r>
      <w:r>
        <w:rPr>
          <w:rFonts w:hint="eastAsia" w:ascii="宋体" w:hAnsi="宋体" w:eastAsia="宋体" w:cs="宋体"/>
          <w:color w:val="000000" w:themeColor="text1"/>
          <w:sz w:val="24"/>
          <w:highlight w:val="none"/>
          <w:lang w:val="en-US" w:eastAsia="zh-CN"/>
          <w14:textFill>
            <w14:solidFill>
              <w14:schemeClr w14:val="tx1"/>
            </w14:solidFill>
          </w14:textFill>
        </w:rPr>
        <w:t>成交通知书</w:t>
      </w:r>
      <w:r>
        <w:rPr>
          <w:rFonts w:hint="eastAsia" w:ascii="宋体" w:hAnsi="宋体" w:eastAsia="宋体" w:cs="宋体"/>
          <w:color w:val="000000" w:themeColor="text1"/>
          <w:sz w:val="24"/>
          <w:highlight w:val="none"/>
          <w14:textFill>
            <w14:solidFill>
              <w14:schemeClr w14:val="tx1"/>
            </w14:solidFill>
          </w14:textFill>
        </w:rPr>
        <w:t>；响应文件；采购文件；其他与本合同有关的资料。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 xml:space="preserve"> 本合同一式伍份，甲方执肆份、乙方执壹份，自双方签字并盖章</w:t>
      </w:r>
      <w:r>
        <w:rPr>
          <w:rFonts w:hint="eastAsia" w:ascii="宋体" w:hAnsi="宋体" w:eastAsia="宋体" w:cs="宋体"/>
          <w:color w:val="000000" w:themeColor="text1"/>
          <w:sz w:val="24"/>
          <w:highlight w:val="none"/>
          <w:lang w:eastAsia="zh-CN"/>
          <w14:textFill>
            <w14:solidFill>
              <w14:schemeClr w14:val="tx1"/>
            </w14:solidFill>
          </w14:textFill>
        </w:rPr>
        <w:t>后</w:t>
      </w:r>
      <w:r>
        <w:rPr>
          <w:rFonts w:hint="eastAsia" w:ascii="宋体" w:hAnsi="宋体" w:eastAsia="宋体" w:cs="宋体"/>
          <w:color w:val="000000" w:themeColor="text1"/>
          <w:sz w:val="24"/>
          <w:highlight w:val="none"/>
          <w14:textFill>
            <w14:solidFill>
              <w14:schemeClr w14:val="tx1"/>
            </w14:solidFill>
          </w14:textFill>
        </w:rPr>
        <w:t>生效。</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甲方（盖章）：</w:t>
      </w:r>
      <w:r>
        <w:rPr>
          <w:rFonts w:hint="eastAsia" w:ascii="宋体" w:hAnsi="宋体" w:eastAsia="宋体" w:cs="宋体"/>
          <w:color w:val="auto"/>
          <w:sz w:val="24"/>
          <w:szCs w:val="24"/>
          <w:lang w:val="en-US" w:eastAsia="zh-CN"/>
        </w:rPr>
        <w:t>娄底市中心医院</w:t>
      </w:r>
      <w:r>
        <w:rPr>
          <w:rFonts w:hint="default"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val="en-US" w:eastAsia="zh-CN"/>
        </w:rPr>
        <w:t xml:space="preserve">    </w:t>
      </w:r>
      <w:r>
        <w:rPr>
          <w:rFonts w:hint="default" w:ascii="宋体" w:hAnsi="宋体" w:eastAsia="宋体" w:cs="宋体"/>
          <w:color w:val="auto"/>
          <w:sz w:val="24"/>
          <w:szCs w:val="24"/>
          <w:lang w:val="en-US" w:eastAsia="zh-CN"/>
        </w:rPr>
        <w:t>乙方（盖章）</w:t>
      </w:r>
      <w:r>
        <w:rPr>
          <w:rFonts w:hint="eastAsia" w:ascii="宋体" w:hAnsi="宋体" w:eastAsia="宋体" w:cs="宋体"/>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 xml:space="preserve">法定代表人（签字）：        </w:t>
      </w:r>
      <w:r>
        <w:rPr>
          <w:rFonts w:hint="eastAsia" w:ascii="宋体" w:hAnsi="宋体" w:eastAsia="宋体" w:cs="宋体"/>
          <w:color w:val="auto"/>
          <w:sz w:val="24"/>
          <w:szCs w:val="24"/>
          <w:lang w:val="en-US" w:eastAsia="zh-CN"/>
        </w:rPr>
        <w:t xml:space="preserve">        </w:t>
      </w:r>
      <w:r>
        <w:rPr>
          <w:rFonts w:hint="default" w:ascii="宋体" w:hAnsi="宋体" w:eastAsia="宋体" w:cs="宋体"/>
          <w:color w:val="auto"/>
          <w:sz w:val="24"/>
          <w:szCs w:val="24"/>
          <w:lang w:val="en-US" w:eastAsia="zh-CN"/>
        </w:rPr>
        <w:t xml:space="preserve">法定代表人（签字）：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或</w:t>
      </w:r>
      <w:r>
        <w:rPr>
          <w:rFonts w:hint="default" w:ascii="宋体" w:hAnsi="宋体" w:eastAsia="宋体" w:cs="宋体"/>
          <w:color w:val="auto"/>
          <w:sz w:val="24"/>
          <w:szCs w:val="24"/>
          <w:lang w:val="en-US" w:eastAsia="zh-CN"/>
        </w:rPr>
        <w:t xml:space="preserve">委托代理人（签字）：        </w:t>
      </w:r>
      <w:r>
        <w:rPr>
          <w:rFonts w:hint="eastAsia" w:ascii="宋体" w:hAnsi="宋体" w:eastAsia="宋体" w:cs="宋体"/>
          <w:color w:val="auto"/>
          <w:sz w:val="24"/>
          <w:szCs w:val="24"/>
          <w:lang w:val="en-US" w:eastAsia="zh-CN"/>
        </w:rPr>
        <w:t xml:space="preserve">      或</w:t>
      </w:r>
      <w:r>
        <w:rPr>
          <w:rFonts w:hint="default" w:ascii="宋体" w:hAnsi="宋体" w:eastAsia="宋体" w:cs="宋体"/>
          <w:color w:val="auto"/>
          <w:sz w:val="24"/>
          <w:szCs w:val="24"/>
          <w:lang w:val="en-US" w:eastAsia="zh-CN"/>
        </w:rPr>
        <w:t>委托代理人（签字）：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合同签订地</w:t>
      </w:r>
      <w:r>
        <w:rPr>
          <w:rFonts w:hint="eastAsia" w:ascii="宋体" w:hAnsi="宋体" w:eastAsia="宋体" w:cs="宋体"/>
          <w:color w:val="auto"/>
          <w:sz w:val="24"/>
          <w:szCs w:val="24"/>
          <w:lang w:val="en-US" w:eastAsia="zh-CN"/>
        </w:rPr>
        <w:t>履行地</w:t>
      </w:r>
      <w:r>
        <w:rPr>
          <w:rFonts w:hint="default" w:ascii="宋体" w:hAnsi="宋体" w:eastAsia="宋体" w:cs="宋体"/>
          <w:color w:val="auto"/>
          <w:sz w:val="24"/>
          <w:szCs w:val="24"/>
          <w:lang w:val="en-US" w:eastAsia="zh-CN"/>
        </w:rPr>
        <w:t xml:space="preserve">：娄底市娄星区 </w:t>
      </w:r>
      <w:r>
        <w:rPr>
          <w:rFonts w:hint="eastAsia" w:ascii="宋体" w:hAnsi="宋体" w:eastAsia="宋体" w:cs="宋体"/>
          <w:color w:val="auto"/>
          <w:sz w:val="24"/>
          <w:szCs w:val="24"/>
          <w:lang w:val="en-US" w:eastAsia="zh-CN"/>
        </w:rPr>
        <w:t xml:space="preserve">    </w:t>
      </w:r>
      <w:r>
        <w:rPr>
          <w:rFonts w:hint="default" w:ascii="宋体" w:hAnsi="宋体" w:eastAsia="宋体" w:cs="宋体"/>
          <w:color w:val="auto"/>
          <w:sz w:val="24"/>
          <w:szCs w:val="24"/>
          <w:lang w:val="en-US" w:eastAsia="zh-CN"/>
        </w:rPr>
        <w:t>签订时间：</w:t>
      </w:r>
      <w:r>
        <w:rPr>
          <w:rFonts w:hint="eastAsia" w:ascii="宋体" w:hAnsi="宋体" w:eastAsia="宋体" w:cs="宋体"/>
          <w:color w:val="auto"/>
          <w:sz w:val="24"/>
          <w:szCs w:val="24"/>
          <w:lang w:val="en-US" w:eastAsia="zh-CN"/>
        </w:rPr>
        <w:t xml:space="preserve">      </w:t>
      </w:r>
      <w:r>
        <w:rPr>
          <w:rFonts w:hint="default" w:ascii="宋体" w:hAnsi="宋体" w:eastAsia="宋体" w:cs="宋体"/>
          <w:color w:val="auto"/>
          <w:sz w:val="24"/>
          <w:szCs w:val="24"/>
          <w:lang w:val="en-US" w:eastAsia="zh-CN"/>
        </w:rPr>
        <w:t>年</w:t>
      </w:r>
      <w:r>
        <w:rPr>
          <w:rFonts w:hint="eastAsia" w:ascii="宋体" w:hAnsi="宋体" w:eastAsia="宋体" w:cs="宋体"/>
          <w:color w:val="auto"/>
          <w:sz w:val="24"/>
          <w:szCs w:val="24"/>
          <w:lang w:val="en-US" w:eastAsia="zh-CN"/>
        </w:rPr>
        <w:t xml:space="preserve">     </w:t>
      </w:r>
      <w:r>
        <w:rPr>
          <w:rFonts w:hint="default" w:ascii="宋体" w:hAnsi="宋体" w:eastAsia="宋体" w:cs="宋体"/>
          <w:color w:val="auto"/>
          <w:sz w:val="24"/>
          <w:szCs w:val="24"/>
          <w:lang w:val="en-US" w:eastAsia="zh-CN"/>
        </w:rPr>
        <w:t>月</w:t>
      </w:r>
      <w:r>
        <w:rPr>
          <w:rFonts w:hint="eastAsia" w:ascii="宋体" w:hAnsi="宋体" w:eastAsia="宋体" w:cs="宋体"/>
          <w:color w:val="auto"/>
          <w:sz w:val="24"/>
          <w:szCs w:val="24"/>
          <w:lang w:val="en-US" w:eastAsia="zh-CN"/>
        </w:rPr>
        <w:t xml:space="preserve">     </w:t>
      </w:r>
      <w:r>
        <w:rPr>
          <w:rFonts w:hint="default" w:ascii="宋体" w:hAnsi="宋体" w:eastAsia="宋体" w:cs="宋体"/>
          <w:color w:val="auto"/>
          <w:sz w:val="24"/>
          <w:szCs w:val="24"/>
          <w:lang w:val="en-US" w:eastAsia="zh-CN"/>
        </w:rPr>
        <w:t>日</w:t>
      </w:r>
    </w:p>
    <w:p>
      <w:pPr>
        <w:keepNext w:val="0"/>
        <w:keepLines w:val="0"/>
        <w:pageBreakBefore w:val="0"/>
        <w:kinsoku/>
        <w:wordWrap/>
        <w:overflowPunct/>
        <w:topLinePunct w:val="0"/>
        <w:autoSpaceDE/>
        <w:autoSpaceDN/>
        <w:bidi w:val="0"/>
        <w:adjustRightInd/>
        <w:snapToGrid/>
        <w:spacing w:line="440" w:lineRule="exact"/>
        <w:textAlignment w:val="auto"/>
        <w:rPr>
          <w:rFonts w:ascii="宋体" w:hAnsi="宋体" w:eastAsia="宋体" w:cs="宋体"/>
          <w:color w:val="000000" w:themeColor="text1"/>
          <w:sz w:val="24"/>
          <w:highlight w:val="none"/>
          <w14:textFill>
            <w14:solidFill>
              <w14:schemeClr w14:val="tx1"/>
            </w14:solidFill>
          </w14:textFill>
        </w:rPr>
      </w:pPr>
    </w:p>
    <w:p>
      <w:pPr>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eastAsiaTheme="minorEastAsia"/>
          <w:color w:val="000000" w:themeColor="text1"/>
          <w:highlight w:val="none"/>
          <w:lang w:eastAsia="zh-CN"/>
          <w14:textFill>
            <w14:solidFill>
              <w14:schemeClr w14:val="tx1"/>
            </w14:solidFill>
          </w14:textFill>
        </w:rPr>
      </w:pPr>
      <w:r>
        <w:rPr>
          <w:rFonts w:hint="eastAsia" w:eastAsiaTheme="minorEastAsia"/>
          <w:color w:val="000000" w:themeColor="text1"/>
          <w:highlight w:val="none"/>
          <w:lang w:eastAsia="zh-CN"/>
          <w14:textFill>
            <w14:solidFill>
              <w14:schemeClr w14:val="tx1"/>
            </w14:solidFill>
          </w14:textFill>
        </w:rPr>
        <w:drawing>
          <wp:inline distT="0" distB="0" distL="114300" distR="114300">
            <wp:extent cx="5615305" cy="7988935"/>
            <wp:effectExtent l="0" t="0" r="4445" b="1206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2"/>
                    <a:stretch>
                      <a:fillRect/>
                    </a:stretch>
                  </pic:blipFill>
                  <pic:spPr>
                    <a:xfrm>
                      <a:off x="0" y="0"/>
                      <a:ext cx="5615305" cy="7988935"/>
                    </a:xfrm>
                    <a:prstGeom prst="rect">
                      <a:avLst/>
                    </a:prstGeom>
                  </pic:spPr>
                </pic:pic>
              </a:graphicData>
            </a:graphic>
          </wp:inline>
        </w:drawing>
      </w:r>
      <w:r>
        <w:rPr>
          <w:rFonts w:hint="eastAsia" w:eastAsiaTheme="minorEastAsia"/>
          <w:color w:val="000000" w:themeColor="text1"/>
          <w:highlight w:val="none"/>
          <w:lang w:eastAsia="zh-CN"/>
          <w14:textFill>
            <w14:solidFill>
              <w14:schemeClr w14:val="tx1"/>
            </w14:solidFill>
          </w14:textFill>
        </w:rPr>
        <w:drawing>
          <wp:inline distT="0" distB="0" distL="114300" distR="114300">
            <wp:extent cx="5610225" cy="8025130"/>
            <wp:effectExtent l="0" t="0" r="9525" b="1397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3"/>
                    <a:stretch>
                      <a:fillRect/>
                    </a:stretch>
                  </pic:blipFill>
                  <pic:spPr>
                    <a:xfrm>
                      <a:off x="0" y="0"/>
                      <a:ext cx="5610225" cy="8025130"/>
                    </a:xfrm>
                    <a:prstGeom prst="rect">
                      <a:avLst/>
                    </a:prstGeom>
                  </pic:spPr>
                </pic:pic>
              </a:graphicData>
            </a:graphic>
          </wp:inline>
        </w:drawing>
      </w:r>
      <w:r>
        <w:rPr>
          <w:rFonts w:hint="eastAsia" w:eastAsiaTheme="minorEastAsia"/>
          <w:color w:val="000000" w:themeColor="text1"/>
          <w:highlight w:val="none"/>
          <w:lang w:eastAsia="zh-CN"/>
          <w14:textFill>
            <w14:solidFill>
              <w14:schemeClr w14:val="tx1"/>
            </w14:solidFill>
          </w14:textFill>
        </w:rPr>
        <w:drawing>
          <wp:inline distT="0" distB="0" distL="114300" distR="114300">
            <wp:extent cx="5604510" cy="7904480"/>
            <wp:effectExtent l="0" t="0" r="15240" b="1270"/>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14"/>
                    <a:stretch>
                      <a:fillRect/>
                    </a:stretch>
                  </pic:blipFill>
                  <pic:spPr>
                    <a:xfrm>
                      <a:off x="0" y="0"/>
                      <a:ext cx="5604510" cy="7904480"/>
                    </a:xfrm>
                    <a:prstGeom prst="rect">
                      <a:avLst/>
                    </a:prstGeom>
                  </pic:spPr>
                </pic:pic>
              </a:graphicData>
            </a:graphic>
          </wp:inline>
        </w:drawing>
      </w:r>
      <w:r>
        <w:rPr>
          <w:rFonts w:hint="eastAsia" w:eastAsiaTheme="minorEastAsia"/>
          <w:color w:val="000000" w:themeColor="text1"/>
          <w:highlight w:val="none"/>
          <w:lang w:eastAsia="zh-CN"/>
          <w14:textFill>
            <w14:solidFill>
              <w14:schemeClr w14:val="tx1"/>
            </w14:solidFill>
          </w14:textFill>
        </w:rPr>
        <w:drawing>
          <wp:inline distT="0" distB="0" distL="114300" distR="114300">
            <wp:extent cx="5607050" cy="7912735"/>
            <wp:effectExtent l="0" t="0" r="12700" b="1206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15"/>
                    <a:stretch>
                      <a:fillRect/>
                    </a:stretch>
                  </pic:blipFill>
                  <pic:spPr>
                    <a:xfrm>
                      <a:off x="0" y="0"/>
                      <a:ext cx="5607050" cy="79127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pPr>
    </w:p>
    <w:p>
      <w:pPr>
        <w:keepNext w:val="0"/>
        <w:keepLines w:val="0"/>
        <w:pageBreakBefore w:val="0"/>
        <w:widowControl w:val="0"/>
        <w:kinsoku/>
        <w:wordWrap/>
        <w:overflowPunct/>
        <w:topLinePunct w:val="0"/>
        <w:autoSpaceDE/>
        <w:autoSpaceDN/>
        <w:bidi w:val="0"/>
        <w:adjustRightInd/>
        <w:snapToGrid/>
        <w:spacing w:line="480" w:lineRule="exact"/>
        <w:textAlignment w:val="auto"/>
      </w:pPr>
    </w:p>
    <w:p>
      <w:pPr>
        <w:pStyle w:val="15"/>
        <w:widowControl w:val="0"/>
        <w:numPr>
          <w:ilvl w:val="0"/>
          <w:numId w:val="0"/>
        </w:numPr>
        <w:jc w:val="both"/>
        <w:rPr>
          <w:color w:val="auto"/>
          <w:sz w:val="28"/>
          <w:szCs w:val="28"/>
        </w:rPr>
      </w:pPr>
    </w:p>
    <w:p>
      <w:pPr>
        <w:pStyle w:val="2"/>
        <w:numPr>
          <w:ilvl w:val="0"/>
          <w:numId w:val="0"/>
        </w:numPr>
        <w:spacing w:line="240" w:lineRule="auto"/>
        <w:ind w:left="2940" w:leftChars="0"/>
        <w:jc w:val="both"/>
        <w:rPr>
          <w:rFonts w:hint="eastAsia" w:ascii="宋体" w:hAnsi="宋体" w:cs="宋体"/>
          <w:color w:val="auto"/>
          <w:sz w:val="30"/>
          <w:szCs w:val="30"/>
        </w:rPr>
      </w:pPr>
      <w:bookmarkStart w:id="1" w:name="_Toc16523574"/>
      <w:r>
        <w:rPr>
          <w:rFonts w:hint="eastAsia" w:ascii="宋体" w:hAnsi="宋体" w:cs="宋体"/>
          <w:color w:val="auto"/>
          <w:sz w:val="30"/>
          <w:szCs w:val="30"/>
          <w:lang w:val="en-US" w:eastAsia="zh-CN"/>
        </w:rPr>
        <w:t xml:space="preserve">第三章   </w:t>
      </w:r>
      <w:r>
        <w:rPr>
          <w:rFonts w:hint="eastAsia" w:ascii="宋体" w:hAnsi="宋体" w:cs="宋体"/>
          <w:color w:val="auto"/>
          <w:sz w:val="30"/>
          <w:szCs w:val="30"/>
        </w:rPr>
        <w:t>投标文件的格式</w:t>
      </w:r>
    </w:p>
    <w:p>
      <w:pPr>
        <w:pStyle w:val="2"/>
        <w:numPr>
          <w:ilvl w:val="0"/>
          <w:numId w:val="0"/>
        </w:numPr>
        <w:spacing w:line="240" w:lineRule="auto"/>
        <w:ind w:firstLine="2108" w:firstLineChars="700"/>
        <w:jc w:val="both"/>
        <w:rPr>
          <w:rFonts w:hint="eastAsia" w:ascii="宋体" w:hAnsi="宋体" w:cs="宋体"/>
          <w:color w:val="auto"/>
          <w:sz w:val="30"/>
          <w:szCs w:val="30"/>
        </w:rPr>
      </w:pPr>
      <w:r>
        <w:rPr>
          <w:rFonts w:hint="eastAsia" w:ascii="宋体" w:hAnsi="宋体" w:cs="宋体"/>
          <w:color w:val="auto"/>
          <w:sz w:val="30"/>
          <w:szCs w:val="30"/>
        </w:rPr>
        <w:t>（必须按以下标题和顺序进行编制）</w:t>
      </w:r>
    </w:p>
    <w:p>
      <w:pPr>
        <w:rPr>
          <w:rFonts w:hint="eastAsia" w:ascii="宋体" w:hAnsi="宋体" w:cs="宋体"/>
          <w:color w:val="auto"/>
        </w:rPr>
      </w:pPr>
    </w:p>
    <w:bookmarkEnd w:id="1"/>
    <w:p>
      <w:pPr>
        <w:rPr>
          <w:rFonts w:hint="eastAsia"/>
          <w:color w:val="auto"/>
        </w:rPr>
      </w:pPr>
    </w:p>
    <w:p>
      <w:pPr>
        <w:jc w:val="center"/>
        <w:rPr>
          <w:b/>
          <w:color w:val="auto"/>
          <w:sz w:val="24"/>
        </w:rPr>
      </w:pPr>
      <w:r>
        <w:rPr>
          <w:b/>
          <w:color w:val="auto"/>
          <w:sz w:val="28"/>
          <w:szCs w:val="28"/>
        </w:rPr>
        <w:t>第一部分、开标一览表</w:t>
      </w:r>
    </w:p>
    <w:p>
      <w:pPr>
        <w:jc w:val="center"/>
        <w:rPr>
          <w:b/>
          <w:color w:val="auto"/>
          <w:sz w:val="24"/>
        </w:rPr>
      </w:pPr>
    </w:p>
    <w:p>
      <w:pPr>
        <w:jc w:val="center"/>
        <w:rPr>
          <w:rFonts w:hint="eastAsia" w:eastAsia="宋体"/>
          <w:b/>
          <w:color w:val="auto"/>
          <w:sz w:val="24"/>
          <w:lang w:eastAsia="zh-CN"/>
        </w:rPr>
      </w:pPr>
      <w:r>
        <w:rPr>
          <w:rFonts w:hint="eastAsia"/>
          <w:b/>
          <w:color w:val="auto"/>
          <w:sz w:val="24"/>
          <w:lang w:eastAsia="zh-CN"/>
        </w:rPr>
        <w:t>注：此项内容需包含投标商品名称、数量、品牌、型号、单价、总价、等信息</w:t>
      </w:r>
    </w:p>
    <w:p>
      <w:pPr>
        <w:pStyle w:val="16"/>
        <w:rPr>
          <w:color w:val="auto"/>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cs="宋体"/>
          <w:b/>
          <w:color w:val="auto"/>
          <w:sz w:val="28"/>
          <w:szCs w:val="28"/>
        </w:rPr>
      </w:pPr>
    </w:p>
    <w:p>
      <w:pPr>
        <w:adjustRightInd w:val="0"/>
        <w:snapToGrid w:val="0"/>
        <w:spacing w:line="360" w:lineRule="auto"/>
        <w:jc w:val="center"/>
        <w:rPr>
          <w:rFonts w:hint="eastAsia" w:ascii="宋体" w:hAnsi="宋体" w:eastAsia="宋体" w:cs="宋体"/>
          <w:b/>
          <w:color w:val="auto"/>
          <w:sz w:val="28"/>
          <w:szCs w:val="28"/>
          <w:lang w:eastAsia="zh-CN"/>
        </w:rPr>
      </w:pPr>
      <w:r>
        <w:rPr>
          <w:rFonts w:hint="eastAsia" w:ascii="宋体" w:hAnsi="宋体" w:cs="宋体"/>
          <w:b/>
          <w:color w:val="auto"/>
          <w:sz w:val="28"/>
          <w:szCs w:val="28"/>
        </w:rPr>
        <w:t>第二部分、资格证明文件</w:t>
      </w:r>
    </w:p>
    <w:p>
      <w:pPr>
        <w:pStyle w:val="15"/>
        <w:rPr>
          <w:rFonts w:hint="eastAsia"/>
          <w:lang w:eastAsia="zh-CN"/>
        </w:rPr>
      </w:pPr>
    </w:p>
    <w:p>
      <w:pPr>
        <w:adjustRightInd w:val="0"/>
        <w:snapToGrid w:val="0"/>
        <w:spacing w:line="360" w:lineRule="auto"/>
        <w:jc w:val="center"/>
        <w:rPr>
          <w:rFonts w:hint="eastAsia" w:ascii="宋体" w:hAnsi="宋体" w:cs="宋体"/>
          <w:b/>
          <w:color w:val="auto"/>
          <w:sz w:val="24"/>
          <w:szCs w:val="20"/>
        </w:rPr>
      </w:pPr>
    </w:p>
    <w:p>
      <w:pPr>
        <w:adjustRightInd w:val="0"/>
        <w:snapToGrid w:val="0"/>
        <w:spacing w:line="360" w:lineRule="auto"/>
        <w:jc w:val="center"/>
        <w:rPr>
          <w:rFonts w:hint="eastAsia" w:ascii="宋体" w:hAnsi="宋体" w:cs="宋体"/>
          <w:b/>
          <w:color w:val="auto"/>
          <w:sz w:val="24"/>
          <w:szCs w:val="20"/>
        </w:rPr>
      </w:pPr>
      <w:r>
        <w:rPr>
          <w:rFonts w:hint="eastAsia" w:ascii="宋体" w:hAnsi="宋体" w:cs="宋体"/>
          <w:b/>
          <w:color w:val="auto"/>
          <w:sz w:val="24"/>
          <w:szCs w:val="20"/>
        </w:rPr>
        <w:t>一、法定代表人授权委托书</w:t>
      </w:r>
    </w:p>
    <w:p>
      <w:pPr>
        <w:adjustRightInd w:val="0"/>
        <w:snapToGrid w:val="0"/>
        <w:spacing w:line="360" w:lineRule="auto"/>
        <w:rPr>
          <w:rFonts w:hint="eastAsia" w:ascii="宋体" w:hAnsi="宋体" w:cs="宋体"/>
          <w:b/>
          <w:color w:val="auto"/>
          <w:sz w:val="28"/>
          <w:szCs w:val="28"/>
        </w:rPr>
      </w:pPr>
    </w:p>
    <w:p>
      <w:pPr>
        <w:autoSpaceDE w:val="0"/>
        <w:autoSpaceDN w:val="0"/>
        <w:adjustRightInd w:val="0"/>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本人</w:t>
      </w:r>
      <w:r>
        <w:rPr>
          <w:rFonts w:hint="eastAsia" w:ascii="宋体" w:hAnsi="宋体" w:cs="宋体"/>
          <w:color w:val="auto"/>
          <w:kern w:val="0"/>
          <w:sz w:val="24"/>
          <w:u w:val="single"/>
        </w:rPr>
        <w:t>（姓名、职务）</w:t>
      </w:r>
      <w:r>
        <w:rPr>
          <w:rFonts w:hint="eastAsia" w:ascii="宋体" w:hAnsi="宋体" w:cs="宋体"/>
          <w:color w:val="auto"/>
          <w:kern w:val="0"/>
          <w:sz w:val="24"/>
        </w:rPr>
        <w:t>系</w:t>
      </w:r>
      <w:r>
        <w:rPr>
          <w:rFonts w:hint="eastAsia" w:ascii="宋体" w:hAnsi="宋体" w:cs="宋体"/>
          <w:color w:val="auto"/>
          <w:kern w:val="0"/>
          <w:sz w:val="24"/>
          <w:u w:val="single"/>
        </w:rPr>
        <w:t xml:space="preserve"> （</w:t>
      </w:r>
      <w:r>
        <w:rPr>
          <w:rFonts w:hint="eastAsia" w:ascii="宋体" w:hAnsi="宋体" w:cs="宋体"/>
          <w:color w:val="auto"/>
          <w:sz w:val="24"/>
          <w:u w:val="single"/>
        </w:rPr>
        <w:t>投标人</w:t>
      </w:r>
      <w:r>
        <w:rPr>
          <w:rFonts w:hint="eastAsia" w:ascii="宋体" w:hAnsi="宋体" w:cs="宋体"/>
          <w:color w:val="auto"/>
          <w:kern w:val="0"/>
          <w:sz w:val="24"/>
          <w:u w:val="single"/>
        </w:rPr>
        <w:t>名称）</w:t>
      </w:r>
      <w:r>
        <w:rPr>
          <w:rFonts w:hint="eastAsia" w:ascii="宋体" w:hAnsi="宋体" w:cs="宋体"/>
          <w:color w:val="auto"/>
          <w:kern w:val="0"/>
          <w:sz w:val="24"/>
        </w:rPr>
        <w:t>的法定代表人，现授权</w:t>
      </w:r>
      <w:r>
        <w:rPr>
          <w:rFonts w:hint="eastAsia" w:ascii="宋体" w:hAnsi="宋体" w:cs="宋体"/>
          <w:color w:val="auto"/>
          <w:kern w:val="0"/>
          <w:sz w:val="24"/>
          <w:u w:val="single"/>
        </w:rPr>
        <w:t>（姓名、职务）</w:t>
      </w:r>
      <w:r>
        <w:rPr>
          <w:rFonts w:hint="eastAsia" w:ascii="宋体" w:hAnsi="宋体" w:cs="宋体"/>
          <w:color w:val="auto"/>
          <w:kern w:val="0"/>
          <w:sz w:val="24"/>
        </w:rPr>
        <w:t>为我方代理人。代理人根据授权，以我方名义签署、澄清、说明、补正、递交、撤回、修改</w:t>
      </w:r>
      <w:r>
        <w:rPr>
          <w:rFonts w:hint="eastAsia" w:ascii="宋体" w:hAnsi="宋体" w:cs="宋体"/>
          <w:color w:val="auto"/>
          <w:kern w:val="0"/>
          <w:sz w:val="24"/>
          <w:u w:val="single"/>
        </w:rPr>
        <w:t>（项目名称）</w:t>
      </w:r>
      <w:r>
        <w:rPr>
          <w:rFonts w:hint="eastAsia" w:ascii="宋体" w:hAnsi="宋体" w:cs="宋体"/>
          <w:color w:val="auto"/>
          <w:kern w:val="0"/>
          <w:sz w:val="24"/>
        </w:rPr>
        <w:t>（采购编号：</w:t>
      </w:r>
      <w:r>
        <w:rPr>
          <w:rFonts w:hint="eastAsia" w:ascii="宋体" w:hAnsi="宋体" w:cs="宋体"/>
          <w:color w:val="auto"/>
          <w:kern w:val="0"/>
          <w:sz w:val="24"/>
          <w:u w:val="single"/>
        </w:rPr>
        <w:t xml:space="preserve">     </w:t>
      </w:r>
      <w:r>
        <w:rPr>
          <w:rFonts w:hint="eastAsia" w:ascii="宋体" w:hAnsi="宋体" w:cs="宋体"/>
          <w:color w:val="auto"/>
          <w:kern w:val="0"/>
          <w:sz w:val="24"/>
        </w:rPr>
        <w:t>）投标文件、签订合同和处理有关事宜，其法律后果由我方承担。</w:t>
      </w:r>
    </w:p>
    <w:p>
      <w:pPr>
        <w:autoSpaceDE w:val="0"/>
        <w:autoSpaceDN w:val="0"/>
        <w:adjustRightInd w:val="0"/>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委托期限：</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pPr>
        <w:adjustRightInd w:val="0"/>
        <w:snapToGrid w:val="0"/>
        <w:spacing w:line="360" w:lineRule="auto"/>
        <w:ind w:firstLine="435"/>
        <w:rPr>
          <w:rFonts w:hint="eastAsia" w:ascii="宋体" w:hAnsi="宋体" w:cs="宋体"/>
          <w:color w:val="auto"/>
          <w:kern w:val="0"/>
          <w:sz w:val="24"/>
        </w:rPr>
      </w:pPr>
      <w:r>
        <w:rPr>
          <w:rFonts w:hint="eastAsia" w:ascii="宋体" w:hAnsi="宋体" w:cs="宋体"/>
          <w:color w:val="auto"/>
          <w:kern w:val="0"/>
          <w:sz w:val="24"/>
        </w:rPr>
        <w:t>代理人无转委托权。</w:t>
      </w:r>
    </w:p>
    <w:p>
      <w:pPr>
        <w:adjustRightInd w:val="0"/>
        <w:snapToGrid w:val="0"/>
        <w:spacing w:line="360" w:lineRule="auto"/>
        <w:ind w:firstLine="435"/>
        <w:rPr>
          <w:rFonts w:hint="eastAsia" w:ascii="宋体" w:hAnsi="宋体" w:cs="宋体"/>
          <w:color w:val="auto"/>
          <w:sz w:val="24"/>
        </w:rPr>
      </w:pPr>
      <w:r>
        <w:rPr>
          <w:rFonts w:hint="eastAsia" w:ascii="宋体" w:hAnsi="宋体" w:cs="宋体"/>
          <w:color w:val="auto"/>
          <w:sz w:val="24"/>
        </w:rPr>
        <w:t>本授权书于日期：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日签字生效，特此声明。</w:t>
      </w:r>
    </w:p>
    <w:p>
      <w:pPr>
        <w:adjustRightInd w:val="0"/>
        <w:snapToGrid w:val="0"/>
        <w:spacing w:line="360" w:lineRule="auto"/>
        <w:ind w:firstLine="480" w:firstLineChars="200"/>
        <w:rPr>
          <w:rFonts w:hint="eastAsia" w:ascii="宋体" w:hAnsi="宋体" w:cs="宋体"/>
          <w:color w:val="auto"/>
          <w:sz w:val="24"/>
        </w:rPr>
      </w:pPr>
    </w:p>
    <w:tbl>
      <w:tblPr>
        <w:tblStyle w:val="9"/>
        <w:tblW w:w="0" w:type="auto"/>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8278" w:type="dxa"/>
            <w:noWrap w:val="0"/>
            <w:vAlign w:val="center"/>
          </w:tcPr>
          <w:p>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委托代理人身份证（正面、反面）复印件</w:t>
            </w:r>
          </w:p>
        </w:tc>
      </w:tr>
    </w:tbl>
    <w:p>
      <w:pPr>
        <w:adjustRightInd w:val="0"/>
        <w:snapToGrid w:val="0"/>
        <w:spacing w:line="360" w:lineRule="auto"/>
        <w:rPr>
          <w:rFonts w:hint="eastAsia" w:ascii="宋体" w:hAnsi="宋体" w:cs="宋体"/>
          <w:color w:val="auto"/>
          <w:sz w:val="24"/>
        </w:rPr>
      </w:pPr>
    </w:p>
    <w:tbl>
      <w:tblPr>
        <w:tblStyle w:val="9"/>
        <w:tblW w:w="0" w:type="auto"/>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8278" w:type="dxa"/>
            <w:noWrap w:val="0"/>
            <w:vAlign w:val="center"/>
          </w:tcPr>
          <w:p>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法定代表人身份证（正面、反面）复印件</w:t>
            </w:r>
          </w:p>
        </w:tc>
      </w:tr>
    </w:tbl>
    <w:p>
      <w:pPr>
        <w:adjustRightInd w:val="0"/>
        <w:snapToGrid w:val="0"/>
        <w:spacing w:line="360" w:lineRule="auto"/>
        <w:rPr>
          <w:rFonts w:hint="eastAsia" w:ascii="宋体" w:hAnsi="宋体" w:cs="宋体"/>
          <w:color w:val="auto"/>
          <w:sz w:val="24"/>
        </w:rPr>
      </w:pPr>
    </w:p>
    <w:p>
      <w:pPr>
        <w:adjustRightInd w:val="0"/>
        <w:snapToGrid w:val="0"/>
        <w:spacing w:line="360" w:lineRule="auto"/>
        <w:rPr>
          <w:rFonts w:hint="eastAsia" w:ascii="宋体" w:hAnsi="宋体" w:cs="宋体"/>
          <w:color w:val="auto"/>
          <w:sz w:val="24"/>
        </w:rPr>
      </w:pPr>
    </w:p>
    <w:p>
      <w:pPr>
        <w:adjustRightInd w:val="0"/>
        <w:snapToGrid w:val="0"/>
        <w:spacing w:line="360" w:lineRule="auto"/>
        <w:rPr>
          <w:rFonts w:hint="eastAsia" w:ascii="宋体" w:hAnsi="宋体" w:cs="宋体"/>
          <w:color w:val="auto"/>
          <w:sz w:val="24"/>
        </w:rPr>
      </w:pPr>
      <w:r>
        <w:rPr>
          <w:rFonts w:hint="eastAsia" w:ascii="宋体" w:hAnsi="宋体" w:cs="宋体"/>
          <w:color w:val="auto"/>
          <w:sz w:val="24"/>
        </w:rPr>
        <w:t>投标人名称（盖单位章）：</w:t>
      </w:r>
    </w:p>
    <w:p>
      <w:pPr>
        <w:adjustRightInd w:val="0"/>
        <w:snapToGrid w:val="0"/>
        <w:spacing w:line="360" w:lineRule="auto"/>
        <w:ind w:right="420"/>
        <w:rPr>
          <w:rFonts w:hint="eastAsia" w:ascii="宋体" w:hAnsi="宋体" w:cs="宋体"/>
          <w:color w:val="auto"/>
          <w:sz w:val="24"/>
        </w:rPr>
      </w:pPr>
      <w:r>
        <w:rPr>
          <w:rFonts w:hint="eastAsia" w:ascii="宋体" w:hAnsi="宋体" w:cs="宋体"/>
          <w:color w:val="auto"/>
          <w:sz w:val="24"/>
        </w:rPr>
        <w:t>法定代表人（签字）：</w:t>
      </w:r>
    </w:p>
    <w:p>
      <w:pPr>
        <w:adjustRightInd w:val="0"/>
        <w:snapToGrid w:val="0"/>
        <w:spacing w:line="360" w:lineRule="auto"/>
        <w:ind w:right="420"/>
        <w:rPr>
          <w:rFonts w:hint="eastAsia" w:ascii="宋体" w:hAnsi="宋体" w:cs="宋体"/>
          <w:color w:val="auto"/>
          <w:sz w:val="24"/>
        </w:rPr>
      </w:pPr>
      <w:r>
        <w:rPr>
          <w:rFonts w:hint="eastAsia" w:ascii="宋体" w:hAnsi="宋体" w:cs="宋体"/>
          <w:color w:val="auto"/>
          <w:sz w:val="24"/>
        </w:rPr>
        <w:t>委托代理人（签字）：</w:t>
      </w:r>
    </w:p>
    <w:p>
      <w:pPr>
        <w:adjustRightInd w:val="0"/>
        <w:snapToGrid w:val="0"/>
        <w:spacing w:line="360" w:lineRule="auto"/>
        <w:rPr>
          <w:rFonts w:hint="eastAsia" w:ascii="宋体" w:hAnsi="宋体" w:cs="宋体"/>
          <w:b/>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adjustRightInd w:val="0"/>
        <w:snapToGrid w:val="0"/>
        <w:spacing w:line="360" w:lineRule="auto"/>
        <w:rPr>
          <w:rFonts w:hint="eastAsia" w:ascii="宋体" w:hAnsi="宋体" w:cs="宋体"/>
          <w:b/>
          <w:color w:val="auto"/>
          <w:sz w:val="28"/>
          <w:szCs w:val="28"/>
        </w:rPr>
      </w:pPr>
    </w:p>
    <w:p>
      <w:pPr>
        <w:adjustRightInd w:val="0"/>
        <w:snapToGrid w:val="0"/>
        <w:spacing w:line="360" w:lineRule="auto"/>
        <w:jc w:val="center"/>
        <w:rPr>
          <w:rFonts w:hint="eastAsia" w:ascii="宋体" w:hAnsi="宋体" w:cs="宋体"/>
          <w:color w:val="auto"/>
          <w:sz w:val="24"/>
        </w:rPr>
      </w:pPr>
      <w:r>
        <w:rPr>
          <w:rFonts w:hint="eastAsia" w:ascii="宋体" w:hAnsi="宋体" w:cs="宋体"/>
          <w:b/>
          <w:color w:val="auto"/>
          <w:sz w:val="24"/>
          <w:szCs w:val="20"/>
        </w:rPr>
        <w:t>二、投标人资格声明</w:t>
      </w:r>
    </w:p>
    <w:p>
      <w:pPr>
        <w:widowControl/>
        <w:adjustRightInd w:val="0"/>
        <w:snapToGrid w:val="0"/>
        <w:spacing w:before="120" w:beforeLines="50" w:line="360" w:lineRule="auto"/>
        <w:jc w:val="left"/>
        <w:rPr>
          <w:rFonts w:hint="eastAsia" w:ascii="宋体" w:hAnsi="宋体" w:cs="宋体"/>
          <w:color w:val="auto"/>
          <w:kern w:val="0"/>
          <w:sz w:val="24"/>
        </w:rPr>
      </w:pPr>
      <w:r>
        <w:rPr>
          <w:rFonts w:hint="eastAsia" w:ascii="宋体" w:hAnsi="宋体" w:cs="宋体"/>
          <w:color w:val="auto"/>
          <w:sz w:val="24"/>
        </w:rPr>
        <w:t>致(</w:t>
      </w:r>
      <w:r>
        <w:rPr>
          <w:rFonts w:hint="eastAsia" w:ascii="宋体" w:hAnsi="宋体" w:cs="宋体"/>
          <w:color w:val="auto"/>
          <w:sz w:val="24"/>
          <w:lang w:val="en-US" w:eastAsia="zh-CN"/>
        </w:rPr>
        <w:t xml:space="preserve">           </w:t>
      </w:r>
      <w:r>
        <w:rPr>
          <w:rFonts w:hint="eastAsia" w:ascii="宋体" w:hAnsi="宋体" w:cs="宋体"/>
          <w:color w:val="auto"/>
          <w:sz w:val="24"/>
        </w:rPr>
        <w:t>)：</w:t>
      </w:r>
    </w:p>
    <w:p>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按照招标文件的规定，我单位郑重声明如下：</w:t>
      </w:r>
    </w:p>
    <w:p>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一、我单位是按照中华人民共和国法律规定登记注册的，注册地点为</w:t>
      </w:r>
      <w:r>
        <w:rPr>
          <w:rFonts w:hint="eastAsia" w:ascii="宋体" w:hAnsi="宋体" w:cs="宋体"/>
          <w:color w:val="auto"/>
          <w:sz w:val="24"/>
          <w:u w:val="single"/>
        </w:rPr>
        <w:t xml:space="preserve">      </w:t>
      </w:r>
      <w:r>
        <w:rPr>
          <w:rFonts w:hint="eastAsia" w:ascii="宋体" w:hAnsi="宋体" w:cs="宋体"/>
          <w:color w:val="auto"/>
          <w:sz w:val="24"/>
        </w:rPr>
        <w:t>，全称为</w:t>
      </w:r>
      <w:r>
        <w:rPr>
          <w:rFonts w:hint="eastAsia" w:ascii="宋体" w:hAnsi="宋体" w:cs="宋体"/>
          <w:color w:val="auto"/>
          <w:sz w:val="24"/>
          <w:u w:val="single"/>
        </w:rPr>
        <w:t xml:space="preserve">      </w:t>
      </w:r>
      <w:r>
        <w:rPr>
          <w:rFonts w:hint="eastAsia" w:ascii="宋体" w:hAnsi="宋体" w:cs="宋体"/>
          <w:color w:val="auto"/>
          <w:sz w:val="24"/>
        </w:rPr>
        <w:t>，统一社会信用代码为</w:t>
      </w:r>
      <w:r>
        <w:rPr>
          <w:rFonts w:hint="eastAsia" w:ascii="宋体" w:hAnsi="宋体" w:cs="宋体"/>
          <w:color w:val="auto"/>
          <w:sz w:val="24"/>
          <w:u w:val="single"/>
        </w:rPr>
        <w:t xml:space="preserve">      </w:t>
      </w:r>
      <w:r>
        <w:rPr>
          <w:rFonts w:hint="eastAsia" w:ascii="宋体" w:hAnsi="宋体" w:cs="宋体"/>
          <w:color w:val="auto"/>
          <w:sz w:val="24"/>
        </w:rPr>
        <w:t>，法定代表人为</w:t>
      </w:r>
      <w:r>
        <w:rPr>
          <w:rFonts w:hint="eastAsia" w:ascii="宋体" w:hAnsi="宋体" w:cs="宋体"/>
          <w:color w:val="auto"/>
          <w:sz w:val="24"/>
          <w:u w:val="single"/>
        </w:rPr>
        <w:t xml:space="preserve">      </w:t>
      </w:r>
      <w:r>
        <w:rPr>
          <w:rFonts w:hint="eastAsia" w:ascii="宋体" w:hAnsi="宋体" w:cs="宋体"/>
          <w:color w:val="auto"/>
          <w:sz w:val="24"/>
        </w:rPr>
        <w:t>，具有独立承担民事责任的能力。</w:t>
      </w:r>
    </w:p>
    <w:p>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二、我单位具有良好的商业信誉和健全的财务会计制度。</w:t>
      </w:r>
    </w:p>
    <w:p>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三、</w:t>
      </w:r>
      <w:r>
        <w:rPr>
          <w:rFonts w:hint="eastAsia" w:ascii="宋体" w:hAnsi="宋体" w:cs="宋体"/>
          <w:color w:val="auto"/>
          <w:sz w:val="24"/>
        </w:rPr>
        <w:t>我单位具有履行本项目采购合同所必需的设备和专业技术能力。</w:t>
      </w:r>
    </w:p>
    <w:p>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四、我单位在参加本招标项目前三年内，在经营活动中，未因违法经营受到刑事处罚或者责令停产停业、吊销许可证或者执照、较大数额罚款等行政处罚。其中较大数额罚款是指：对公民处罚款在1000元及以上；对法人或者其他组织处罚款在2万元及以上；法律法规另有规定的，从其规定。</w:t>
      </w:r>
    </w:p>
    <w:p>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五、我单位具备法律、行政法规规定的其他条件。</w:t>
      </w:r>
    </w:p>
    <w:p>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kern w:val="0"/>
          <w:sz w:val="24"/>
        </w:rPr>
        <w:t>六、</w:t>
      </w:r>
      <w:r>
        <w:rPr>
          <w:rFonts w:hint="eastAsia" w:ascii="宋体" w:hAnsi="宋体" w:cs="宋体"/>
          <w:color w:val="auto"/>
          <w:sz w:val="24"/>
        </w:rPr>
        <w:t>与我单位存在“单位负责人为同一人或者存在直接控股、管理关系”的其他法人单位信息如下（如无，填写“无”）：</w:t>
      </w:r>
    </w:p>
    <w:p>
      <w:pPr>
        <w:adjustRightInd w:val="0"/>
        <w:snapToGrid w:val="0"/>
        <w:spacing w:before="120" w:beforeLines="50" w:line="360" w:lineRule="auto"/>
        <w:ind w:firstLine="480" w:firstLineChars="200"/>
        <w:rPr>
          <w:rFonts w:hint="eastAsia" w:ascii="宋体" w:hAnsi="宋体" w:cs="宋体"/>
          <w:color w:val="auto"/>
          <w:sz w:val="24"/>
          <w:u w:val="single"/>
        </w:rPr>
      </w:pPr>
      <w:r>
        <w:rPr>
          <w:rFonts w:hint="eastAsia" w:ascii="宋体" w:hAnsi="宋体" w:cs="宋体"/>
          <w:color w:val="auto"/>
          <w:sz w:val="24"/>
        </w:rPr>
        <w:t>1、与我单位的法定代表人（单位负责人）为同一人的其他法人单位如下：</w:t>
      </w:r>
      <w:r>
        <w:rPr>
          <w:rFonts w:hint="eastAsia" w:ascii="宋体" w:hAnsi="宋体" w:cs="宋体"/>
          <w:color w:val="auto"/>
          <w:sz w:val="24"/>
          <w:u w:val="single"/>
        </w:rPr>
        <w:t xml:space="preserve">               </w:t>
      </w:r>
    </w:p>
    <w:p>
      <w:pPr>
        <w:adjustRightInd w:val="0"/>
        <w:snapToGrid w:val="0"/>
        <w:spacing w:before="120" w:beforeLines="50" w:line="360" w:lineRule="auto"/>
        <w:ind w:firstLine="480" w:firstLineChars="200"/>
        <w:rPr>
          <w:rFonts w:hint="eastAsia" w:ascii="宋体" w:hAnsi="宋体" w:cs="宋体"/>
          <w:color w:val="auto"/>
          <w:sz w:val="24"/>
        </w:rPr>
      </w:pPr>
      <w:r>
        <w:rPr>
          <w:rFonts w:hint="eastAsia" w:ascii="宋体" w:hAnsi="宋体" w:cs="宋体"/>
          <w:color w:val="auto"/>
          <w:sz w:val="24"/>
        </w:rPr>
        <w:t>2、我单位直接控股的其他法人单位如下：</w:t>
      </w:r>
      <w:r>
        <w:rPr>
          <w:rFonts w:hint="eastAsia" w:ascii="宋体" w:hAnsi="宋体" w:cs="宋体"/>
          <w:color w:val="auto"/>
          <w:sz w:val="24"/>
          <w:u w:val="single"/>
        </w:rPr>
        <w:t xml:space="preserve">                                            </w:t>
      </w:r>
    </w:p>
    <w:p>
      <w:pPr>
        <w:adjustRightInd w:val="0"/>
        <w:snapToGrid w:val="0"/>
        <w:spacing w:before="120" w:beforeLines="50" w:line="360" w:lineRule="auto"/>
        <w:ind w:firstLine="480" w:firstLineChars="200"/>
        <w:rPr>
          <w:rFonts w:hint="eastAsia" w:ascii="宋体" w:hAnsi="宋体" w:cs="宋体"/>
          <w:color w:val="auto"/>
          <w:sz w:val="24"/>
        </w:rPr>
      </w:pPr>
      <w:r>
        <w:rPr>
          <w:rFonts w:hint="eastAsia" w:ascii="宋体" w:hAnsi="宋体" w:cs="宋体"/>
          <w:color w:val="auto"/>
          <w:sz w:val="24"/>
        </w:rPr>
        <w:t>3、与我单位存在管理关系的其他法人单位如下：</w:t>
      </w:r>
      <w:r>
        <w:rPr>
          <w:rFonts w:hint="eastAsia" w:ascii="宋体" w:hAnsi="宋体" w:cs="宋体"/>
          <w:color w:val="auto"/>
          <w:sz w:val="24"/>
          <w:u w:val="single"/>
        </w:rPr>
        <w:t xml:space="preserve">                                      </w:t>
      </w:r>
    </w:p>
    <w:p>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我单位保证上述声明的事项都是真实的，如有虚假，我单位愿意承担相应的法律责任，并承担因此所造成的一切损失。</w:t>
      </w:r>
    </w:p>
    <w:p>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我单位保证随时按照要求提供能够证明上述声明事项真实性的任何有效文件。</w:t>
      </w:r>
    </w:p>
    <w:p>
      <w:pPr>
        <w:widowControl/>
        <w:adjustRightInd w:val="0"/>
        <w:snapToGrid w:val="0"/>
        <w:spacing w:before="120" w:beforeLines="50" w:line="360" w:lineRule="auto"/>
        <w:jc w:val="left"/>
        <w:rPr>
          <w:rFonts w:hint="eastAsia" w:ascii="宋体" w:hAnsi="宋体" w:cs="宋体"/>
          <w:color w:val="auto"/>
          <w:kern w:val="0"/>
          <w:sz w:val="24"/>
        </w:rPr>
      </w:pPr>
      <w:r>
        <w:rPr>
          <w:rFonts w:hint="eastAsia" w:ascii="宋体" w:hAnsi="宋体" w:cs="宋体"/>
          <w:color w:val="auto"/>
          <w:sz w:val="24"/>
        </w:rPr>
        <w:t>投标人名称（盖单位公章）：</w:t>
      </w:r>
    </w:p>
    <w:p>
      <w:pPr>
        <w:widowControl/>
        <w:adjustRightInd w:val="0"/>
        <w:snapToGrid w:val="0"/>
        <w:spacing w:before="120" w:beforeLines="50" w:line="360" w:lineRule="auto"/>
        <w:jc w:val="left"/>
        <w:rPr>
          <w:rFonts w:hint="eastAsia" w:ascii="宋体" w:hAnsi="宋体" w:cs="宋体"/>
          <w:b/>
          <w:bCs/>
          <w:color w:val="auto"/>
          <w:kern w:val="0"/>
          <w:sz w:val="24"/>
        </w:rPr>
      </w:pPr>
      <w:r>
        <w:rPr>
          <w:rFonts w:hint="eastAsia" w:ascii="宋体" w:hAnsi="宋体" w:cs="宋体"/>
          <w:color w:val="auto"/>
          <w:sz w:val="24"/>
        </w:rPr>
        <w:t>法定代表人或委托代理人（签字）：</w:t>
      </w:r>
    </w:p>
    <w:p>
      <w:pPr>
        <w:widowControl/>
        <w:adjustRightInd w:val="0"/>
        <w:snapToGrid w:val="0"/>
        <w:spacing w:before="120" w:beforeLines="50" w:line="360" w:lineRule="auto"/>
        <w:jc w:val="left"/>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adjustRightInd w:val="0"/>
        <w:snapToGrid w:val="0"/>
        <w:spacing w:line="360" w:lineRule="auto"/>
        <w:jc w:val="center"/>
        <w:rPr>
          <w:rFonts w:hint="eastAsia" w:ascii="宋体" w:hAnsi="宋体" w:cs="宋体"/>
          <w:b/>
          <w:color w:val="auto"/>
          <w:sz w:val="24"/>
          <w:szCs w:val="20"/>
        </w:rPr>
      </w:pPr>
    </w:p>
    <w:p>
      <w:pPr>
        <w:adjustRightInd w:val="0"/>
        <w:snapToGrid w:val="0"/>
        <w:spacing w:line="360" w:lineRule="auto"/>
        <w:rPr>
          <w:rFonts w:hint="eastAsia" w:ascii="宋体" w:hAnsi="宋体" w:cs="宋体"/>
          <w:b/>
          <w:color w:val="auto"/>
          <w:sz w:val="24"/>
          <w:szCs w:val="20"/>
        </w:rPr>
      </w:pPr>
    </w:p>
    <w:p>
      <w:pPr>
        <w:adjustRightInd w:val="0"/>
        <w:snapToGrid w:val="0"/>
        <w:spacing w:line="360" w:lineRule="auto"/>
        <w:rPr>
          <w:rFonts w:hint="eastAsia" w:ascii="宋体" w:hAnsi="宋体" w:cs="宋体"/>
          <w:b/>
          <w:color w:val="auto"/>
          <w:sz w:val="24"/>
          <w:szCs w:val="20"/>
        </w:rPr>
      </w:pPr>
    </w:p>
    <w:p>
      <w:pPr>
        <w:adjustRightInd w:val="0"/>
        <w:snapToGrid w:val="0"/>
        <w:spacing w:line="360" w:lineRule="auto"/>
        <w:jc w:val="center"/>
        <w:rPr>
          <w:rFonts w:ascii="宋体" w:hAnsi="宋体" w:cs="宋体"/>
          <w:b/>
          <w:color w:val="auto"/>
          <w:sz w:val="28"/>
          <w:szCs w:val="28"/>
        </w:rPr>
      </w:pPr>
      <w:r>
        <w:rPr>
          <w:rFonts w:hint="eastAsia" w:ascii="宋体" w:hAnsi="宋体" w:cs="宋体"/>
          <w:b/>
          <w:color w:val="auto"/>
          <w:sz w:val="28"/>
          <w:szCs w:val="28"/>
        </w:rPr>
        <w:t>三、符合基本资格条件证明材料复印件或者情况说明</w:t>
      </w:r>
    </w:p>
    <w:p>
      <w:pPr>
        <w:adjustRightInd w:val="0"/>
        <w:snapToGrid w:val="0"/>
        <w:spacing w:line="360" w:lineRule="auto"/>
        <w:jc w:val="center"/>
        <w:rPr>
          <w:rFonts w:hint="eastAsia" w:ascii="宋体" w:hAnsi="宋体" w:cs="宋体"/>
          <w:b/>
          <w:color w:val="auto"/>
          <w:sz w:val="24"/>
          <w:szCs w:val="20"/>
        </w:rPr>
      </w:pPr>
    </w:p>
    <w:p>
      <w:pPr>
        <w:pStyle w:val="3"/>
        <w:keepLines w:val="0"/>
        <w:snapToGrid w:val="0"/>
        <w:spacing w:before="0" w:after="0" w:line="520" w:lineRule="exact"/>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cs="宋体"/>
          <w:b w:val="0"/>
          <w:color w:val="auto"/>
          <w:sz w:val="24"/>
          <w:szCs w:val="24"/>
        </w:rPr>
        <w:t>注：</w:t>
      </w:r>
      <w:r>
        <w:rPr>
          <w:rFonts w:hint="eastAsia" w:ascii="宋体" w:hAnsi="宋体" w:cs="宋体"/>
          <w:b w:val="0"/>
          <w:color w:val="auto"/>
          <w:sz w:val="24"/>
          <w:szCs w:val="24"/>
          <w:lang w:bidi="zh-CN"/>
        </w:rPr>
        <w:t>投标公司的营业执照</w:t>
      </w:r>
      <w:r>
        <w:rPr>
          <w:rFonts w:hint="eastAsia" w:ascii="宋体" w:hAnsi="宋体" w:cs="宋体"/>
          <w:b w:val="0"/>
          <w:color w:val="auto"/>
          <w:sz w:val="24"/>
          <w:szCs w:val="24"/>
          <w:lang w:val="en-US" w:bidi="zh-CN"/>
        </w:rPr>
        <w:t>及资格要求的证明材料，提供信用中国网页查询截图，</w:t>
      </w:r>
      <w:r>
        <w:rPr>
          <w:rFonts w:hint="eastAsia" w:ascii="宋体" w:hAnsi="宋体" w:cs="宋体"/>
          <w:b w:val="0"/>
          <w:color w:val="auto"/>
          <w:sz w:val="24"/>
          <w:szCs w:val="24"/>
          <w:lang w:bidi="zh-CN"/>
        </w:rPr>
        <w:t>并加盖单位公章（按顺序装订）。</w:t>
      </w:r>
      <w:r>
        <w:rPr>
          <w:rFonts w:hint="eastAsia" w:ascii="宋体" w:hAnsi="宋体" w:eastAsia="宋体" w:cs="Times New Roman"/>
          <w:b w:val="0"/>
          <w:bCs w:val="0"/>
          <w:color w:val="auto"/>
          <w:kern w:val="2"/>
          <w:sz w:val="24"/>
          <w:szCs w:val="24"/>
          <w:lang w:val="en-US" w:eastAsia="zh-CN" w:bidi="ar-SA"/>
        </w:rPr>
        <w:t>附件    湖南省政府采购供应商资格承诺函</w:t>
      </w:r>
    </w:p>
    <w:p>
      <w:pPr>
        <w:widowControl/>
        <w:spacing w:after="100" w:afterAutospacing="1" w:line="360" w:lineRule="auto"/>
        <w:ind w:left="227" w:right="113" w:firstLine="482"/>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本公司具有独立承担民事责任、具有良好的商业信誉和健全的财务会计制度，依法缴纳税收和社会保障资金，在前三年的经营活动中无重大违法记录，未列入严重失信行为名单，符合政府采购供应商的基本资格要求。</w:t>
      </w:r>
    </w:p>
    <w:p>
      <w:pPr>
        <w:widowControl/>
        <w:snapToGrid w:val="0"/>
        <w:spacing w:before="100" w:beforeAutospacing="1" w:after="100" w:afterAutospacing="1" w:line="360" w:lineRule="auto"/>
        <w:ind w:left="210" w:leftChars="100"/>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按照《政府采购促进中小企业发展管理办法》(财库〔2020〕46号)规定，</w:t>
      </w:r>
    </w:p>
    <w:p>
      <w:pPr>
        <w:widowControl/>
        <w:snapToGrid w:val="0"/>
        <w:spacing w:before="100" w:beforeAutospacing="1" w:after="100" w:afterAutospacing="1" w:line="360" w:lineRule="auto"/>
        <w:ind w:left="210" w:leftChars="100"/>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本公司企业规模为：          （大型、中型、小型、微型 ）</w:t>
      </w:r>
    </w:p>
    <w:p>
      <w:pPr>
        <w:widowControl/>
        <w:spacing w:after="100" w:afterAutospacing="1" w:line="360" w:lineRule="auto"/>
        <w:ind w:left="24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 xml:space="preserve">统一社会信用代码：                        、注册登记机构：                 、 注册日期：                 、有效期：               、注册资本：                、地址：               、经济行业：                 、经济性质：              </w:t>
      </w:r>
    </w:p>
    <w:p>
      <w:pPr>
        <w:widowControl/>
        <w:spacing w:after="100" w:afterAutospacing="1" w:line="360" w:lineRule="auto"/>
        <w:ind w:left="24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法定代表人姓名 (签字)：             、身份证号：                           、</w:t>
      </w:r>
    </w:p>
    <w:p>
      <w:pPr>
        <w:widowControl/>
        <w:spacing w:after="100" w:afterAutospacing="1" w:line="360" w:lineRule="auto"/>
        <w:ind w:left="24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手机号：             ；</w:t>
      </w:r>
    </w:p>
    <w:p>
      <w:pPr>
        <w:widowControl/>
        <w:spacing w:after="100" w:afterAutospacing="1" w:line="360" w:lineRule="auto"/>
        <w:ind w:left="246" w:hanging="1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 xml:space="preserve">授权代表人姓名 (签字)：                、身份证号：                     </w:t>
      </w:r>
    </w:p>
    <w:p>
      <w:pPr>
        <w:widowControl/>
        <w:spacing w:after="100" w:afterAutospacing="1" w:line="360" w:lineRule="auto"/>
        <w:ind w:left="246" w:hanging="1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 xml:space="preserve">手机号：               。  </w:t>
      </w:r>
    </w:p>
    <w:p>
      <w:pPr>
        <w:adjustRightInd w:val="0"/>
        <w:snapToGrid w:val="0"/>
        <w:spacing w:line="360" w:lineRule="auto"/>
        <w:rPr>
          <w:rFonts w:hint="eastAsia" w:ascii="宋体" w:hAnsi="宋体" w:eastAsia="宋体" w:cs="Times New Roman"/>
          <w:b w:val="0"/>
          <w:bCs w:val="0"/>
          <w:color w:val="auto"/>
          <w:kern w:val="2"/>
          <w:sz w:val="24"/>
          <w:szCs w:val="24"/>
          <w:lang w:val="en-US" w:eastAsia="zh-CN" w:bidi="ar-SA"/>
        </w:rPr>
      </w:pPr>
    </w:p>
    <w:p>
      <w:pPr>
        <w:adjustRightInd w:val="0"/>
        <w:snapToGrid w:val="0"/>
        <w:spacing w:line="360" w:lineRule="auto"/>
        <w:ind w:left="4406" w:leftChars="-302" w:hanging="5040" w:hangingChars="2100"/>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 xml:space="preserve">                           供应商名称（盖公章）：                                    </w:t>
      </w:r>
    </w:p>
    <w:p>
      <w:pPr>
        <w:adjustRightInd w:val="0"/>
        <w:snapToGrid w:val="0"/>
        <w:spacing w:line="360" w:lineRule="auto"/>
        <w:ind w:left="4406" w:leftChars="-302" w:hanging="5040" w:hangingChars="2100"/>
        <w:jc w:val="right"/>
        <w:rPr>
          <w:rFonts w:hint="eastAsia" w:ascii="宋体" w:hAnsi="宋体" w:eastAsia="宋体" w:cs="Times New Roman"/>
          <w:b w:val="0"/>
          <w:bCs w:val="0"/>
          <w:color w:val="auto"/>
          <w:kern w:val="2"/>
          <w:sz w:val="24"/>
          <w:szCs w:val="24"/>
          <w:lang w:val="en-US" w:eastAsia="zh-CN" w:bidi="ar-SA"/>
        </w:rPr>
      </w:pPr>
      <w:r>
        <w:rPr>
          <w:rFonts w:hint="eastAsia" w:ascii="宋体" w:hAnsi="宋体" w:cs="Times New Roman"/>
          <w:b w:val="0"/>
          <w:bCs w:val="0"/>
          <w:color w:val="auto"/>
          <w:kern w:val="2"/>
          <w:sz w:val="24"/>
          <w:szCs w:val="24"/>
          <w:lang w:val="en-US" w:eastAsia="zh-CN" w:bidi="ar-SA"/>
        </w:rPr>
        <w:t>2023</w:t>
      </w:r>
      <w:r>
        <w:rPr>
          <w:rFonts w:hint="eastAsia" w:ascii="宋体" w:hAnsi="宋体" w:eastAsia="宋体" w:cs="Times New Roman"/>
          <w:b w:val="0"/>
          <w:bCs w:val="0"/>
          <w:color w:val="auto"/>
          <w:kern w:val="2"/>
          <w:sz w:val="24"/>
          <w:szCs w:val="24"/>
          <w:lang w:val="en-US" w:eastAsia="zh-CN" w:bidi="ar-SA"/>
        </w:rPr>
        <w:t>年     月     日</w:t>
      </w:r>
    </w:p>
    <w:p>
      <w:pPr>
        <w:jc w:val="left"/>
        <w:rPr>
          <w:rFonts w:hint="eastAsia" w:ascii="宋体" w:hAnsi="宋体" w:eastAsia="宋体" w:cs="Times New Roman"/>
          <w:b w:val="0"/>
          <w:bCs w:val="0"/>
          <w:color w:val="auto"/>
          <w:kern w:val="2"/>
          <w:sz w:val="24"/>
          <w:szCs w:val="24"/>
          <w:lang w:val="en-US" w:eastAsia="zh-CN" w:bidi="ar-SA"/>
        </w:rPr>
      </w:pPr>
    </w:p>
    <w:p>
      <w:pPr>
        <w:jc w:val="left"/>
        <w:rPr>
          <w:rFonts w:hint="eastAsia" w:ascii="宋体" w:hAnsi="宋体" w:eastAsia="宋体" w:cs="Times New Roman"/>
          <w:b w:val="0"/>
          <w:bCs w:val="0"/>
          <w:color w:val="auto"/>
          <w:kern w:val="2"/>
          <w:sz w:val="24"/>
          <w:szCs w:val="24"/>
          <w:lang w:val="en-US" w:eastAsia="zh-CN" w:bidi="ar-SA"/>
        </w:rPr>
      </w:pPr>
    </w:p>
    <w:p>
      <w:pPr>
        <w:jc w:val="left"/>
        <w:rPr>
          <w:rFonts w:hint="eastAsia" w:ascii="宋体" w:hAnsi="宋体" w:eastAsia="宋体" w:cs="宋体"/>
          <w:b/>
          <w:color w:val="auto"/>
          <w:sz w:val="24"/>
          <w:lang w:val="en-US" w:eastAsia="zh-CN"/>
        </w:rPr>
      </w:pPr>
      <w:r>
        <w:rPr>
          <w:rFonts w:hint="eastAsia" w:ascii="宋体" w:hAnsi="宋体" w:eastAsia="宋体" w:cs="Times New Roman"/>
          <w:b w:val="0"/>
          <w:bCs w:val="0"/>
          <w:color w:val="auto"/>
          <w:kern w:val="2"/>
          <w:sz w:val="24"/>
          <w:szCs w:val="24"/>
          <w:lang w:val="en-US" w:eastAsia="zh-CN" w:bidi="ar-SA"/>
        </w:rPr>
        <w:t>注、企业规模划分标准：《关于印发中小企业划型标准规定的通知》（工信部联企业〔2011〕300号）</w:t>
      </w:r>
    </w:p>
    <w:p>
      <w:pPr>
        <w:jc w:val="center"/>
        <w:rPr>
          <w:rFonts w:hint="eastAsia" w:ascii="宋体" w:hAnsi="宋体" w:cs="宋体"/>
          <w:b/>
          <w:color w:val="auto"/>
          <w:sz w:val="24"/>
        </w:rPr>
        <w:sectPr>
          <w:headerReference r:id="rId3" w:type="default"/>
          <w:footerReference r:id="rId4" w:type="default"/>
          <w:pgSz w:w="11906" w:h="16838"/>
          <w:pgMar w:top="1440" w:right="1080" w:bottom="1440" w:left="1080" w:header="567" w:footer="283" w:gutter="0"/>
          <w:pgNumType w:fmt="decimal" w:start="1"/>
          <w:cols w:space="720" w:num="1"/>
          <w:docGrid w:linePitch="312" w:charSpace="0"/>
        </w:sectPr>
      </w:pPr>
    </w:p>
    <w:p>
      <w:pPr>
        <w:spacing w:before="120" w:beforeLines="50" w:after="120" w:afterLines="50" w:line="276" w:lineRule="auto"/>
        <w:jc w:val="center"/>
        <w:rPr>
          <w:rFonts w:hint="eastAsia" w:ascii="宋体" w:hAnsi="宋体" w:eastAsia="宋体" w:cs="宋体"/>
          <w:b/>
          <w:color w:val="auto"/>
          <w:sz w:val="28"/>
          <w:szCs w:val="28"/>
          <w:lang w:eastAsia="zh-CN"/>
        </w:rPr>
      </w:pPr>
      <w:r>
        <w:rPr>
          <w:rFonts w:hint="eastAsia" w:ascii="宋体" w:hAnsi="宋体" w:cs="宋体"/>
          <w:b/>
          <w:color w:val="auto"/>
          <w:sz w:val="28"/>
          <w:szCs w:val="28"/>
        </w:rPr>
        <w:t>第三部分、采购需求响应程度</w:t>
      </w:r>
      <w:bookmarkStart w:id="2" w:name="_Toc476514128"/>
      <w:bookmarkStart w:id="3" w:name="_Toc486424819"/>
    </w:p>
    <w:p>
      <w:pPr>
        <w:pStyle w:val="15"/>
        <w:rPr>
          <w:rFonts w:hint="eastAsia"/>
          <w:lang w:eastAsia="zh-CN"/>
        </w:rPr>
      </w:pPr>
    </w:p>
    <w:p>
      <w:pPr>
        <w:spacing w:before="120" w:beforeLines="50" w:after="120" w:afterLines="50" w:line="276" w:lineRule="auto"/>
        <w:jc w:val="center"/>
        <w:rPr>
          <w:b/>
          <w:color w:val="auto"/>
          <w:sz w:val="24"/>
        </w:rPr>
      </w:pPr>
      <w:r>
        <w:rPr>
          <w:b/>
          <w:color w:val="auto"/>
          <w:sz w:val="24"/>
        </w:rPr>
        <w:t>采购需求响应/偏离表</w:t>
      </w:r>
    </w:p>
    <w:p>
      <w:pPr>
        <w:adjustRightInd w:val="0"/>
        <w:snapToGrid w:val="0"/>
        <w:spacing w:line="360" w:lineRule="auto"/>
        <w:rPr>
          <w:color w:val="auto"/>
          <w:szCs w:val="21"/>
        </w:rPr>
      </w:pPr>
      <w:r>
        <w:rPr>
          <w:rFonts w:hint="eastAsia"/>
          <w:color w:val="auto"/>
          <w:sz w:val="24"/>
        </w:rPr>
        <w:t>项目</w:t>
      </w:r>
      <w:r>
        <w:rPr>
          <w:color w:val="auto"/>
          <w:sz w:val="24"/>
        </w:rPr>
        <w:t>编号：                    项目名称：                     包号：</w:t>
      </w:r>
    </w:p>
    <w:tbl>
      <w:tblPr>
        <w:tblStyle w:val="9"/>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627"/>
        <w:gridCol w:w="1877"/>
        <w:gridCol w:w="1671"/>
        <w:gridCol w:w="1608"/>
        <w:gridCol w:w="1513"/>
        <w:gridCol w:w="10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375" w:type="pct"/>
            <w:noWrap w:val="0"/>
            <w:vAlign w:val="center"/>
          </w:tcPr>
          <w:p>
            <w:pPr>
              <w:adjustRightInd w:val="0"/>
              <w:snapToGrid w:val="0"/>
              <w:spacing w:before="50" w:line="360" w:lineRule="auto"/>
              <w:ind w:left="-88" w:leftChars="-42"/>
              <w:jc w:val="center"/>
              <w:rPr>
                <w:color w:val="auto"/>
                <w:szCs w:val="21"/>
              </w:rPr>
            </w:pPr>
            <w:r>
              <w:rPr>
                <w:bCs/>
                <w:color w:val="auto"/>
                <w:szCs w:val="21"/>
              </w:rPr>
              <w:t>序</w:t>
            </w:r>
            <w:r>
              <w:rPr>
                <w:color w:val="auto"/>
                <w:szCs w:val="21"/>
              </w:rPr>
              <w:t>号</w:t>
            </w:r>
          </w:p>
        </w:tc>
        <w:tc>
          <w:tcPr>
            <w:tcW w:w="1123" w:type="pct"/>
            <w:noWrap w:val="0"/>
            <w:vAlign w:val="center"/>
          </w:tcPr>
          <w:p>
            <w:pPr>
              <w:adjustRightInd w:val="0"/>
              <w:snapToGrid w:val="0"/>
              <w:spacing w:before="50" w:line="360" w:lineRule="auto"/>
              <w:ind w:left="-88" w:leftChars="-42"/>
              <w:jc w:val="center"/>
              <w:rPr>
                <w:color w:val="auto"/>
                <w:szCs w:val="21"/>
              </w:rPr>
            </w:pPr>
            <w:r>
              <w:rPr>
                <w:color w:val="auto"/>
                <w:szCs w:val="21"/>
              </w:rPr>
              <w:t>招标文件章节</w:t>
            </w:r>
            <w:r>
              <w:rPr>
                <w:bCs/>
                <w:color w:val="auto"/>
                <w:szCs w:val="21"/>
              </w:rPr>
              <w:t>条</w:t>
            </w:r>
            <w:r>
              <w:rPr>
                <w:color w:val="auto"/>
                <w:szCs w:val="21"/>
              </w:rPr>
              <w:t>款号</w:t>
            </w:r>
          </w:p>
        </w:tc>
        <w:tc>
          <w:tcPr>
            <w:tcW w:w="1000" w:type="pct"/>
            <w:noWrap w:val="0"/>
            <w:vAlign w:val="top"/>
          </w:tcPr>
          <w:p>
            <w:pPr>
              <w:adjustRightInd w:val="0"/>
              <w:snapToGrid w:val="0"/>
              <w:spacing w:before="50" w:line="360" w:lineRule="auto"/>
              <w:jc w:val="center"/>
              <w:rPr>
                <w:color w:val="auto"/>
              </w:rPr>
            </w:pPr>
            <w:r>
              <w:rPr>
                <w:color w:val="auto"/>
              </w:rPr>
              <w:t>招标文件要求</w:t>
            </w:r>
          </w:p>
        </w:tc>
        <w:tc>
          <w:tcPr>
            <w:tcW w:w="962" w:type="pct"/>
            <w:noWrap w:val="0"/>
            <w:vAlign w:val="top"/>
          </w:tcPr>
          <w:p>
            <w:pPr>
              <w:adjustRightInd w:val="0"/>
              <w:snapToGrid w:val="0"/>
              <w:spacing w:before="50" w:line="360" w:lineRule="auto"/>
              <w:jc w:val="center"/>
              <w:rPr>
                <w:color w:val="auto"/>
              </w:rPr>
            </w:pPr>
            <w:r>
              <w:rPr>
                <w:color w:val="auto"/>
              </w:rPr>
              <w:t>投标文件应答</w:t>
            </w:r>
          </w:p>
        </w:tc>
        <w:tc>
          <w:tcPr>
            <w:tcW w:w="905" w:type="pct"/>
            <w:noWrap w:val="0"/>
            <w:vAlign w:val="center"/>
          </w:tcPr>
          <w:p>
            <w:pPr>
              <w:adjustRightInd w:val="0"/>
              <w:snapToGrid w:val="0"/>
              <w:spacing w:before="50" w:line="360" w:lineRule="auto"/>
              <w:ind w:left="-88" w:leftChars="-42"/>
              <w:jc w:val="center"/>
              <w:rPr>
                <w:color w:val="auto"/>
                <w:szCs w:val="21"/>
              </w:rPr>
            </w:pPr>
            <w:r>
              <w:rPr>
                <w:color w:val="auto"/>
                <w:szCs w:val="21"/>
              </w:rPr>
              <w:t>响应/偏离</w:t>
            </w:r>
          </w:p>
        </w:tc>
        <w:tc>
          <w:tcPr>
            <w:tcW w:w="634" w:type="pct"/>
            <w:noWrap w:val="0"/>
            <w:vAlign w:val="center"/>
          </w:tcPr>
          <w:p>
            <w:pPr>
              <w:adjustRightInd w:val="0"/>
              <w:snapToGrid w:val="0"/>
              <w:spacing w:before="50" w:line="360" w:lineRule="auto"/>
              <w:ind w:left="-88" w:leftChars="-42"/>
              <w:jc w:val="center"/>
              <w:rPr>
                <w:color w:val="auto"/>
                <w:szCs w:val="21"/>
              </w:rPr>
            </w:pPr>
            <w:r>
              <w:rPr>
                <w:color w:val="auto"/>
                <w:szCs w:val="21"/>
              </w:rPr>
              <w:t>偏离说明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375" w:type="pct"/>
            <w:noWrap w:val="0"/>
            <w:vAlign w:val="center"/>
          </w:tcPr>
          <w:p>
            <w:pPr>
              <w:adjustRightInd w:val="0"/>
              <w:snapToGrid w:val="0"/>
              <w:spacing w:before="50" w:line="360" w:lineRule="auto"/>
              <w:ind w:left="-88" w:leftChars="-42"/>
              <w:jc w:val="center"/>
              <w:rPr>
                <w:color w:val="auto"/>
                <w:szCs w:val="21"/>
              </w:rPr>
            </w:pPr>
          </w:p>
        </w:tc>
        <w:tc>
          <w:tcPr>
            <w:tcW w:w="1123" w:type="pct"/>
            <w:noWrap w:val="0"/>
            <w:vAlign w:val="center"/>
          </w:tcPr>
          <w:p>
            <w:pPr>
              <w:adjustRightInd w:val="0"/>
              <w:snapToGrid w:val="0"/>
              <w:spacing w:before="50" w:line="360" w:lineRule="auto"/>
              <w:ind w:left="-88" w:leftChars="-42"/>
              <w:jc w:val="center"/>
              <w:rPr>
                <w:color w:val="auto"/>
                <w:szCs w:val="21"/>
              </w:rPr>
            </w:pPr>
          </w:p>
        </w:tc>
        <w:tc>
          <w:tcPr>
            <w:tcW w:w="1000" w:type="pct"/>
            <w:noWrap w:val="0"/>
            <w:vAlign w:val="center"/>
          </w:tcPr>
          <w:p>
            <w:pPr>
              <w:adjustRightInd w:val="0"/>
              <w:snapToGrid w:val="0"/>
              <w:spacing w:before="50" w:line="360" w:lineRule="auto"/>
              <w:ind w:left="-88" w:leftChars="-42"/>
              <w:jc w:val="center"/>
              <w:rPr>
                <w:color w:val="auto"/>
                <w:szCs w:val="21"/>
              </w:rPr>
            </w:pPr>
          </w:p>
        </w:tc>
        <w:tc>
          <w:tcPr>
            <w:tcW w:w="962" w:type="pct"/>
            <w:noWrap w:val="0"/>
            <w:vAlign w:val="center"/>
          </w:tcPr>
          <w:p>
            <w:pPr>
              <w:adjustRightInd w:val="0"/>
              <w:snapToGrid w:val="0"/>
              <w:spacing w:before="50" w:line="360" w:lineRule="auto"/>
              <w:ind w:left="-88" w:leftChars="-42"/>
              <w:jc w:val="center"/>
              <w:rPr>
                <w:color w:val="auto"/>
                <w:szCs w:val="21"/>
              </w:rPr>
            </w:pPr>
          </w:p>
        </w:tc>
        <w:tc>
          <w:tcPr>
            <w:tcW w:w="905" w:type="pct"/>
            <w:noWrap w:val="0"/>
            <w:vAlign w:val="center"/>
          </w:tcPr>
          <w:p>
            <w:pPr>
              <w:adjustRightInd w:val="0"/>
              <w:snapToGrid w:val="0"/>
              <w:spacing w:before="50" w:line="360" w:lineRule="auto"/>
              <w:ind w:left="-88" w:leftChars="-42"/>
              <w:jc w:val="center"/>
              <w:rPr>
                <w:color w:val="auto"/>
                <w:szCs w:val="21"/>
              </w:rPr>
            </w:pPr>
          </w:p>
        </w:tc>
        <w:tc>
          <w:tcPr>
            <w:tcW w:w="634" w:type="pct"/>
            <w:noWrap w:val="0"/>
            <w:vAlign w:val="center"/>
          </w:tcPr>
          <w:p>
            <w:pPr>
              <w:adjustRightInd w:val="0"/>
              <w:snapToGrid w:val="0"/>
              <w:spacing w:before="50" w:line="360" w:lineRule="auto"/>
              <w:ind w:left="-88" w:leftChars="-42"/>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375" w:type="pct"/>
            <w:noWrap w:val="0"/>
            <w:vAlign w:val="center"/>
          </w:tcPr>
          <w:p>
            <w:pPr>
              <w:adjustRightInd w:val="0"/>
              <w:snapToGrid w:val="0"/>
              <w:spacing w:before="50" w:line="360" w:lineRule="auto"/>
              <w:ind w:left="-88" w:leftChars="-42"/>
              <w:jc w:val="center"/>
              <w:rPr>
                <w:color w:val="auto"/>
                <w:szCs w:val="21"/>
              </w:rPr>
            </w:pPr>
          </w:p>
        </w:tc>
        <w:tc>
          <w:tcPr>
            <w:tcW w:w="1123" w:type="pct"/>
            <w:noWrap w:val="0"/>
            <w:vAlign w:val="center"/>
          </w:tcPr>
          <w:p>
            <w:pPr>
              <w:adjustRightInd w:val="0"/>
              <w:snapToGrid w:val="0"/>
              <w:spacing w:before="50" w:line="360" w:lineRule="auto"/>
              <w:ind w:left="-88" w:leftChars="-42"/>
              <w:jc w:val="center"/>
              <w:rPr>
                <w:color w:val="auto"/>
                <w:szCs w:val="21"/>
              </w:rPr>
            </w:pPr>
          </w:p>
        </w:tc>
        <w:tc>
          <w:tcPr>
            <w:tcW w:w="1000" w:type="pct"/>
            <w:noWrap w:val="0"/>
            <w:vAlign w:val="center"/>
          </w:tcPr>
          <w:p>
            <w:pPr>
              <w:adjustRightInd w:val="0"/>
              <w:snapToGrid w:val="0"/>
              <w:spacing w:before="50" w:line="360" w:lineRule="auto"/>
              <w:ind w:left="-88" w:leftChars="-42"/>
              <w:jc w:val="center"/>
              <w:rPr>
                <w:color w:val="auto"/>
                <w:szCs w:val="21"/>
              </w:rPr>
            </w:pPr>
          </w:p>
        </w:tc>
        <w:tc>
          <w:tcPr>
            <w:tcW w:w="962" w:type="pct"/>
            <w:noWrap w:val="0"/>
            <w:vAlign w:val="center"/>
          </w:tcPr>
          <w:p>
            <w:pPr>
              <w:adjustRightInd w:val="0"/>
              <w:snapToGrid w:val="0"/>
              <w:spacing w:before="50" w:line="360" w:lineRule="auto"/>
              <w:ind w:left="-88" w:leftChars="-42"/>
              <w:jc w:val="center"/>
              <w:rPr>
                <w:color w:val="auto"/>
                <w:szCs w:val="21"/>
              </w:rPr>
            </w:pPr>
          </w:p>
        </w:tc>
        <w:tc>
          <w:tcPr>
            <w:tcW w:w="905" w:type="pct"/>
            <w:noWrap w:val="0"/>
            <w:vAlign w:val="center"/>
          </w:tcPr>
          <w:p>
            <w:pPr>
              <w:adjustRightInd w:val="0"/>
              <w:snapToGrid w:val="0"/>
              <w:spacing w:before="50" w:line="360" w:lineRule="auto"/>
              <w:ind w:left="-88" w:leftChars="-42"/>
              <w:jc w:val="center"/>
              <w:rPr>
                <w:color w:val="auto"/>
                <w:szCs w:val="21"/>
              </w:rPr>
            </w:pPr>
          </w:p>
        </w:tc>
        <w:tc>
          <w:tcPr>
            <w:tcW w:w="634" w:type="pct"/>
            <w:noWrap w:val="0"/>
            <w:vAlign w:val="center"/>
          </w:tcPr>
          <w:p>
            <w:pPr>
              <w:adjustRightInd w:val="0"/>
              <w:snapToGrid w:val="0"/>
              <w:spacing w:before="50" w:line="360" w:lineRule="auto"/>
              <w:ind w:left="-88" w:leftChars="-42"/>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375" w:type="pct"/>
            <w:noWrap w:val="0"/>
            <w:vAlign w:val="center"/>
          </w:tcPr>
          <w:p>
            <w:pPr>
              <w:adjustRightInd w:val="0"/>
              <w:snapToGrid w:val="0"/>
              <w:spacing w:before="50" w:line="360" w:lineRule="auto"/>
              <w:ind w:left="-88" w:leftChars="-42"/>
              <w:jc w:val="center"/>
              <w:rPr>
                <w:color w:val="auto"/>
                <w:szCs w:val="21"/>
              </w:rPr>
            </w:pPr>
          </w:p>
        </w:tc>
        <w:tc>
          <w:tcPr>
            <w:tcW w:w="1123" w:type="pct"/>
            <w:noWrap w:val="0"/>
            <w:vAlign w:val="center"/>
          </w:tcPr>
          <w:p>
            <w:pPr>
              <w:adjustRightInd w:val="0"/>
              <w:snapToGrid w:val="0"/>
              <w:spacing w:before="50" w:line="360" w:lineRule="auto"/>
              <w:ind w:left="-88" w:leftChars="-42"/>
              <w:jc w:val="center"/>
              <w:rPr>
                <w:color w:val="auto"/>
                <w:szCs w:val="21"/>
              </w:rPr>
            </w:pPr>
          </w:p>
        </w:tc>
        <w:tc>
          <w:tcPr>
            <w:tcW w:w="1000" w:type="pct"/>
            <w:noWrap w:val="0"/>
            <w:vAlign w:val="center"/>
          </w:tcPr>
          <w:p>
            <w:pPr>
              <w:adjustRightInd w:val="0"/>
              <w:snapToGrid w:val="0"/>
              <w:spacing w:before="50" w:line="360" w:lineRule="auto"/>
              <w:ind w:left="-88" w:leftChars="-42"/>
              <w:jc w:val="center"/>
              <w:rPr>
                <w:color w:val="auto"/>
                <w:szCs w:val="21"/>
              </w:rPr>
            </w:pPr>
          </w:p>
        </w:tc>
        <w:tc>
          <w:tcPr>
            <w:tcW w:w="962" w:type="pct"/>
            <w:noWrap w:val="0"/>
            <w:vAlign w:val="center"/>
          </w:tcPr>
          <w:p>
            <w:pPr>
              <w:adjustRightInd w:val="0"/>
              <w:snapToGrid w:val="0"/>
              <w:spacing w:before="50" w:line="360" w:lineRule="auto"/>
              <w:ind w:left="-88" w:leftChars="-42"/>
              <w:jc w:val="center"/>
              <w:rPr>
                <w:color w:val="auto"/>
                <w:szCs w:val="21"/>
              </w:rPr>
            </w:pPr>
          </w:p>
        </w:tc>
        <w:tc>
          <w:tcPr>
            <w:tcW w:w="905" w:type="pct"/>
            <w:noWrap w:val="0"/>
            <w:vAlign w:val="center"/>
          </w:tcPr>
          <w:p>
            <w:pPr>
              <w:adjustRightInd w:val="0"/>
              <w:snapToGrid w:val="0"/>
              <w:spacing w:before="50" w:line="360" w:lineRule="auto"/>
              <w:ind w:left="-88" w:leftChars="-42"/>
              <w:jc w:val="center"/>
              <w:rPr>
                <w:color w:val="auto"/>
                <w:szCs w:val="21"/>
              </w:rPr>
            </w:pPr>
          </w:p>
        </w:tc>
        <w:tc>
          <w:tcPr>
            <w:tcW w:w="634" w:type="pct"/>
            <w:noWrap w:val="0"/>
            <w:vAlign w:val="center"/>
          </w:tcPr>
          <w:p>
            <w:pPr>
              <w:adjustRightInd w:val="0"/>
              <w:snapToGrid w:val="0"/>
              <w:spacing w:before="50" w:line="360" w:lineRule="auto"/>
              <w:ind w:left="-88" w:leftChars="-42"/>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000" w:type="pct"/>
            <w:gridSpan w:val="6"/>
            <w:noWrap w:val="0"/>
            <w:vAlign w:val="center"/>
          </w:tcPr>
          <w:p>
            <w:pPr>
              <w:rPr>
                <w:b/>
                <w:color w:val="auto"/>
              </w:rPr>
            </w:pPr>
          </w:p>
        </w:tc>
      </w:tr>
    </w:tbl>
    <w:p>
      <w:pPr>
        <w:adjustRightInd w:val="0"/>
        <w:snapToGrid w:val="0"/>
        <w:spacing w:before="50" w:line="360" w:lineRule="auto"/>
        <w:ind w:left="-88" w:leftChars="-42"/>
        <w:rPr>
          <w:color w:val="auto"/>
          <w:sz w:val="24"/>
        </w:rPr>
      </w:pPr>
      <w:r>
        <w:rPr>
          <w:b/>
          <w:color w:val="auto"/>
          <w:sz w:val="24"/>
        </w:rPr>
        <w:t>备注</w:t>
      </w:r>
      <w:r>
        <w:rPr>
          <w:color w:val="auto"/>
          <w:sz w:val="24"/>
        </w:rPr>
        <w:t>：</w:t>
      </w:r>
    </w:p>
    <w:bookmarkEnd w:id="2"/>
    <w:bookmarkEnd w:id="3"/>
    <w:p>
      <w:pPr>
        <w:adjustRightInd w:val="0"/>
        <w:snapToGrid w:val="0"/>
        <w:spacing w:before="50" w:line="360" w:lineRule="auto"/>
        <w:ind w:left="-88" w:leftChars="-42"/>
        <w:rPr>
          <w:rFonts w:hint="eastAsia"/>
          <w:color w:val="auto"/>
          <w:sz w:val="24"/>
        </w:rPr>
      </w:pPr>
      <w:r>
        <w:rPr>
          <w:color w:val="auto"/>
          <w:sz w:val="24"/>
        </w:rPr>
        <w:t>（1）投标人应根据招标文件第</w:t>
      </w:r>
      <w:r>
        <w:rPr>
          <w:rFonts w:hint="eastAsia"/>
          <w:color w:val="auto"/>
          <w:sz w:val="24"/>
          <w:lang w:val="en-US" w:eastAsia="zh-CN"/>
        </w:rPr>
        <w:t>二</w:t>
      </w:r>
      <w:r>
        <w:rPr>
          <w:color w:val="auto"/>
          <w:sz w:val="24"/>
        </w:rPr>
        <w:t>章中采购需求填写本表，逐条应答；</w:t>
      </w:r>
    </w:p>
    <w:p>
      <w:pPr>
        <w:adjustRightInd w:val="0"/>
        <w:snapToGrid w:val="0"/>
        <w:spacing w:before="50" w:line="360" w:lineRule="auto"/>
        <w:ind w:left="-88" w:leftChars="-42"/>
        <w:rPr>
          <w:rFonts w:hint="eastAsia"/>
          <w:color w:val="auto"/>
          <w:sz w:val="24"/>
        </w:rPr>
      </w:pPr>
      <w:r>
        <w:rPr>
          <w:color w:val="auto"/>
          <w:sz w:val="24"/>
        </w:rPr>
        <w:t>（2）如不提供此表，则视为投标人不满足招标文件第三章的所有条款要求，其投标无效；</w:t>
      </w:r>
    </w:p>
    <w:p>
      <w:pPr>
        <w:adjustRightInd w:val="0"/>
        <w:snapToGrid w:val="0"/>
        <w:spacing w:before="50" w:line="360" w:lineRule="auto"/>
        <w:ind w:left="-88" w:leftChars="-42"/>
        <w:rPr>
          <w:rFonts w:hint="eastAsia" w:eastAsia="宋体"/>
          <w:color w:val="auto"/>
          <w:lang w:eastAsia="zh-CN"/>
        </w:rPr>
      </w:pPr>
      <w:r>
        <w:rPr>
          <w:color w:val="auto"/>
          <w:sz w:val="24"/>
        </w:rPr>
        <w:t>（3）</w:t>
      </w:r>
      <w:r>
        <w:rPr>
          <w:rFonts w:hint="eastAsia"/>
          <w:color w:val="auto"/>
          <w:sz w:val="24"/>
          <w:lang w:eastAsia="zh-CN"/>
        </w:rPr>
        <w:t>本项目为最低价评分法，所有参数必须全部响应，并在响应表中逐条应答，如有任何一条负偏离，则视为无效投标</w:t>
      </w:r>
    </w:p>
    <w:p>
      <w:pPr>
        <w:pStyle w:val="16"/>
        <w:rPr>
          <w:color w:val="auto"/>
        </w:rPr>
      </w:pPr>
    </w:p>
    <w:p>
      <w:pPr>
        <w:pStyle w:val="15"/>
        <w:rPr>
          <w:rFonts w:hint="eastAsia"/>
          <w:lang w:eastAsia="zh-CN"/>
        </w:rPr>
      </w:pPr>
    </w:p>
    <w:p/>
    <w:sectPr>
      <w:footerReference r:id="rId5"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Arial Unicode MS"/>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仿宋_GB2312" w:eastAsia="仿宋_GB2312"/>
        <w:bCs/>
        <w:u w:val="single"/>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仿宋_GB2312" w:eastAsia="仿宋_GB2312"/>
        <w:bCs/>
        <w:u w:val="single"/>
      </w:rPr>
      <w:t xml:space="preserve">                                                                                                 </w:t>
    </w:r>
  </w:p>
  <w:p>
    <w:pPr>
      <w:adjustRightInd w:val="0"/>
      <w:snapToGrid w:val="0"/>
      <w:spacing w:line="260" w:lineRule="atLeast"/>
      <w:rPr>
        <w:rFonts w:hint="eastAsia"/>
        <w:kern w:val="0"/>
        <w:sz w:val="18"/>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仿宋_GB2312" w:eastAsia="仿宋_GB2312"/>
        <w:bCs/>
        <w:u w:val="single"/>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w:t>
                    </w:r>
                    <w:r>
                      <w:fldChar w:fldCharType="end"/>
                    </w:r>
                  </w:p>
                </w:txbxContent>
              </v:textbox>
            </v:shape>
          </w:pict>
        </mc:Fallback>
      </mc:AlternateContent>
    </w:r>
    <w:r>
      <w:rPr>
        <w:rFonts w:hint="eastAsia" w:ascii="仿宋_GB2312" w:eastAsia="仿宋_GB2312"/>
        <w:bCs/>
        <w:u w:val="single"/>
      </w:rPr>
      <w:t xml:space="preserve">                                                                                                 </w:t>
    </w:r>
  </w:p>
  <w:p>
    <w:pPr>
      <w:adjustRightInd w:val="0"/>
      <w:snapToGrid w:val="0"/>
      <w:spacing w:line="260" w:lineRule="atLeast"/>
      <w:rPr>
        <w:rFonts w:hint="eastAsia"/>
        <w:kern w:val="0"/>
        <w:sz w:val="18"/>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8280" w:hanging="8280" w:hangingChars="4600"/>
      <w:jc w:val="both"/>
      <w:rPr>
        <w:rFonts w:hint="eastAsia"/>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8914C"/>
    <w:multiLevelType w:val="singleLevel"/>
    <w:tmpl w:val="BB68914C"/>
    <w:lvl w:ilvl="0" w:tentative="0">
      <w:start w:val="2"/>
      <w:numFmt w:val="chineseCounting"/>
      <w:suff w:val="nothing"/>
      <w:lvlText w:val="%1、"/>
      <w:lvlJc w:val="left"/>
      <w:rPr>
        <w:rFonts w:hint="eastAsia"/>
      </w:rPr>
    </w:lvl>
  </w:abstractNum>
  <w:abstractNum w:abstractNumId="1">
    <w:nsid w:val="D1DDB33C"/>
    <w:multiLevelType w:val="singleLevel"/>
    <w:tmpl w:val="D1DDB33C"/>
    <w:lvl w:ilvl="0" w:tentative="0">
      <w:start w:val="2"/>
      <w:numFmt w:val="chineseCounting"/>
      <w:suff w:val="nothing"/>
      <w:lvlText w:val="%1、"/>
      <w:lvlJc w:val="left"/>
      <w:rPr>
        <w:rFonts w:hint="eastAsia"/>
      </w:rPr>
    </w:lvl>
  </w:abstractNum>
  <w:abstractNum w:abstractNumId="2">
    <w:nsid w:val="1E6DDE31"/>
    <w:multiLevelType w:val="singleLevel"/>
    <w:tmpl w:val="1E6DDE31"/>
    <w:lvl w:ilvl="0" w:tentative="0">
      <w:start w:val="1"/>
      <w:numFmt w:val="chineseCounting"/>
      <w:suff w:val="space"/>
      <w:lvlText w:val="第%1条"/>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3YmMxNGQ0NDE0NTRiYjQ3MWFkZjk1MWM2MTc2NWEifQ=="/>
  </w:docVars>
  <w:rsids>
    <w:rsidRoot w:val="6DE375E4"/>
    <w:rsid w:val="004F022D"/>
    <w:rsid w:val="00AE556A"/>
    <w:rsid w:val="04653F41"/>
    <w:rsid w:val="04B72FC8"/>
    <w:rsid w:val="050C12EC"/>
    <w:rsid w:val="06E91EC4"/>
    <w:rsid w:val="0A3F4F3C"/>
    <w:rsid w:val="0E331420"/>
    <w:rsid w:val="0EDD1643"/>
    <w:rsid w:val="10914EF9"/>
    <w:rsid w:val="12080B62"/>
    <w:rsid w:val="12994AC5"/>
    <w:rsid w:val="129F447F"/>
    <w:rsid w:val="12C86253"/>
    <w:rsid w:val="15060AC8"/>
    <w:rsid w:val="15675A4C"/>
    <w:rsid w:val="17F91BB8"/>
    <w:rsid w:val="1AF56B46"/>
    <w:rsid w:val="1E79119D"/>
    <w:rsid w:val="1F334F58"/>
    <w:rsid w:val="1F796B24"/>
    <w:rsid w:val="1FE73549"/>
    <w:rsid w:val="2038045E"/>
    <w:rsid w:val="20B41DA7"/>
    <w:rsid w:val="21005321"/>
    <w:rsid w:val="21091EFA"/>
    <w:rsid w:val="28E81B29"/>
    <w:rsid w:val="29B45A41"/>
    <w:rsid w:val="2C0A2E19"/>
    <w:rsid w:val="2C7642D0"/>
    <w:rsid w:val="2DD77C64"/>
    <w:rsid w:val="2DDA1E78"/>
    <w:rsid w:val="2DE00B8C"/>
    <w:rsid w:val="2EAC037F"/>
    <w:rsid w:val="2EB67A5C"/>
    <w:rsid w:val="302741D2"/>
    <w:rsid w:val="308B184D"/>
    <w:rsid w:val="31163FB9"/>
    <w:rsid w:val="33057DBD"/>
    <w:rsid w:val="33384C93"/>
    <w:rsid w:val="340F06E9"/>
    <w:rsid w:val="372F7378"/>
    <w:rsid w:val="397348CD"/>
    <w:rsid w:val="3B3B544D"/>
    <w:rsid w:val="3B654F2B"/>
    <w:rsid w:val="3BB72BAE"/>
    <w:rsid w:val="3C8A61A4"/>
    <w:rsid w:val="3D5E17FF"/>
    <w:rsid w:val="3E1F0DA4"/>
    <w:rsid w:val="3E584E51"/>
    <w:rsid w:val="3EBE1ADE"/>
    <w:rsid w:val="414D7889"/>
    <w:rsid w:val="418A797B"/>
    <w:rsid w:val="41BB0BAE"/>
    <w:rsid w:val="42234850"/>
    <w:rsid w:val="429A4992"/>
    <w:rsid w:val="435B161D"/>
    <w:rsid w:val="43B25DAC"/>
    <w:rsid w:val="45D569C3"/>
    <w:rsid w:val="49022783"/>
    <w:rsid w:val="4ACF0757"/>
    <w:rsid w:val="4B7F39F4"/>
    <w:rsid w:val="4BAE646F"/>
    <w:rsid w:val="4CAC1559"/>
    <w:rsid w:val="4CB67451"/>
    <w:rsid w:val="4D754257"/>
    <w:rsid w:val="4DCD6AB3"/>
    <w:rsid w:val="50216DCD"/>
    <w:rsid w:val="50540C20"/>
    <w:rsid w:val="51AC28BD"/>
    <w:rsid w:val="54F52CD6"/>
    <w:rsid w:val="56ED1FE4"/>
    <w:rsid w:val="59C74B1F"/>
    <w:rsid w:val="5A1C62A0"/>
    <w:rsid w:val="5DFF3274"/>
    <w:rsid w:val="611B6B1B"/>
    <w:rsid w:val="64133D6A"/>
    <w:rsid w:val="666A4A5D"/>
    <w:rsid w:val="678E4F5D"/>
    <w:rsid w:val="680E122C"/>
    <w:rsid w:val="6D383CC2"/>
    <w:rsid w:val="6DE375E4"/>
    <w:rsid w:val="6E2D2A8D"/>
    <w:rsid w:val="6E8E5287"/>
    <w:rsid w:val="6FBE332C"/>
    <w:rsid w:val="70BA1B14"/>
    <w:rsid w:val="71554367"/>
    <w:rsid w:val="71584067"/>
    <w:rsid w:val="735201FF"/>
    <w:rsid w:val="737B50A4"/>
    <w:rsid w:val="73F40E72"/>
    <w:rsid w:val="74566F5C"/>
    <w:rsid w:val="749B66A4"/>
    <w:rsid w:val="74A1770D"/>
    <w:rsid w:val="750117A8"/>
    <w:rsid w:val="755B2270"/>
    <w:rsid w:val="757347B4"/>
    <w:rsid w:val="77423DFF"/>
    <w:rsid w:val="783B5EA9"/>
    <w:rsid w:val="79EB699D"/>
    <w:rsid w:val="7B0620DE"/>
    <w:rsid w:val="7BBF44BB"/>
    <w:rsid w:val="7BF15CE4"/>
    <w:rsid w:val="7C3A27E5"/>
    <w:rsid w:val="7D9727DD"/>
    <w:rsid w:val="7EFB4F6E"/>
    <w:rsid w:val="7F1A5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adjustRightInd w:val="0"/>
      <w:spacing w:before="340" w:after="330" w:line="578" w:lineRule="atLeast"/>
      <w:textAlignment w:val="baseline"/>
      <w:outlineLvl w:val="0"/>
    </w:pPr>
    <w:rPr>
      <w:b/>
      <w:kern w:val="44"/>
      <w:sz w:val="44"/>
      <w:szCs w:val="20"/>
    </w:rPr>
  </w:style>
  <w:style w:type="paragraph" w:styleId="3">
    <w:name w:val="heading 3"/>
    <w:basedOn w:val="1"/>
    <w:next w:val="1"/>
    <w:autoRedefine/>
    <w:qFormat/>
    <w:uiPriority w:val="0"/>
    <w:pPr>
      <w:keepNext/>
      <w:keepLines/>
      <w:adjustRightInd w:val="0"/>
      <w:spacing w:before="260" w:after="260" w:line="416" w:lineRule="atLeast"/>
      <w:textAlignment w:val="baseline"/>
      <w:outlineLvl w:val="2"/>
    </w:pPr>
    <w:rPr>
      <w:b/>
      <w:kern w:val="0"/>
      <w:sz w:val="32"/>
      <w:szCs w:val="20"/>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4">
    <w:name w:val="Body Text Indent"/>
    <w:basedOn w:val="1"/>
    <w:next w:val="5"/>
    <w:autoRedefine/>
    <w:qFormat/>
    <w:uiPriority w:val="99"/>
    <w:pPr>
      <w:spacing w:line="400" w:lineRule="exact"/>
      <w:ind w:left="630"/>
    </w:pPr>
    <w:rPr>
      <w:rFonts w:ascii="楷体_GB2312"/>
      <w:sz w:val="30"/>
      <w:szCs w:val="30"/>
    </w:rPr>
  </w:style>
  <w:style w:type="paragraph" w:styleId="5">
    <w:name w:val="Body Text First Indent 2"/>
    <w:basedOn w:val="4"/>
    <w:next w:val="1"/>
    <w:autoRedefine/>
    <w:qFormat/>
    <w:uiPriority w:val="0"/>
    <w:pPr>
      <w:overflowPunct w:val="0"/>
      <w:adjustRightInd w:val="0"/>
      <w:spacing w:line="500" w:lineRule="exact"/>
      <w:ind w:firstLine="420" w:firstLineChars="200"/>
      <w:textAlignment w:val="baseline"/>
    </w:pPr>
    <w:rPr>
      <w:rFonts w:eastAsia="仿宋_GB2312"/>
      <w:kern w:val="28"/>
      <w:sz w:val="28"/>
    </w:rPr>
  </w:style>
  <w:style w:type="paragraph" w:styleId="6">
    <w:name w:val="footer"/>
    <w:basedOn w:val="1"/>
    <w:autoRedefine/>
    <w:qFormat/>
    <w:uiPriority w:val="0"/>
    <w:pPr>
      <w:tabs>
        <w:tab w:val="center" w:pos="4153"/>
        <w:tab w:val="right" w:pos="8306"/>
      </w:tabs>
      <w:snapToGrid w:val="0"/>
      <w:jc w:val="left"/>
    </w:pPr>
    <w:rPr>
      <w:kern w:val="0"/>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rPr>
      <w:sz w:val="24"/>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正文格式"/>
    <w:basedOn w:val="1"/>
    <w:autoRedefine/>
    <w:qFormat/>
    <w:uiPriority w:val="0"/>
    <w:pPr>
      <w:widowControl/>
      <w:adjustRightInd w:val="0"/>
      <w:snapToGrid w:val="0"/>
      <w:spacing w:line="400" w:lineRule="atLeast"/>
      <w:ind w:firstLine="482"/>
      <w:textAlignment w:val="baseline"/>
    </w:pPr>
    <w:rPr>
      <w:kern w:val="0"/>
      <w:sz w:val="24"/>
    </w:rPr>
  </w:style>
  <w:style w:type="paragraph" w:customStyle="1" w:styleId="13">
    <w:name w:val="Default"/>
    <w:next w:val="1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4">
    <w:name w:val="大标题"/>
    <w:basedOn w:val="1"/>
    <w:next w:val="5"/>
    <w:autoRedefine/>
    <w:qFormat/>
    <w:uiPriority w:val="0"/>
    <w:pPr>
      <w:jc w:val="center"/>
    </w:pPr>
    <w:rPr>
      <w:rFonts w:ascii="Arial" w:hAnsi="Arial" w:eastAsia="宋体"/>
      <w:b/>
      <w:sz w:val="28"/>
      <w:szCs w:val="24"/>
    </w:rPr>
  </w:style>
  <w:style w:type="paragraph" w:customStyle="1" w:styleId="15">
    <w:name w:val="列出段落1"/>
    <w:basedOn w:val="1"/>
    <w:autoRedefine/>
    <w:qFormat/>
    <w:uiPriority w:val="99"/>
    <w:pPr>
      <w:ind w:firstLine="420" w:firstLineChars="200"/>
    </w:pPr>
  </w:style>
  <w:style w:type="paragraph" w:customStyle="1" w:styleId="16">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styleId="17">
    <w:name w:val="List Paragraph"/>
    <w:basedOn w:val="1"/>
    <w:autoRedefine/>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8840</Words>
  <Characters>9414</Characters>
  <Lines>0</Lines>
  <Paragraphs>0</Paragraphs>
  <TotalTime>0</TotalTime>
  <ScaleCrop>false</ScaleCrop>
  <LinksUpToDate>false</LinksUpToDate>
  <CharactersWithSpaces>10362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2023-07-17T09:45:00Z</dcterms:created>
  <dc:creator>是小豹子</dc:creator>
  <cp:lastModifiedBy>Administrator</cp:lastModifiedBy>
  <dcterms:modified xsi:type="dcterms:W3CDTF">2024-05-28T01:12:01Z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3505A2AB25E048A4A9B0E6A6741CA1BA_11</vt:lpwstr>
  </property>
</Properties>
</file>