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napToGrid w:val="0"/>
        <w:jc w:val="center"/>
        <w:rPr>
          <w:rFonts w:ascii="Arial" w:hAnsi="Arial" w:eastAsia="方正小标宋简体" w:cs="Arial"/>
          <w:color w:val="auto"/>
          <w:sz w:val="72"/>
          <w:szCs w:val="72"/>
        </w:rPr>
      </w:pPr>
      <w:bookmarkStart w:id="0" w:name="_Toc16523570"/>
    </w:p>
    <w:p>
      <w:pPr>
        <w:pStyle w:val="13"/>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（口腔科手术器械医院公开挂网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五</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口腔科手术器械</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口腔科手术器械</w:t>
      </w:r>
      <w:r>
        <w:rPr>
          <w:rFonts w:hint="eastAsia" w:asciiTheme="minorEastAsia" w:hAnsiTheme="minorEastAsia" w:eastAsiaTheme="minorEastAsia" w:cstheme="minorEastAsia"/>
          <w:b w:val="0"/>
          <w:bCs/>
          <w:color w:val="auto"/>
          <w:sz w:val="24"/>
          <w:szCs w:val="24"/>
          <w:lang w:val="en-US" w:eastAsia="zh-CN"/>
        </w:rPr>
        <w:t>项目</w:t>
      </w:r>
    </w:p>
    <w:p>
      <w:pPr>
        <w:pStyle w:val="13"/>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公开挂网，最低评标价法，在满足所有参数的条件下，总报价最低者中标，如有多个并列最低价，则由并列最低价投标人再次报价，直至出现最低报价为止。</w:t>
      </w:r>
    </w:p>
    <w:bookmarkEnd w:id="0"/>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2、参加政府采购活动近3年内，在经营活动中没有重大违法记录，拥有湖南省政府采购电子卖场供应商账号；</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4"/>
        <w:rPr>
          <w:rFonts w:hint="eastAsia"/>
          <w:lang w:val="en-US" w:eastAsia="zh-CN"/>
        </w:rPr>
      </w:pPr>
    </w:p>
    <w:p>
      <w:pPr>
        <w:pStyle w:val="14"/>
        <w:jc w:val="both"/>
        <w:rPr>
          <w:rFonts w:hint="default"/>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4"/>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2"/>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w:t>
            </w:r>
            <w:r>
              <w:rPr>
                <w:rFonts w:hint="eastAsia" w:asciiTheme="minorEastAsia" w:hAnsiTheme="minorEastAsia" w:eastAsiaTheme="minorEastAsia" w:cstheme="minorEastAsia"/>
                <w:sz w:val="24"/>
                <w:szCs w:val="24"/>
                <w:lang w:eastAsia="zh-CN"/>
              </w:rPr>
              <w:t>批</w:t>
            </w:r>
            <w:r>
              <w:rPr>
                <w:rFonts w:hint="eastAsia" w:asciiTheme="minorEastAsia" w:hAnsiTheme="minorEastAsia" w:eastAsiaTheme="minorEastAsia" w:cstheme="minorEastAsia"/>
                <w:sz w:val="24"/>
                <w:szCs w:val="24"/>
              </w:rPr>
              <w:t>)</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46"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4" w:type="dxa"/>
              <w:left w:w="147" w:type="dxa"/>
              <w:bottom w:w="74" w:type="dxa"/>
              <w:right w:w="14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4" w:type="dxa"/>
              <w:left w:w="147" w:type="dxa"/>
              <w:bottom w:w="74" w:type="dxa"/>
              <w:right w:w="14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cs="宋体"/>
                <w:i w:val="0"/>
                <w:iCs w:val="0"/>
                <w:color w:val="000000"/>
                <w:kern w:val="0"/>
                <w:sz w:val="22"/>
                <w:szCs w:val="22"/>
                <w:u w:val="none"/>
                <w:lang w:val="en-US" w:eastAsia="zh-CN" w:bidi="ar"/>
              </w:rPr>
              <w:t>口腔科手术器械一批</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4" w:type="dxa"/>
              <w:left w:w="147" w:type="dxa"/>
              <w:bottom w:w="74" w:type="dxa"/>
              <w:right w:w="147"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4" w:type="dxa"/>
              <w:left w:w="147" w:type="dxa"/>
              <w:bottom w:w="74" w:type="dxa"/>
              <w:right w:w="147"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5.46</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4" w:type="dxa"/>
              <w:left w:w="147" w:type="dxa"/>
              <w:bottom w:w="74" w:type="dxa"/>
              <w:right w:w="14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1、数量及技术参数详见口腔科手术器械附件（本项目三个手术器械包不分标段）</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2、报价不得高于预算单价和预算总价，否则视为无效投标</w:t>
      </w:r>
    </w:p>
    <w:p>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3、所有手术器械必须为同一品牌</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宋体" w:hAnsi="宋体" w:eastAsia="宋体" w:cs="宋体"/>
          <w:b/>
          <w:bCs/>
          <w:color w:val="auto"/>
          <w:sz w:val="24"/>
          <w:szCs w:val="24"/>
          <w:lang w:val="en-US" w:eastAsia="zh-CN"/>
        </w:rPr>
        <w:t xml:space="preserve"> </w:t>
      </w: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1年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年，终身维修。验收时出具原厂售后质保承诺书，质保期内每年巡检一次，并提交巡检记录。质保期内出现故障，24小时响应，响应后4小时上门服务。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sz w:val="24"/>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医疗器械采购合同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联系人：彭耀华</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联系电话：18711825378</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val="0"/>
        <w:kinsoku/>
        <w:wordWrap/>
        <w:overflowPunct/>
        <w:topLinePunct w:val="0"/>
        <w:autoSpaceDE/>
        <w:autoSpaceDN/>
        <w:bidi w:val="0"/>
        <w:adjustRightInd/>
        <w:snapToGrid/>
        <w:spacing w:line="44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 </w:t>
      </w:r>
      <w:r>
        <w:rPr>
          <w:rFonts w:hint="eastAsia" w:ascii="宋体" w:hAnsi="宋体" w:eastAsia="宋体" w:cs="宋体"/>
          <w:color w:val="auto"/>
          <w:sz w:val="24"/>
          <w:szCs w:val="24"/>
          <w:u w:val="none"/>
          <w:lang w:val="en-US" w:eastAsia="zh-CN"/>
        </w:rPr>
        <w:t>方式采</w:t>
      </w:r>
      <w:r>
        <w:rPr>
          <w:rFonts w:hint="eastAsia" w:ascii="宋体" w:hAnsi="宋体" w:eastAsia="宋体" w:cs="宋体"/>
          <w:color w:val="auto"/>
          <w:sz w:val="24"/>
          <w:szCs w:val="24"/>
          <w:lang w:val="en-US" w:eastAsia="zh-CN"/>
        </w:rPr>
        <w:t xml:space="preserve">购 </w:t>
      </w:r>
      <w:r>
        <w:rPr>
          <w:rFonts w:hint="eastAsia" w:ascii="宋体" w:hAnsi="宋体" w:cs="宋体"/>
          <w:color w:val="000000" w:themeColor="text1"/>
          <w:kern w:val="0"/>
          <w:sz w:val="24"/>
          <w:szCs w:val="24"/>
          <w:u w:val="single"/>
          <w:lang w:val="en-US" w:eastAsia="zh-CN"/>
          <w14:textFill>
            <w14:solidFill>
              <w14:schemeClr w14:val="tx1"/>
            </w14:solidFill>
          </w14:textFill>
        </w:rPr>
        <w:t>口腔科手术器械</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一批</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cs="宋体"/>
          <w:color w:val="000000" w:themeColor="text1"/>
          <w:kern w:val="0"/>
          <w:sz w:val="24"/>
          <w:szCs w:val="24"/>
          <w:u w:val="single"/>
          <w:lang w:val="en-US" w:eastAsia="zh-CN"/>
          <w14:textFill>
            <w14:solidFill>
              <w14:schemeClr w14:val="tx1"/>
            </w14:solidFill>
          </w14:textFill>
        </w:rPr>
        <w:t>口腔科手术器械</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一批</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项目名称、品牌、总价见下表，详细医疗器械名称、型号、分项价格、单价等见附件：</w:t>
      </w:r>
    </w:p>
    <w:tbl>
      <w:tblPr>
        <w:tblStyle w:val="9"/>
        <w:tblpPr w:leftFromText="180" w:rightFromText="180" w:vertAnchor="text" w:horzAnchor="page" w:tblpX="1885" w:tblpY="148"/>
        <w:tblOverlap w:val="never"/>
        <w:tblW w:w="8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3105"/>
        <w:gridCol w:w="2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41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项目</w:t>
            </w:r>
            <w:r>
              <w:rPr>
                <w:rFonts w:hint="eastAsia" w:ascii="宋体" w:hAnsi="宋体" w:eastAsia="宋体" w:cs="宋体"/>
                <w:color w:val="000000" w:themeColor="text1"/>
                <w:kern w:val="0"/>
                <w:sz w:val="24"/>
                <w:szCs w:val="24"/>
                <w14:textFill>
                  <w14:solidFill>
                    <w14:schemeClr w14:val="tx1"/>
                  </w14:solidFill>
                </w14:textFill>
              </w:rPr>
              <w:t>名称</w:t>
            </w:r>
          </w:p>
        </w:tc>
        <w:tc>
          <w:tcPr>
            <w:tcW w:w="310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282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color w:val="000000"/>
                <w:kern w:val="0"/>
                <w:sz w:val="21"/>
                <w:szCs w:val="21"/>
                <w:lang w:val="en-US" w:eastAsia="zh-CN"/>
              </w:rPr>
              <w:t>暂定</w:t>
            </w:r>
            <w:r>
              <w:rPr>
                <w:rFonts w:hint="eastAsia" w:ascii="宋体" w:hAnsi="宋体" w:eastAsia="宋体" w:cs="宋体"/>
                <w:b w:val="0"/>
                <w:bCs w:val="0"/>
                <w:color w:val="000000"/>
                <w:kern w:val="0"/>
                <w:sz w:val="21"/>
                <w:szCs w:val="21"/>
                <w:lang w:eastAsia="zh-CN"/>
              </w:rPr>
              <w:t>总价</w:t>
            </w:r>
            <w:r>
              <w:rPr>
                <w:rFonts w:hint="eastAsia" w:ascii="宋体" w:hAnsi="宋体" w:eastAsia="宋体" w:cs="宋体"/>
                <w:b w:val="0"/>
                <w:bCs w:val="0"/>
                <w:color w:val="000000"/>
                <w:kern w:val="0"/>
                <w:sz w:val="21"/>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4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口腔科手术器械</w:t>
            </w:r>
            <w:r>
              <w:rPr>
                <w:rFonts w:hint="eastAsia" w:ascii="宋体" w:hAnsi="宋体" w:eastAsia="宋体" w:cs="宋体"/>
                <w:color w:val="000000" w:themeColor="text1"/>
                <w:kern w:val="0"/>
                <w:sz w:val="24"/>
                <w:szCs w:val="24"/>
                <w:lang w:val="en-US" w:eastAsia="zh-CN"/>
                <w14:textFill>
                  <w14:solidFill>
                    <w14:schemeClr w14:val="tx1"/>
                  </w14:solidFill>
                </w14:textFill>
              </w:rPr>
              <w:t>一批</w:t>
            </w:r>
          </w:p>
        </w:tc>
        <w:tc>
          <w:tcPr>
            <w:tcW w:w="310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282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lang w:val="en-US" w:eastAsia="zh-CN"/>
        </w:rPr>
        <w:t>1.2 本合同约定价格为固定单价，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w:t>
      </w:r>
      <w:r>
        <w:rPr>
          <w:rFonts w:hint="eastAsia" w:ascii="宋体" w:hAnsi="宋体" w:cs="宋体"/>
          <w:color w:val="000000" w:themeColor="text1"/>
          <w:sz w:val="24"/>
          <w:szCs w:val="24"/>
          <w:highlight w:val="none"/>
          <w:lang w:val="en-US" w:eastAsia="zh-CN"/>
          <w14:textFill>
            <w14:solidFill>
              <w14:schemeClr w14:val="tx1"/>
            </w14:solidFill>
          </w14:textFill>
        </w:rPr>
        <w:t>医疗器械</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eastAsia" w:ascii="宋体" w:hAnsi="宋体" w:eastAsia="宋体" w:cs="宋体"/>
          <w:color w:val="auto"/>
          <w:sz w:val="24"/>
          <w:szCs w:val="24"/>
          <w:lang w:val="en-US" w:eastAsia="zh-CN"/>
        </w:rPr>
        <w:t>自</w:t>
      </w:r>
      <w:r>
        <w:rPr>
          <w:rFonts w:hint="eastAsia" w:ascii="宋体" w:hAnsi="宋体" w:cs="宋体"/>
          <w:sz w:val="24"/>
          <w:szCs w:val="24"/>
        </w:rPr>
        <w:t>接到甲方通知</w:t>
      </w:r>
      <w:r>
        <w:rPr>
          <w:rFonts w:hint="eastAsia" w:ascii="宋体" w:hAnsi="宋体" w:cs="宋体"/>
          <w:sz w:val="24"/>
          <w:szCs w:val="24"/>
          <w:lang w:val="en-US" w:eastAsia="zh-CN"/>
        </w:rPr>
        <w:t>之日起</w:t>
      </w:r>
      <w:r>
        <w:rPr>
          <w:rFonts w:hint="eastAsia" w:ascii="宋体" w:hAnsi="宋体" w:cs="宋体"/>
          <w:sz w:val="24"/>
          <w:szCs w:val="24"/>
        </w:rPr>
        <w:t>15日内</w:t>
      </w:r>
      <w:r>
        <w:rPr>
          <w:rFonts w:hint="default" w:ascii="宋体" w:hAnsi="宋体" w:eastAsia="宋体" w:cs="宋体"/>
          <w:color w:val="auto"/>
          <w:sz w:val="24"/>
          <w:szCs w:val="24"/>
          <w:lang w:val="en-US" w:eastAsia="zh-CN"/>
        </w:rPr>
        <w:t>将</w:t>
      </w:r>
      <w:r>
        <w:rPr>
          <w:rFonts w:hint="eastAsia" w:ascii="宋体" w:hAnsi="宋体" w:eastAsia="宋体" w:cs="宋体"/>
          <w:color w:val="auto"/>
          <w:sz w:val="24"/>
          <w:szCs w:val="24"/>
          <w:lang w:val="en-US" w:eastAsia="zh-CN"/>
        </w:rPr>
        <w:t>医疗器械</w:t>
      </w:r>
      <w:r>
        <w:rPr>
          <w:rFonts w:hint="default" w:ascii="宋体" w:hAnsi="宋体" w:eastAsia="宋体" w:cs="宋体"/>
          <w:color w:val="auto"/>
          <w:sz w:val="24"/>
          <w:szCs w:val="24"/>
          <w:lang w:val="en-US" w:eastAsia="zh-CN"/>
        </w:rPr>
        <w:t>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w:t>
      </w:r>
      <w:r>
        <w:rPr>
          <w:rFonts w:hint="eastAsia" w:ascii="宋体" w:hAnsi="宋体" w:cs="宋体"/>
          <w:sz w:val="24"/>
          <w:szCs w:val="24"/>
          <w:lang w:eastAsia="zh-CN"/>
        </w:rPr>
        <w:t>到货后</w:t>
      </w:r>
      <w:r>
        <w:rPr>
          <w:rFonts w:hint="eastAsia" w:ascii="宋体" w:hAnsi="宋体" w:cs="宋体"/>
          <w:sz w:val="24"/>
          <w:szCs w:val="24"/>
        </w:rPr>
        <w:t>1</w:t>
      </w:r>
      <w:r>
        <w:rPr>
          <w:rFonts w:hint="eastAsia" w:ascii="宋体" w:hAnsi="宋体" w:cs="宋体"/>
          <w:sz w:val="24"/>
          <w:szCs w:val="24"/>
          <w:lang w:val="en-US" w:eastAsia="zh-CN"/>
        </w:rPr>
        <w:t>日内</w:t>
      </w:r>
      <w:r>
        <w:rPr>
          <w:rFonts w:hint="default" w:ascii="宋体" w:hAnsi="宋体" w:eastAsia="宋体" w:cs="宋体"/>
          <w:color w:val="auto"/>
          <w:sz w:val="24"/>
          <w:szCs w:val="24"/>
          <w:lang w:val="en-US" w:eastAsia="zh-CN"/>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w:t>
      </w:r>
      <w:r>
        <w:rPr>
          <w:rFonts w:hint="eastAsia" w:ascii="宋体" w:hAnsi="宋体" w:eastAsia="宋体" w:cs="宋体"/>
          <w:color w:val="000000" w:themeColor="text1"/>
          <w:sz w:val="24"/>
          <w:szCs w:val="24"/>
          <w:highlight w:val="none"/>
          <w:lang w:val="en-US" w:eastAsia="zh-CN"/>
          <w14:textFill>
            <w14:solidFill>
              <w14:schemeClr w14:val="tx1"/>
            </w14:solidFill>
          </w14:textFill>
        </w:rPr>
        <w:t>医疗器械</w:t>
      </w:r>
      <w:r>
        <w:rPr>
          <w:rFonts w:hint="default" w:ascii="宋体" w:hAnsi="宋体" w:eastAsia="宋体" w:cs="宋体"/>
          <w:color w:val="000000" w:themeColor="text1"/>
          <w:sz w:val="24"/>
          <w:szCs w:val="24"/>
          <w:highlight w:val="none"/>
          <w:lang w:val="en-US" w:eastAsia="zh-CN"/>
          <w14:textFill>
            <w14:solidFill>
              <w14:schemeClr w14:val="tx1"/>
            </w14:solidFill>
          </w14:textFill>
        </w:rPr>
        <w:t>运至合同约定地点，并负责</w:t>
      </w:r>
      <w:r>
        <w:rPr>
          <w:rFonts w:hint="eastAsia" w:ascii="宋体" w:hAnsi="宋体" w:eastAsia="宋体" w:cs="宋体"/>
          <w:color w:val="auto"/>
          <w:sz w:val="24"/>
          <w:szCs w:val="24"/>
          <w:lang w:val="en-US" w:eastAsia="zh-CN"/>
        </w:rPr>
        <w:t>医疗器械</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质量标准：乙方提供医疗器械的质量、安装应符合或优于国家标准；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如响应文件中的技术参数和质量标准高于国家标准，则医疗器械的技术参数和质量标准以响应文件为准。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医疗器械运至指定交货地点后，应通知甲方，并向甲方提供厂家标准资料文件（进口医疗器械需提供真实有效的海关报关单，其他医疗器械需提供产品合格证）和原厂售后质保承诺书。甲方自接到乙方通知之日起7日内组织人员对医疗器械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医疗器械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医疗器械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包装要求：乙方提供的医疗器械必须为原厂包装，外包装到货时应保证完好无损，否则甲方有权拒绝收货，由此造成的延期交货违约责任和一切经济损失全部由乙方承担。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本合同医疗器械质保期为</w:t>
      </w:r>
      <w:r>
        <w:rPr>
          <w:rFonts w:hint="eastAsia" w:ascii="宋体" w:hAnsi="宋体" w:eastAsia="宋体" w:cs="宋体"/>
          <w:color w:val="auto"/>
          <w:sz w:val="24"/>
          <w:szCs w:val="24"/>
          <w:u w:val="single"/>
          <w:lang w:val="en-US" w:eastAsia="zh-CN"/>
        </w:rPr>
        <w:t xml:space="preserve"> 1 </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FF0000"/>
          <w:sz w:val="24"/>
          <w:szCs w:val="24"/>
          <w:highlight w:val="none"/>
          <w:u w:val="single"/>
          <w:lang w:val="en-US" w:eastAsia="zh-CN"/>
        </w:rPr>
      </w:pPr>
      <w:r>
        <w:rPr>
          <w:rFonts w:hint="eastAsia" w:ascii="宋体" w:hAnsi="宋体" w:eastAsia="宋体" w:cs="宋体"/>
          <w:b/>
          <w:bCs/>
          <w:color w:val="FF0000"/>
          <w:sz w:val="24"/>
          <w:szCs w:val="24"/>
          <w:highlight w:val="none"/>
          <w:u w:val="single"/>
          <w:lang w:val="en-US" w:eastAsia="zh-CN"/>
        </w:rPr>
        <w:t xml:space="preserve">5.2 </w:t>
      </w:r>
      <w:r>
        <w:rPr>
          <w:rFonts w:hint="eastAsia" w:ascii="宋体" w:hAnsi="宋体" w:eastAsia="宋体" w:cs="宋体"/>
          <w:b/>
          <w:bCs/>
          <w:color w:val="FF0000"/>
          <w:sz w:val="24"/>
          <w:highlight w:val="none"/>
          <w:u w:val="single"/>
        </w:rPr>
        <w:t>乙方在质保期内免费提供更换、保养、咨询等服务。</w:t>
      </w:r>
      <w:r>
        <w:rPr>
          <w:rFonts w:hint="eastAsia" w:ascii="宋体" w:hAnsi="宋体" w:eastAsia="宋体" w:cs="宋体"/>
          <w:b/>
          <w:bCs/>
          <w:color w:val="FF0000"/>
          <w:sz w:val="24"/>
          <w:szCs w:val="24"/>
          <w:highlight w:val="none"/>
          <w:u w:val="single"/>
          <w:lang w:val="en-US" w:eastAsia="zh-CN"/>
        </w:rPr>
        <w:t>如医疗器械在</w:t>
      </w:r>
      <w:r>
        <w:rPr>
          <w:rFonts w:hint="eastAsia" w:ascii="宋体" w:hAnsi="宋体" w:eastAsia="宋体" w:cs="宋体"/>
          <w:b/>
          <w:bCs/>
          <w:color w:val="FF0000"/>
          <w:sz w:val="24"/>
          <w:highlight w:val="none"/>
          <w:u w:val="single"/>
        </w:rPr>
        <w:t>质</w:t>
      </w:r>
      <w:r>
        <w:rPr>
          <w:rFonts w:hint="eastAsia" w:ascii="宋体" w:hAnsi="宋体" w:eastAsia="宋体" w:cs="宋体"/>
          <w:b/>
          <w:bCs/>
          <w:color w:val="FF0000"/>
          <w:sz w:val="24"/>
          <w:szCs w:val="24"/>
          <w:highlight w:val="none"/>
          <w:u w:val="single"/>
          <w:lang w:val="en-US" w:eastAsia="zh-CN"/>
        </w:rPr>
        <w:t>保期内出现质量问题，乙方应在接到甲方通知（包括电话通知）后24小时内响应，响应后4小时上门服务并更换全新医疗器械，相关费用由乙方承担。如乙方不及时履行质保义务，甲方有权从第三方采购相应医疗器械，由此产生的相关费用，甲方有权在支付价款中予以扣除或要求乙方支付对应价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质保期内，乙方每年至少对医疗器械进行一次巡检并向甲方提交巡检记录。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质保期届满后，如医疗器械出现问题，乙方应在接到甲方通知（包括电话通知）后24小时内响应，响应后4小时上门服务，相关费用由甲方承担。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6.1 甲乙双方在本合同医疗器械经总体验收合格之日起</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lang w:val="en-US" w:eastAsia="zh-CN"/>
        </w:rPr>
        <w:t>日内根据验收报告单内容据实结算。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6.2 甲方通过银行转账方式向乙方指定银行账户支付结算价款：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FF0000"/>
          <w:sz w:val="24"/>
          <w:szCs w:val="24"/>
          <w:highlight w:val="none"/>
          <w:lang w:val="en-US" w:eastAsia="zh-CN"/>
        </w:rPr>
        <w:t>在双方结算确认之日起</w:t>
      </w:r>
      <w:r>
        <w:rPr>
          <w:rFonts w:hint="eastAsia" w:ascii="宋体" w:hAnsi="宋体" w:eastAsia="宋体" w:cs="宋体"/>
          <w:color w:val="000000" w:themeColor="text1"/>
          <w:sz w:val="24"/>
          <w:szCs w:val="24"/>
          <w:highlight w:val="none"/>
          <w:lang w:val="en-US" w:eastAsia="zh-CN"/>
          <w14:textFill>
            <w14:solidFill>
              <w14:schemeClr w14:val="tx1"/>
            </w14:solidFill>
          </w14:textFill>
        </w:rPr>
        <w:t>4个月内，向乙方支付</w:t>
      </w:r>
      <w:r>
        <w:rPr>
          <w:rFonts w:hint="eastAsia" w:ascii="宋体" w:hAnsi="宋体" w:eastAsia="宋体" w:cs="宋体"/>
          <w:color w:val="FF0000"/>
          <w:sz w:val="24"/>
          <w:szCs w:val="24"/>
          <w:highlight w:val="none"/>
          <w:u w:val="none"/>
          <w:lang w:val="en-US" w:eastAsia="zh-CN"/>
        </w:rPr>
        <w:t>结算</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6.4 乙方应在甲方首次付款前，向甲方提供以乙方自己名义开具的与本合同</w:t>
      </w:r>
      <w:r>
        <w:rPr>
          <w:rFonts w:hint="eastAsia" w:ascii="宋体" w:hAnsi="宋体" w:eastAsia="宋体" w:cs="宋体"/>
          <w:color w:val="FF0000"/>
          <w:sz w:val="24"/>
          <w:szCs w:val="24"/>
          <w:highlight w:val="none"/>
          <w:u w:val="none"/>
          <w:lang w:val="en-US" w:eastAsia="zh-CN"/>
        </w:rPr>
        <w:t>结算总价款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本合同医疗器械毁损、丢失的风险自甲方在总体验收报告单上签字确认合格后转移给甲方，此前医疗器械的一切风险均由乙方承担。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highlight w:val="none"/>
          <w:lang w:val="en-US" w:eastAsia="zh-CN"/>
        </w:rPr>
        <w:t xml:space="preserve">7.3 </w:t>
      </w:r>
      <w:r>
        <w:rPr>
          <w:rFonts w:hint="eastAsia" w:ascii="宋体" w:hAnsi="宋体" w:eastAsia="宋体" w:cs="宋体"/>
          <w:color w:val="FF0000"/>
          <w:sz w:val="24"/>
          <w:szCs w:val="24"/>
          <w:lang w:val="en-US" w:eastAsia="zh-CN"/>
        </w:rPr>
        <w:t>医疗器械有效期内，因医疗器械质量问题产生的风险均由乙方承担。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7.4 如甲方因乙方医疗器械、质保服务等原因涉及纠纷、诉讼或被处以行政处罚，由乙方承担甲方因纠纷、诉讼、罚款等造成的全部经济损失。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auto"/>
          <w:sz w:val="24"/>
          <w:szCs w:val="24"/>
          <w:u w:val="single"/>
          <w:lang w:val="en-US" w:eastAsia="zh-CN"/>
        </w:rPr>
        <w:t>彭耀华</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auto"/>
          <w:sz w:val="24"/>
          <w:szCs w:val="24"/>
          <w:u w:val="single"/>
          <w:lang w:val="en-US" w:eastAsia="zh-CN"/>
        </w:rPr>
        <w:t xml:space="preserve">18711825378 </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医疗器械，经书面通知乙方后可以提前终止本合同；如甲方因运营需要等原因不需要购买本合同部分医疗器械，不需要购买的部分自动从采购内容中剔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w:t>
      </w:r>
      <w:r>
        <w:rPr>
          <w:rFonts w:hint="eastAsia" w:ascii="宋体" w:hAnsi="宋体" w:eastAsia="宋体" w:cs="宋体"/>
          <w:color w:val="000000" w:themeColor="text1"/>
          <w:sz w:val="24"/>
          <w:highlight w:val="none"/>
          <w:lang w:val="en-US" w:eastAsia="zh-CN"/>
          <w14:textFill>
            <w14:solidFill>
              <w14:schemeClr w14:val="tx1"/>
            </w14:solidFill>
          </w14:textFill>
        </w:rPr>
        <w:t>医疗器械</w:t>
      </w:r>
      <w:r>
        <w:rPr>
          <w:rFonts w:hint="eastAsia" w:ascii="宋体" w:hAnsi="宋体" w:eastAsia="宋体" w:cs="宋体"/>
          <w:color w:val="000000" w:themeColor="text1"/>
          <w:sz w:val="24"/>
          <w:highlight w:val="none"/>
          <w14:textFill>
            <w14:solidFill>
              <w14:schemeClr w14:val="tx1"/>
            </w14:solidFill>
          </w14:textFill>
        </w:rPr>
        <w:t>质量不符合国家标准、本合同标准或响应文件约定标准；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医疗器械</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本合同约定总价款30%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；响应文件；采购文件；其他与本合同有关的资料。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 xml:space="preserve">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rPr>
          <w:rFonts w:hint="eastAsia" w:ascii="黑体" w:hAnsi="黑体" w:eastAsia="黑体" w:cs="黑体"/>
          <w:color w:val="000000" w:themeColor="text1"/>
          <w:sz w:val="32"/>
          <w:szCs w:val="32"/>
          <w:highlight w:val="none"/>
          <w:lang w:val="en-US" w:eastAsia="zh-CN"/>
          <w14:textFill>
            <w14:solidFill>
              <w14:schemeClr w14:val="tx1"/>
            </w14:solidFill>
          </w14:textFill>
        </w:rPr>
      </w:pPr>
      <w:bookmarkStart w:id="4" w:name="_GoBack"/>
      <w:bookmarkEnd w:id="4"/>
      <w:r>
        <w:rPr>
          <w:rFonts w:hint="eastAsia" w:ascii="黑体" w:hAnsi="黑体" w:eastAsia="黑体" w:cs="黑体"/>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eastAsiaTheme="minorEastAsia"/>
          <w:color w:val="000000" w:themeColor="text1"/>
          <w:highlight w:val="none"/>
          <w:lang w:eastAsia="zh-CN"/>
          <w14:textFill>
            <w14:solidFill>
              <w14:schemeClr w14:val="tx1"/>
            </w14:solidFill>
          </w14:textFill>
        </w:rPr>
      </w:pPr>
      <w:r>
        <w:rPr>
          <w:rFonts w:hint="eastAsia" w:eastAsiaTheme="minorEastAsia"/>
          <w:color w:val="000000" w:themeColor="text1"/>
          <w:highlight w:val="none"/>
          <w:lang w:eastAsia="zh-CN"/>
          <w14:textFill>
            <w14:solidFill>
              <w14:schemeClr w14:val="tx1"/>
            </w14:solidFill>
          </w14:textFill>
        </w:rPr>
        <w:drawing>
          <wp:inline distT="0" distB="0" distL="114300" distR="114300">
            <wp:extent cx="5615305" cy="7988935"/>
            <wp:effectExtent l="0" t="0" r="4445" b="12065"/>
            <wp:docPr id="9"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
                    <pic:cNvPicPr>
                      <a:picLocks noChangeAspect="1"/>
                    </pic:cNvPicPr>
                  </pic:nvPicPr>
                  <pic:blipFill>
                    <a:blip r:embed="rId7"/>
                    <a:stretch>
                      <a:fillRect/>
                    </a:stretch>
                  </pic:blipFill>
                  <pic:spPr>
                    <a:xfrm>
                      <a:off x="0" y="0"/>
                      <a:ext cx="5615305" cy="7988935"/>
                    </a:xfrm>
                    <a:prstGeom prst="rect">
                      <a:avLst/>
                    </a:prstGeom>
                  </pic:spPr>
                </pic:pic>
              </a:graphicData>
            </a:graphic>
          </wp:inline>
        </w:drawing>
      </w:r>
      <w:r>
        <w:rPr>
          <w:rFonts w:hint="eastAsia" w:eastAsiaTheme="minorEastAsia"/>
          <w:color w:val="000000" w:themeColor="text1"/>
          <w:highlight w:val="none"/>
          <w:lang w:eastAsia="zh-CN"/>
          <w14:textFill>
            <w14:solidFill>
              <w14:schemeClr w14:val="tx1"/>
            </w14:solidFill>
          </w14:textFill>
        </w:rPr>
        <w:drawing>
          <wp:inline distT="0" distB="0" distL="114300" distR="114300">
            <wp:extent cx="5610225" cy="8025130"/>
            <wp:effectExtent l="0" t="0" r="9525" b="13970"/>
            <wp:docPr id="8" name="图片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
                    <pic:cNvPicPr>
                      <a:picLocks noChangeAspect="1"/>
                    </pic:cNvPicPr>
                  </pic:nvPicPr>
                  <pic:blipFill>
                    <a:blip r:embed="rId8"/>
                    <a:stretch>
                      <a:fillRect/>
                    </a:stretch>
                  </pic:blipFill>
                  <pic:spPr>
                    <a:xfrm>
                      <a:off x="0" y="0"/>
                      <a:ext cx="5610225" cy="8025130"/>
                    </a:xfrm>
                    <a:prstGeom prst="rect">
                      <a:avLst/>
                    </a:prstGeom>
                  </pic:spPr>
                </pic:pic>
              </a:graphicData>
            </a:graphic>
          </wp:inline>
        </w:drawing>
      </w:r>
      <w:r>
        <w:rPr>
          <w:rFonts w:hint="eastAsia" w:eastAsiaTheme="minorEastAsia"/>
          <w:color w:val="000000" w:themeColor="text1"/>
          <w:highlight w:val="none"/>
          <w:lang w:eastAsia="zh-CN"/>
          <w14:textFill>
            <w14:solidFill>
              <w14:schemeClr w14:val="tx1"/>
            </w14:solidFill>
          </w14:textFill>
        </w:rPr>
        <w:drawing>
          <wp:inline distT="0" distB="0" distL="114300" distR="114300">
            <wp:extent cx="5604510" cy="7904480"/>
            <wp:effectExtent l="0" t="0" r="15240" b="1270"/>
            <wp:docPr id="7" name="图片 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
                    <pic:cNvPicPr>
                      <a:picLocks noChangeAspect="1"/>
                    </pic:cNvPicPr>
                  </pic:nvPicPr>
                  <pic:blipFill>
                    <a:blip r:embed="rId9"/>
                    <a:stretch>
                      <a:fillRect/>
                    </a:stretch>
                  </pic:blipFill>
                  <pic:spPr>
                    <a:xfrm>
                      <a:off x="0" y="0"/>
                      <a:ext cx="5604510" cy="7904480"/>
                    </a:xfrm>
                    <a:prstGeom prst="rect">
                      <a:avLst/>
                    </a:prstGeom>
                  </pic:spPr>
                </pic:pic>
              </a:graphicData>
            </a:graphic>
          </wp:inline>
        </w:drawing>
      </w:r>
      <w:r>
        <w:rPr>
          <w:rFonts w:hint="eastAsia" w:eastAsiaTheme="minorEastAsia"/>
          <w:color w:val="000000" w:themeColor="text1"/>
          <w:highlight w:val="none"/>
          <w:lang w:eastAsia="zh-CN"/>
          <w14:textFill>
            <w14:solidFill>
              <w14:schemeClr w14:val="tx1"/>
            </w14:solidFill>
          </w14:textFill>
        </w:rPr>
        <w:drawing>
          <wp:inline distT="0" distB="0" distL="114300" distR="114300">
            <wp:extent cx="5607050" cy="7912735"/>
            <wp:effectExtent l="0" t="0" r="12700" b="12065"/>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10"/>
                    <a:stretch>
                      <a:fillRect/>
                    </a:stretch>
                  </pic:blipFill>
                  <pic:spPr>
                    <a:xfrm>
                      <a:off x="0" y="0"/>
                      <a:ext cx="5607050" cy="79127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pPr>
    </w:p>
    <w:p>
      <w:pPr>
        <w:keepNext w:val="0"/>
        <w:keepLines w:val="0"/>
        <w:pageBreakBefore w:val="0"/>
        <w:widowControl w:val="0"/>
        <w:kinsoku/>
        <w:wordWrap/>
        <w:overflowPunct/>
        <w:topLinePunct w:val="0"/>
        <w:autoSpaceDE/>
        <w:autoSpaceDN/>
        <w:bidi w:val="0"/>
        <w:adjustRightInd/>
        <w:snapToGrid/>
        <w:spacing w:line="480" w:lineRule="exact"/>
        <w:textAlignment w:val="auto"/>
      </w:pPr>
    </w:p>
    <w:p>
      <w:pPr>
        <w:pStyle w:val="15"/>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6"/>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5"/>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pPr>
        <w:pStyle w:val="15"/>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6"/>
        <w:rPr>
          <w:color w:val="auto"/>
        </w:rPr>
      </w:pPr>
    </w:p>
    <w:p>
      <w:pPr>
        <w:pStyle w:val="15"/>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50C12EC"/>
    <w:rsid w:val="06E91EC4"/>
    <w:rsid w:val="0A3F4F3C"/>
    <w:rsid w:val="0E331420"/>
    <w:rsid w:val="0EDD1643"/>
    <w:rsid w:val="10914EF9"/>
    <w:rsid w:val="12080B62"/>
    <w:rsid w:val="12994AC5"/>
    <w:rsid w:val="129F447F"/>
    <w:rsid w:val="12C86253"/>
    <w:rsid w:val="15060AC8"/>
    <w:rsid w:val="15675A4C"/>
    <w:rsid w:val="17F91BB8"/>
    <w:rsid w:val="1AF56B46"/>
    <w:rsid w:val="1E79119D"/>
    <w:rsid w:val="1F334F58"/>
    <w:rsid w:val="1F796B24"/>
    <w:rsid w:val="1FE73549"/>
    <w:rsid w:val="2038045E"/>
    <w:rsid w:val="20B41DA7"/>
    <w:rsid w:val="21005321"/>
    <w:rsid w:val="21091EFA"/>
    <w:rsid w:val="28E81B29"/>
    <w:rsid w:val="29B45A41"/>
    <w:rsid w:val="2C0A2E19"/>
    <w:rsid w:val="2C7642D0"/>
    <w:rsid w:val="2DD77C64"/>
    <w:rsid w:val="2DDA1E78"/>
    <w:rsid w:val="2DE00B8C"/>
    <w:rsid w:val="2EAC037F"/>
    <w:rsid w:val="2EB67A5C"/>
    <w:rsid w:val="302741D2"/>
    <w:rsid w:val="308B184D"/>
    <w:rsid w:val="31163FB9"/>
    <w:rsid w:val="33057DBD"/>
    <w:rsid w:val="33384C93"/>
    <w:rsid w:val="340F06E9"/>
    <w:rsid w:val="372F7378"/>
    <w:rsid w:val="397348CD"/>
    <w:rsid w:val="3AC66922"/>
    <w:rsid w:val="3B3B544D"/>
    <w:rsid w:val="3B654F2B"/>
    <w:rsid w:val="3BB72BAE"/>
    <w:rsid w:val="3C8A61A4"/>
    <w:rsid w:val="3D5E17FF"/>
    <w:rsid w:val="3E1F0DA4"/>
    <w:rsid w:val="3E584E51"/>
    <w:rsid w:val="3EBE1ADE"/>
    <w:rsid w:val="414D7889"/>
    <w:rsid w:val="418A797B"/>
    <w:rsid w:val="41BB0BAE"/>
    <w:rsid w:val="42234850"/>
    <w:rsid w:val="429A4992"/>
    <w:rsid w:val="435B161D"/>
    <w:rsid w:val="43B25DAC"/>
    <w:rsid w:val="45D569C3"/>
    <w:rsid w:val="49022783"/>
    <w:rsid w:val="4ACF0757"/>
    <w:rsid w:val="4B7F39F4"/>
    <w:rsid w:val="4BAE646F"/>
    <w:rsid w:val="4CAC1559"/>
    <w:rsid w:val="4CB67451"/>
    <w:rsid w:val="4D754257"/>
    <w:rsid w:val="4DCD6AB3"/>
    <w:rsid w:val="50216DCD"/>
    <w:rsid w:val="50540C20"/>
    <w:rsid w:val="51AC28BD"/>
    <w:rsid w:val="54F52CD6"/>
    <w:rsid w:val="56ED1FE4"/>
    <w:rsid w:val="59C74B1F"/>
    <w:rsid w:val="5DFF3274"/>
    <w:rsid w:val="611B6B1B"/>
    <w:rsid w:val="64133D6A"/>
    <w:rsid w:val="666A4A5D"/>
    <w:rsid w:val="678E4F5D"/>
    <w:rsid w:val="680E122C"/>
    <w:rsid w:val="6D383CC2"/>
    <w:rsid w:val="6DE375E4"/>
    <w:rsid w:val="6E2D2A8D"/>
    <w:rsid w:val="6E8E5287"/>
    <w:rsid w:val="6FBE332C"/>
    <w:rsid w:val="70BA1B14"/>
    <w:rsid w:val="71554367"/>
    <w:rsid w:val="71584067"/>
    <w:rsid w:val="735201FF"/>
    <w:rsid w:val="737B50A4"/>
    <w:rsid w:val="73F40E72"/>
    <w:rsid w:val="74566F5C"/>
    <w:rsid w:val="749B66A4"/>
    <w:rsid w:val="74A1770D"/>
    <w:rsid w:val="750117A8"/>
    <w:rsid w:val="755B2270"/>
    <w:rsid w:val="757347B4"/>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3">
    <w:name w:val="Default"/>
    <w:next w:val="14"/>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大标题"/>
    <w:basedOn w:val="1"/>
    <w:next w:val="5"/>
    <w:autoRedefine/>
    <w:qFormat/>
    <w:uiPriority w:val="0"/>
    <w:pPr>
      <w:jc w:val="center"/>
    </w:pPr>
    <w:rPr>
      <w:rFonts w:ascii="Arial" w:hAnsi="Arial" w:eastAsia="宋体"/>
      <w:b/>
      <w:sz w:val="28"/>
      <w:szCs w:val="24"/>
    </w:rPr>
  </w:style>
  <w:style w:type="paragraph" w:customStyle="1" w:styleId="15">
    <w:name w:val="列出段落1"/>
    <w:basedOn w:val="1"/>
    <w:autoRedefine/>
    <w:qFormat/>
    <w:uiPriority w:val="99"/>
    <w:pPr>
      <w:ind w:firstLine="420" w:firstLineChars="200"/>
    </w:pPr>
  </w:style>
  <w:style w:type="paragraph" w:customStyle="1" w:styleId="1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0</TotalTime>
  <ScaleCrop>false</ScaleCrop>
  <LinksUpToDate>false</LinksUpToDate>
  <CharactersWithSpaces>8973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2024-05-23T01:38:55Z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3505A2AB25E048A4A9B0E6A6741CA1BA_11</vt:lpwstr>
  </property>
</Properties>
</file>