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hint="eastAsia" w:ascii="Arial" w:hAnsi="Arial" w:eastAsia="方正小标宋简体" w:cs="Arial"/>
          <w:color w:val="auto"/>
          <w:sz w:val="72"/>
          <w:szCs w:val="72"/>
          <w:lang w:eastAsia="zh-CN"/>
        </w:rPr>
      </w:pPr>
      <w:bookmarkStart w:id="0" w:name="_Toc16523570"/>
    </w:p>
    <w:p>
      <w:pPr>
        <w:pStyle w:val="13"/>
        <w:tabs>
          <w:tab w:val="left" w:pos="312"/>
        </w:tabs>
        <w:snapToGrid w:val="0"/>
        <w:spacing w:line="288" w:lineRule="auto"/>
        <w:jc w:val="center"/>
        <w:rPr>
          <w:rFonts w:hint="eastAsia" w:asciiTheme="majorEastAsia" w:hAnsiTheme="majorEastAsia" w:eastAsiaTheme="majorEastAsia" w:cstheme="majorEastAsia"/>
          <w:sz w:val="72"/>
          <w:szCs w:val="72"/>
        </w:rPr>
      </w:pPr>
      <w:r>
        <w:rPr>
          <w:rFonts w:hint="eastAsia" w:asciiTheme="majorEastAsia" w:hAnsiTheme="majorEastAsia" w:eastAsiaTheme="majorEastAsia" w:cstheme="majorEastAsia"/>
          <w:sz w:val="72"/>
          <w:szCs w:val="72"/>
        </w:rPr>
        <w:t>娄底市中心医院院内</w:t>
      </w:r>
    </w:p>
    <w:p>
      <w:pPr>
        <w:pStyle w:val="13"/>
        <w:snapToGrid w:val="0"/>
        <w:jc w:val="center"/>
        <w:rPr>
          <w:rFonts w:hint="eastAsia" w:asciiTheme="majorEastAsia" w:hAnsiTheme="majorEastAsia" w:eastAsiaTheme="majorEastAsia" w:cstheme="majorEastAsia"/>
          <w:sz w:val="72"/>
          <w:szCs w:val="72"/>
        </w:rPr>
      </w:pPr>
    </w:p>
    <w:p>
      <w:pPr>
        <w:pStyle w:val="13"/>
        <w:snapToGrid w:val="0"/>
        <w:jc w:val="center"/>
        <w:rPr>
          <w:rFonts w:hint="eastAsia" w:asciiTheme="majorEastAsia" w:hAnsiTheme="majorEastAsia" w:eastAsiaTheme="majorEastAsia" w:cstheme="majorEastAsia"/>
          <w:sz w:val="72"/>
          <w:szCs w:val="72"/>
        </w:rPr>
      </w:pPr>
      <w:r>
        <w:rPr>
          <w:rFonts w:hint="eastAsia" w:asciiTheme="majorEastAsia" w:hAnsiTheme="majorEastAsia" w:eastAsiaTheme="majorEastAsia" w:cstheme="majorEastAsia"/>
          <w:sz w:val="72"/>
          <w:szCs w:val="72"/>
        </w:rPr>
        <w:t>招</w:t>
      </w:r>
    </w:p>
    <w:p>
      <w:pPr>
        <w:pStyle w:val="13"/>
        <w:snapToGrid w:val="0"/>
        <w:jc w:val="center"/>
        <w:rPr>
          <w:rFonts w:hint="eastAsia" w:asciiTheme="majorEastAsia" w:hAnsiTheme="majorEastAsia" w:eastAsiaTheme="majorEastAsia" w:cstheme="majorEastAsia"/>
          <w:sz w:val="72"/>
          <w:szCs w:val="72"/>
        </w:rPr>
      </w:pPr>
    </w:p>
    <w:p>
      <w:pPr>
        <w:pStyle w:val="13"/>
        <w:snapToGrid w:val="0"/>
        <w:jc w:val="center"/>
        <w:rPr>
          <w:rFonts w:hint="eastAsia" w:asciiTheme="majorEastAsia" w:hAnsiTheme="majorEastAsia" w:eastAsiaTheme="majorEastAsia" w:cstheme="majorEastAsia"/>
          <w:sz w:val="72"/>
          <w:szCs w:val="72"/>
        </w:rPr>
      </w:pPr>
      <w:r>
        <w:rPr>
          <w:rFonts w:hint="eastAsia" w:asciiTheme="majorEastAsia" w:hAnsiTheme="majorEastAsia" w:eastAsiaTheme="majorEastAsia" w:cstheme="majorEastAsia"/>
          <w:sz w:val="72"/>
          <w:szCs w:val="72"/>
        </w:rPr>
        <w:t>标</w:t>
      </w:r>
    </w:p>
    <w:p>
      <w:pPr>
        <w:pStyle w:val="13"/>
        <w:snapToGrid w:val="0"/>
        <w:jc w:val="center"/>
        <w:rPr>
          <w:rFonts w:hint="eastAsia" w:asciiTheme="majorEastAsia" w:hAnsiTheme="majorEastAsia" w:eastAsiaTheme="majorEastAsia" w:cstheme="majorEastAsia"/>
          <w:sz w:val="72"/>
          <w:szCs w:val="72"/>
        </w:rPr>
      </w:pPr>
    </w:p>
    <w:p>
      <w:pPr>
        <w:pStyle w:val="13"/>
        <w:snapToGrid w:val="0"/>
        <w:jc w:val="center"/>
        <w:rPr>
          <w:rFonts w:hint="eastAsia" w:asciiTheme="majorEastAsia" w:hAnsiTheme="majorEastAsia" w:eastAsiaTheme="majorEastAsia" w:cstheme="majorEastAsia"/>
          <w:sz w:val="72"/>
          <w:szCs w:val="72"/>
        </w:rPr>
      </w:pPr>
      <w:bookmarkStart w:id="4" w:name="_GoBack"/>
      <w:bookmarkEnd w:id="4"/>
      <w:r>
        <w:rPr>
          <w:rFonts w:hint="eastAsia" w:asciiTheme="majorEastAsia" w:hAnsiTheme="majorEastAsia" w:eastAsiaTheme="majorEastAsia" w:cstheme="majorEastAsia"/>
          <w:sz w:val="72"/>
          <w:szCs w:val="72"/>
        </w:rPr>
        <w:t>文</w:t>
      </w:r>
    </w:p>
    <w:p>
      <w:pPr>
        <w:pStyle w:val="13"/>
        <w:snapToGrid w:val="0"/>
        <w:jc w:val="center"/>
        <w:rPr>
          <w:rFonts w:hint="eastAsia" w:asciiTheme="majorEastAsia" w:hAnsiTheme="majorEastAsia" w:eastAsiaTheme="majorEastAsia" w:cstheme="majorEastAsia"/>
          <w:sz w:val="72"/>
          <w:szCs w:val="72"/>
        </w:rPr>
      </w:pPr>
    </w:p>
    <w:p>
      <w:pPr>
        <w:pStyle w:val="13"/>
        <w:snapToGrid w:val="0"/>
        <w:jc w:val="center"/>
        <w:rPr>
          <w:rFonts w:ascii="Arial" w:hAnsi="Arial" w:eastAsia="方正小标宋简体" w:cs="Arial"/>
          <w:sz w:val="36"/>
          <w:szCs w:val="36"/>
        </w:rPr>
      </w:pPr>
      <w:r>
        <w:rPr>
          <w:rFonts w:hint="eastAsia" w:asciiTheme="majorEastAsia" w:hAnsiTheme="majorEastAsia" w:eastAsiaTheme="majorEastAsia" w:cstheme="majorEastAsia"/>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（半导体激光治疗仪医院公开挂网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半导体激光治疗仪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半导体激光治疗仪</w:t>
      </w:r>
      <w:r>
        <w:rPr>
          <w:rFonts w:hint="eastAsia" w:asciiTheme="minorEastAsia" w:hAnsiTheme="minorEastAsia" w:eastAsiaTheme="minorEastAsia" w:cstheme="minorEastAsia"/>
          <w:b w:val="0"/>
          <w:bCs/>
          <w:color w:val="auto"/>
          <w:sz w:val="24"/>
          <w:szCs w:val="24"/>
          <w:lang w:val="en-US" w:eastAsia="zh-CN"/>
        </w:rPr>
        <w:t>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4"/>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半导体激光治疗仪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1.用于口腔软组织的汽化、碳化、凝固和照射，达到口腔软组织切割的目的，根管消毒，牙齿美白。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2、激光中心波长：980nm±10nm。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3、工作模式：连续（CW）、脉冲式。</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4、连续（CW）模式输出平均功率：0W-8W，功率无极可调，调节步距 0.1W，允差±10%。</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5、连续（CW）模式终端输出激光功率不稳定度 St：St＜5%。</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6、脉冲式模式输出功率：0W-8W，功率无极可调，调节步距 0.1W，允差±10%。</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7、脉冲式模式终端输出激光功率复现性 Rp：Rp＜5%。</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8、脉冲宽度：100ms~1000 ms，调节步距 100ms，允差±5%。</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9、脉冲间隔：100ms~1000 ms，调节步距 100ms，允差±5%。</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10、输出光斑直径：距离光纤端面 5mm 时，光斑直径小于 10mm。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11、瞄准光：波长 650nm±20nm，功率＜2mW，4档可调。</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12、激光发射定时功能，0-9999s，连续可调。</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13、激光开关：同时具备手控和脚控；脚踏开关(无线)--标配通过防水等级IPX8(加压浸泡防水)。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14、手柄配置：配置 2 支治疗手柄，可交替使用。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15、手柄上具备功率调节设置，激光器工作状态切换功能，激光触发等功能。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16、中文操作界面；高清触摸彩色液晶显示屏；软件可设置医生程序数量≥6 个，记忆程序≥24 个。自定义方案治疗菜单：内置自定义操作收藏程序。</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17、供电系统：同时具备适配器电源供电和充电电池供电工作。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18、安全系统：设有紧急停止按钮，可在紧急情况下立即停止激光工作。进入主菜单需输入密码，防止误操作。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19、激光类别：4类激光。</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20、消毒：手柄能卸下高温高压消毒，光纤能高温高压消毒。</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21、光纤治疗头符合 YY/T 0758《治疗用激光光纤通用要求》。</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22、激光辐射安全、电气安全和电磁兼容性：符合标准要求。</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23、光纤治疗头：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23.1、可以根据使用需求弯折 0°-70°，适合口腔各种角度和位置的治疗；</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23.2、光纤连接头采用陶瓷（二氧化锆）材料精加工而成，达到 1μm 的同轴度和尺寸精度，高强度，耐磨损，抗老化，耐腐蚀，表面光滑，清洁简单；</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23.3、颜色区分功能；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23.4、光纤采用聚酰亚胺覆层，生物相容性良好，安全无毒，耐高温，可高温高压重复消毒，使用无需剥除涂覆层，光纤不易折断；</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23.5、出厂前预激发；</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23.6、型号齐全：光纤直径：200μm 和 400μm 两种，光纤长度：2cm-8cm，光纤头末端出光方式为直线出光，精准可靠。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24、机身轻盈，把握舒适，移动方便，不受光纤、电缆限制。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25、工作有效距离在 0.5-5 毫米之间。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26、内置锂电池，内部电源供电，可无线充电。</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27、工作条件：无需水源、气源、无需外接电源，普通科室条件即可。</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28、制冷方式：风冷。</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29、机身防水等级：IP20</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30、配备专业激光防护眼镜，光密度值：OD5+。</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31、功率反馈功能：内置激光功率指示器。</w:t>
      </w:r>
    </w:p>
    <w:p>
      <w:pPr>
        <w:pStyle w:val="2"/>
        <w:ind w:left="0" w:leftChars="0" w:firstLine="0" w:firstLineChars="0"/>
        <w:rPr>
          <w:rFonts w:hint="eastAsia"/>
          <w:lang w:val="en-US" w:eastAsia="zh-CN"/>
        </w:rPr>
      </w:pPr>
    </w:p>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tbl>
      <w:tblPr>
        <w:tblStyle w:val="9"/>
        <w:tblW w:w="59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7"/>
        <w:gridCol w:w="2976"/>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序号</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组件名称</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1</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主机</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2</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主机箱</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3</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适配器电源线</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4</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医用激光光纤</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rFonts w:hint="eastAsia"/>
                <w:lang w:val="en-US" w:eastAsia="zh-CN"/>
              </w:rPr>
              <w:t>20</w:t>
            </w:r>
            <w:r>
              <w:rPr>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5</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jc w:val="center"/>
              <w:rPr>
                <w:rFonts w:hint="default" w:ascii="宋体" w:hAnsi="宋体" w:eastAsia="宋体" w:cs="宋体"/>
                <w:sz w:val="22"/>
                <w:szCs w:val="22"/>
                <w:lang w:val="zh-CN" w:eastAsia="zh-CN" w:bidi="zh-CN"/>
              </w:rPr>
            </w:pPr>
            <w:r>
              <w:rPr>
                <w:lang w:val="en-US" w:eastAsia="zh-CN"/>
              </w:rPr>
              <w:t>光纤头弯制器</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jc w:val="center"/>
              <w:rPr>
                <w:rFonts w:hint="default" w:ascii="宋体" w:hAnsi="宋体" w:eastAsia="宋体" w:cs="宋体"/>
                <w:sz w:val="22"/>
                <w:szCs w:val="22"/>
                <w:lang w:val="zh-CN" w:eastAsia="zh-CN" w:bidi="zh-CN"/>
              </w:rPr>
            </w:pPr>
            <w:r>
              <w:rPr>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6</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jc w:val="center"/>
              <w:rPr>
                <w:rFonts w:hint="default" w:ascii="宋体" w:hAnsi="宋体" w:eastAsia="宋体" w:cs="宋体"/>
                <w:sz w:val="22"/>
                <w:szCs w:val="22"/>
                <w:lang w:val="zh-CN" w:eastAsia="zh-CN" w:bidi="zh-CN"/>
              </w:rPr>
            </w:pPr>
            <w:r>
              <w:rPr>
                <w:lang w:val="en-US" w:eastAsia="zh-CN"/>
              </w:rPr>
              <w:t>光纤头清洁器</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jc w:val="center"/>
              <w:rPr>
                <w:rFonts w:hint="default" w:ascii="宋体" w:hAnsi="宋体" w:eastAsia="宋体" w:cs="宋体"/>
                <w:sz w:val="22"/>
                <w:szCs w:val="22"/>
                <w:lang w:val="zh-CN" w:eastAsia="zh-CN" w:bidi="zh-CN"/>
              </w:rPr>
            </w:pPr>
            <w:r>
              <w:rPr>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7</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jc w:val="center"/>
              <w:rPr>
                <w:rFonts w:hint="default" w:ascii="宋体" w:hAnsi="宋体" w:eastAsia="宋体" w:cs="宋体"/>
                <w:sz w:val="22"/>
                <w:szCs w:val="22"/>
                <w:lang w:val="zh-CN" w:eastAsia="zh-CN" w:bidi="zh-CN"/>
              </w:rPr>
            </w:pPr>
            <w:r>
              <w:rPr>
                <w:lang w:val="en-US" w:eastAsia="zh-CN"/>
              </w:rPr>
              <w:t>防护眼镜</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jc w:val="center"/>
              <w:rPr>
                <w:rFonts w:hint="default" w:ascii="宋体" w:hAnsi="宋体" w:eastAsia="宋体" w:cs="宋体"/>
                <w:sz w:val="22"/>
                <w:szCs w:val="22"/>
                <w:lang w:val="zh-CN" w:eastAsia="zh-CN" w:bidi="zh-CN"/>
              </w:rPr>
            </w:pPr>
            <w:r>
              <w:rPr>
                <w:lang w:val="en-US" w:eastAsia="zh-CN"/>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8</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jc w:val="center"/>
              <w:rPr>
                <w:rFonts w:hint="default" w:ascii="宋体" w:hAnsi="宋体" w:eastAsia="宋体" w:cs="宋体"/>
                <w:sz w:val="22"/>
                <w:szCs w:val="22"/>
                <w:lang w:val="zh-CN" w:eastAsia="zh-CN" w:bidi="zh-CN"/>
              </w:rPr>
            </w:pPr>
            <w:r>
              <w:rPr>
                <w:lang w:val="en-US" w:eastAsia="zh-CN"/>
              </w:rPr>
              <w:t>治疗手柄壳</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jc w:val="center"/>
              <w:rPr>
                <w:rFonts w:hint="default" w:ascii="宋体" w:hAnsi="宋体" w:eastAsia="宋体" w:cs="宋体"/>
                <w:sz w:val="22"/>
                <w:szCs w:val="22"/>
                <w:lang w:val="zh-CN" w:eastAsia="zh-CN" w:bidi="zh-CN"/>
              </w:rPr>
            </w:pPr>
            <w:r>
              <w:rPr>
                <w:lang w:val="en-US" w:eastAsia="zh-CN"/>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9</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lang w:val="en-US" w:eastAsia="zh-CN"/>
              </w:rPr>
            </w:pPr>
            <w:r>
              <w:rPr>
                <w:rFonts w:hint="eastAsia"/>
                <w:lang w:val="en-US" w:eastAsia="zh-CN"/>
              </w:rPr>
              <w:t>理疗头</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宋体"/>
                <w:lang w:val="en-US" w:eastAsia="zh-CN"/>
              </w:rPr>
            </w:pPr>
            <w:r>
              <w:rPr>
                <w:rFonts w:hint="eastAsia"/>
                <w:lang w:val="en-US" w:eastAsia="zh-CN"/>
              </w:rPr>
              <w:t>1个</w:t>
            </w:r>
          </w:p>
        </w:tc>
      </w:tr>
    </w:tbl>
    <w:p>
      <w:pPr>
        <w:rPr>
          <w:rFonts w:hint="eastAsia"/>
          <w:lang w:val="en-US" w:eastAsia="zh-CN"/>
        </w:rPr>
      </w:pPr>
    </w:p>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半导体激光治疗仪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半导体激光治疗仪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半导体激光治疗仪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6"/>
        <w:rPr>
          <w:color w:val="auto"/>
        </w:rPr>
      </w:pPr>
    </w:p>
    <w:p>
      <w:pPr>
        <w:pStyle w:val="15"/>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A8118BC"/>
    <w:rsid w:val="0E331420"/>
    <w:rsid w:val="0EDD1643"/>
    <w:rsid w:val="0FB9029C"/>
    <w:rsid w:val="10914EF9"/>
    <w:rsid w:val="12080B62"/>
    <w:rsid w:val="12994AC5"/>
    <w:rsid w:val="129F447F"/>
    <w:rsid w:val="12C772A5"/>
    <w:rsid w:val="12C86253"/>
    <w:rsid w:val="15060AC8"/>
    <w:rsid w:val="15675A4C"/>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81A7C72"/>
    <w:rsid w:val="583A4BD7"/>
    <w:rsid w:val="59C74B1F"/>
    <w:rsid w:val="5B86243B"/>
    <w:rsid w:val="611B6B1B"/>
    <w:rsid w:val="62C222C2"/>
    <w:rsid w:val="632D7C40"/>
    <w:rsid w:val="64133D6A"/>
    <w:rsid w:val="678E4F5D"/>
    <w:rsid w:val="680E122C"/>
    <w:rsid w:val="6A4E1D63"/>
    <w:rsid w:val="6A9615F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37603E"/>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2"/>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 w:type="character" w:customStyle="1" w:styleId="18">
    <w:name w:val="font21"/>
    <w:basedOn w:val="11"/>
    <w:uiPriority w:val="0"/>
    <w:rPr>
      <w:rFonts w:hint="default" w:ascii="Arial" w:hAnsi="Arial" w:cs="Arial"/>
      <w:color w:val="000000"/>
      <w:sz w:val="20"/>
      <w:szCs w:val="20"/>
      <w:u w:val="none"/>
    </w:rPr>
  </w:style>
  <w:style w:type="character" w:customStyle="1" w:styleId="19">
    <w:name w:val="font4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8504</Words>
  <Characters>8988</Characters>
  <Lines>0</Lines>
  <Paragraphs>0</Paragraphs>
  <TotalTime>0</TotalTime>
  <ScaleCrop>false</ScaleCrop>
  <LinksUpToDate>false</LinksUpToDate>
  <CharactersWithSpaces>9941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2024-07-15T09:24:59Z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