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（上颌窦内提升工具盒等一批医院公开挂网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七</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上颌窦内提升工具盒等一批</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上颌窦内提升工具盒等一批</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8"/>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625"/>
        <w:gridCol w:w="1590"/>
        <w:gridCol w:w="213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62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59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62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上颌窦内提升工具盒</w:t>
            </w:r>
          </w:p>
        </w:tc>
        <w:tc>
          <w:tcPr>
            <w:tcW w:w="159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1套</w:t>
            </w:r>
          </w:p>
        </w:tc>
        <w:tc>
          <w:tcPr>
            <w:tcW w:w="213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62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上颌窦外提升工具盒</w:t>
            </w:r>
          </w:p>
        </w:tc>
        <w:tc>
          <w:tcPr>
            <w:tcW w:w="159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1套</w:t>
            </w:r>
          </w:p>
        </w:tc>
        <w:tc>
          <w:tcPr>
            <w:tcW w:w="213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0.33</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p>
        </w:tc>
        <w:tc>
          <w:tcPr>
            <w:tcW w:w="262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自体骨取骨工具盒</w:t>
            </w:r>
          </w:p>
        </w:tc>
        <w:tc>
          <w:tcPr>
            <w:tcW w:w="159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1套</w:t>
            </w:r>
          </w:p>
        </w:tc>
        <w:tc>
          <w:tcPr>
            <w:tcW w:w="213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0.112</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w:t>
            </w:r>
          </w:p>
        </w:tc>
        <w:tc>
          <w:tcPr>
            <w:tcW w:w="262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笔试光固化机</w:t>
            </w:r>
          </w:p>
        </w:tc>
        <w:tc>
          <w:tcPr>
            <w:tcW w:w="159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5台</w:t>
            </w:r>
          </w:p>
        </w:tc>
        <w:tc>
          <w:tcPr>
            <w:tcW w:w="213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5</w:t>
            </w:r>
          </w:p>
        </w:tc>
        <w:tc>
          <w:tcPr>
            <w:tcW w:w="262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根管牙周全能王</w:t>
            </w:r>
          </w:p>
        </w:tc>
        <w:tc>
          <w:tcPr>
            <w:tcW w:w="159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1台</w:t>
            </w:r>
          </w:p>
        </w:tc>
        <w:tc>
          <w:tcPr>
            <w:tcW w:w="213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0.498</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5173" w:type="dxa"/>
            <w:gridSpan w:val="3"/>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合计</w:t>
            </w:r>
          </w:p>
        </w:tc>
        <w:tc>
          <w:tcPr>
            <w:tcW w:w="213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2.44</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（一）上颌窦内提升工具盒（1套）</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1.提升水管≥1个</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2.深度测量仪≥1个</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3.骨粉输送头≥1个</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4.骨粉输送器≥1个</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5.骨粉挤压器≥1个</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6.液压提升上颌窦粘膜工具∅2.8-∅4.1CAS钻扩孔</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7.上颌窦手术时可形成圆锥形骨盖，可安全提升粘膜</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8.在低速~高速中拥有良好的切割力，在低速模式下可以采取自体骨</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9.配置止动环的结构</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10.与种植体类型是否为柱形或锥形无关可根据骨质选择最终钻的直径</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11.转速：≥400-800rpm</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12.止动环上有数字显示：连接钻或器械时前端突出的长度</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13.按照颜色区分长度及型号</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14.钻及止动环的使用次数；≥50次</w:t>
      </w:r>
    </w:p>
    <w:p>
      <w:pPr>
        <w:spacing w:line="360" w:lineRule="auto"/>
        <w:ind w:firstLine="480" w:firstLineChars="200"/>
        <w:rPr>
          <w:rFonts w:hint="eastAsia" w:asciiTheme="minorEastAsia" w:hAnsiTheme="minorEastAsia" w:eastAsiaTheme="minorEastAsia" w:cstheme="minorEastAsia"/>
          <w:bCs/>
          <w:color w:val="FF0000"/>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15.</w:t>
      </w:r>
      <w:r>
        <w:rPr>
          <w:rFonts w:hint="eastAsia" w:asciiTheme="minorEastAsia" w:hAnsiTheme="minorEastAsia" w:eastAsiaTheme="minorEastAsia" w:cstheme="minorEastAsia"/>
          <w:bCs/>
          <w:color w:val="FF0000"/>
          <w:kern w:val="0"/>
          <w:sz w:val="24"/>
          <w:szCs w:val="24"/>
          <w:lang w:val="en-US" w:eastAsia="zh-CN" w:bidi="ar-SA"/>
        </w:rPr>
        <w:t>SNBCH30:∅3.1/∅3.3CAS钻扩孔后使用</w:t>
      </w:r>
    </w:p>
    <w:p>
      <w:pPr>
        <w:spacing w:line="360" w:lineRule="auto"/>
        <w:ind w:firstLine="480" w:firstLineChars="200"/>
        <w:rPr>
          <w:rFonts w:hint="eastAsia" w:asciiTheme="minorEastAsia" w:hAnsiTheme="minorEastAsia" w:eastAsiaTheme="minorEastAsia" w:cstheme="minorEastAsia"/>
          <w:bCs/>
          <w:color w:val="FF0000"/>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16. </w:t>
      </w:r>
      <w:r>
        <w:rPr>
          <w:rFonts w:hint="eastAsia" w:asciiTheme="minorEastAsia" w:hAnsiTheme="minorEastAsia" w:eastAsiaTheme="minorEastAsia" w:cstheme="minorEastAsia"/>
          <w:bCs/>
          <w:color w:val="FF0000"/>
          <w:kern w:val="0"/>
          <w:sz w:val="24"/>
          <w:szCs w:val="24"/>
          <w:lang w:val="en-US" w:eastAsia="zh-CN" w:bidi="ar-SA"/>
        </w:rPr>
        <w:t>SNBCH35:∅3.6/∅3.8/∅4.1CAS钻扩孔后使用</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17.骨粉放置标记线后端，然后使用骨粉挤压器将骨粉分批反复填充完毕</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18.骨粉最大填充量≥0.15cc</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19.骨粉填充至上颌窦内部使用</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20.定位钻可标记植体植入位置</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21.定位钻侧面有切割刃，拔牙及侧骨壁切削时使用</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22.定位钻尖端2mm处有标记线</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23.麻花钻扩孔时保留剩余骨高度≥1mm</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24.麻花钻配止环</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25.麻花钻转尖：≥0.6mm</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26.骨粉扩散器可连接种植机后扩散骨粉</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27.骨粉扩散器可连接止动环</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（二）上颌窦外提升工具盒（1套）</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1、工具盒1个</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2、自停套 钻孔深度≥8mm 高度≥10.6mm 1个</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3、自停套 钻孔深度≥6mm 高度≥12.6mm 1个</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4、自停套 钻孔深度≥4mm 高度≥14.6mm 1个</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5、自停套 钻孔深度≥4mm 高度≥16mm  1个</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6、上颌度外提升工具≥4个</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7、手术用钻≥6个</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（三）自体骨取骨工具盒（1套）</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FF0000"/>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w:t>
      </w:r>
      <w:r>
        <w:rPr>
          <w:rFonts w:hint="eastAsia" w:asciiTheme="minorEastAsia" w:hAnsiTheme="minorEastAsia" w:eastAsiaTheme="minorEastAsia" w:cstheme="minorEastAsia"/>
          <w:bCs/>
          <w:color w:val="FF0000"/>
          <w:kern w:val="0"/>
          <w:sz w:val="24"/>
          <w:szCs w:val="24"/>
          <w:lang w:val="en-US" w:eastAsia="zh-CN" w:bidi="ar-SA"/>
        </w:rPr>
        <w:t>自研磨型III型 1号，≥φ3.0*34mm ，带弹簧装置带外罩。</w:t>
      </w:r>
    </w:p>
    <w:p>
      <w:pPr>
        <w:spacing w:line="360" w:lineRule="auto"/>
        <w:ind w:firstLine="480" w:firstLineChars="200"/>
        <w:rPr>
          <w:rFonts w:hint="eastAsia" w:asciiTheme="minorEastAsia" w:hAnsiTheme="minorEastAsia" w:eastAsiaTheme="minorEastAsia" w:cstheme="minorEastAsia"/>
          <w:bCs/>
          <w:color w:val="FF0000"/>
          <w:kern w:val="0"/>
          <w:sz w:val="24"/>
          <w:szCs w:val="24"/>
          <w:lang w:val="en-US" w:eastAsia="zh-CN" w:bidi="ar-SA"/>
        </w:rPr>
      </w:pPr>
      <w:r>
        <w:rPr>
          <w:rFonts w:hint="eastAsia" w:asciiTheme="minorEastAsia" w:hAnsiTheme="minorEastAsia" w:eastAsiaTheme="minorEastAsia" w:cstheme="minorEastAsia"/>
          <w:bCs/>
          <w:color w:val="FF0000"/>
          <w:kern w:val="0"/>
          <w:sz w:val="24"/>
          <w:szCs w:val="24"/>
          <w:lang w:val="en-US" w:eastAsia="zh-CN" w:bidi="ar-SA"/>
        </w:rPr>
        <w:t>2、自研磨型III型 2号，≥φ4.0*34 mm，带弹簧装置带外罩。</w:t>
      </w:r>
    </w:p>
    <w:p>
      <w:pPr>
        <w:spacing w:line="360" w:lineRule="auto"/>
        <w:ind w:firstLine="480" w:firstLineChars="200"/>
        <w:rPr>
          <w:rFonts w:hint="eastAsia" w:asciiTheme="minorEastAsia" w:hAnsiTheme="minorEastAsia" w:eastAsiaTheme="minorEastAsia" w:cstheme="minorEastAsia"/>
          <w:bCs/>
          <w:color w:val="FF0000"/>
          <w:kern w:val="0"/>
          <w:sz w:val="24"/>
          <w:szCs w:val="24"/>
          <w:lang w:val="en-US" w:eastAsia="zh-CN" w:bidi="ar-SA"/>
        </w:rPr>
      </w:pPr>
      <w:r>
        <w:rPr>
          <w:rFonts w:hint="eastAsia" w:asciiTheme="minorEastAsia" w:hAnsiTheme="minorEastAsia" w:eastAsiaTheme="minorEastAsia" w:cstheme="minorEastAsia"/>
          <w:bCs/>
          <w:color w:val="FF0000"/>
          <w:kern w:val="0"/>
          <w:sz w:val="24"/>
          <w:szCs w:val="24"/>
          <w:lang w:val="en-US" w:eastAsia="zh-CN" w:bidi="ar-SA"/>
        </w:rPr>
        <w:t>3、自研磨型III型 3号，≥φ5.0*34mm ，带弹簧装置带外罩。</w:t>
      </w:r>
    </w:p>
    <w:p>
      <w:pPr>
        <w:spacing w:line="360" w:lineRule="auto"/>
        <w:ind w:firstLine="480" w:firstLineChars="200"/>
        <w:rPr>
          <w:rFonts w:hint="eastAsia" w:asciiTheme="minorEastAsia" w:hAnsiTheme="minorEastAsia" w:eastAsiaTheme="minorEastAsia" w:cstheme="minorEastAsia"/>
          <w:bCs/>
          <w:color w:val="FF0000"/>
          <w:kern w:val="0"/>
          <w:sz w:val="24"/>
          <w:szCs w:val="24"/>
          <w:lang w:val="en-US" w:eastAsia="zh-CN" w:bidi="ar-SA"/>
        </w:rPr>
      </w:pPr>
      <w:r>
        <w:rPr>
          <w:rFonts w:hint="eastAsia" w:asciiTheme="minorEastAsia" w:hAnsiTheme="minorEastAsia" w:eastAsiaTheme="minorEastAsia" w:cstheme="minorEastAsia"/>
          <w:bCs/>
          <w:color w:val="FF0000"/>
          <w:kern w:val="0"/>
          <w:sz w:val="24"/>
          <w:szCs w:val="24"/>
          <w:lang w:val="en-US" w:eastAsia="zh-CN" w:bidi="ar-SA"/>
        </w:rPr>
        <w:t>4、自研磨型III型 4号，≥φ6.0*34mm，带弹簧装置带外罩。</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 材料为T08/T04。其硬度为48HRC—62HRC。应有良好的耐腐蚀性能</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6、带弹簧装置带外罩，取骨钻表面应光滑、刃口锋利无缺损，周边无毛刺。</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7、可用于口腔种植手术过程中，制备与所用型号种植体相匹配的种植窝洞。</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8、头部优化设计，磨出的骨组织细腻均匀，无尖锐颗粒</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9、骨组织收集在车针空腔中，不易散落，便于医生收集</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10、取出的骨组织已混合血液，无需混合生理盐水即可使用</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11、车针定位准确，不会打滑</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（四）笔试光固化机（5台）</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1.设备光强输出波长为≥385nm-515nm，可聚合绝大部分牙科光固化材料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2.可输出四挡光强：</w:t>
      </w:r>
      <w:r>
        <w:rPr>
          <w:rFonts w:hint="eastAsia" w:asciiTheme="minorEastAsia" w:hAnsiTheme="minorEastAsia" w:eastAsiaTheme="minorEastAsia" w:cstheme="minorEastAsia"/>
          <w:bCs/>
          <w:color w:val="FF0000"/>
          <w:kern w:val="0"/>
          <w:sz w:val="24"/>
          <w:szCs w:val="24"/>
          <w:lang w:val="en-US" w:eastAsia="zh-CN" w:bidi="ar-SA"/>
        </w:rPr>
        <w:t>≥2300mW/cm²、1500mW～2300mW/cm²、1000mW～1500mW/cm²、600 mW～1000mW/cm²</w:t>
      </w:r>
      <w:bookmarkStart w:id="4" w:name="_GoBack"/>
      <w:bookmarkEnd w:id="4"/>
      <w:r>
        <w:rPr>
          <w:rFonts w:hint="eastAsia" w:asciiTheme="minorEastAsia" w:hAnsiTheme="minorEastAsia" w:eastAsiaTheme="minorEastAsia" w:cstheme="minorEastAsia"/>
          <w:bCs/>
          <w:color w:val="auto"/>
          <w:kern w:val="0"/>
          <w:sz w:val="24"/>
          <w:szCs w:val="24"/>
          <w:lang w:val="en-US" w:eastAsia="zh-CN" w:bidi="ar-SA"/>
        </w:rPr>
        <w:t>分别适用于极速固化、大块树脂深度固化、软启动和脉冲模式下有效固化防止树脂材料的应力收缩和龋齿检测，四挡光强皆可供医生自行设置固化时间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 强大动力支持：搭载≥1600mAh大容量电池，可支持≥1200次 3秒固化</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4.光强可视：搭载OLED屏幕，清晰显示模式、光强、固化时间及主机电量</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5.内置有6 种工作模式，分别为高效模式（M0，M1，M2） 软启动模式（RAMP）， 脉冲模式（PULSE），龋齿检测模式（Detect）。</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  ≥9mm厚超薄机头，轻松抵达后牙，保证近平行光输出</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 360°可旋转机头，轻松照射整个口腔</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8.机头一体化，坚固耐摔，光强由机头直接输出，减少光衰</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9.机头装置直径≥9.5mm的凸透镜，具有聚光作用，光学有效面积达≥70.8m㎡</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 蓝紫双色光：四灯珠分别为三颗蓝色 LED 灯，一颗紫色 LED 灯</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11.  尺寸：≥22 厘米 x 11 厘米 x 8 厘米±1 厘米 </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 内部电池：锂电池：DC 3.7V，1600mAh，±10%</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13. 适配器输入：单相，AC 220 V，±10%</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14.  适配器输出：5V 1A</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15.  额定频率：50Hz，±1Hz</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16. 输入功率：≥0.4A</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（五）根管牙周全能王（1台）</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1.自动供水模式下可以使用双氧水、次氯酸钠、洗必泰等专用药液，提高临床治疗效果。</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2.采用全自动频率跟踪系统，工作时，实时反馈工作尖负载，实现实时频率跟踪，保持在最佳工作状态，机器性能更稳定。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3工作过程采用微电脑全自动控制，操作方便简洁，效率高。</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4.根据工况实时调整输出功率，保证功率输出稳定、高效。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5.接插式手柄，带LED灯，操作视野清晰。</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6.手柄能耐≥134℃高温和≥0.22Mpa高压消毒。</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7.小巧机身，不占空间，双水路选择（外接水/水瓶供水），适配更多工作场景。</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 拥有清洁模式。</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9.电源输入：AC220V-240V  50Hz    输入功率：15VA~50VA</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10.输出的尖端主振动偏移：1um~90um</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11.输出的尖端振动频率：28kHz±3kHz</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12.输出的半偏移力：0.1N～2N</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13.尖端输出功率：3W～20W</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14.主机保险：T0.5AL250V</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15.进水压力:0.1bar~5bar(0.01MPA~0.5MPA)</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16.运行模式：连续运行</w:t>
      </w:r>
    </w:p>
    <w:p>
      <w:pPr>
        <w:rPr>
          <w:rFonts w:hint="eastAsia"/>
          <w:lang w:val="en-US" w:eastAsia="zh-CN"/>
        </w:rPr>
      </w:pP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3年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上颌窦内提升工具盒等一批</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上颌窦内提升工具盒等一批</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上颌窦内提升工具盒等一批</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86F75C9"/>
    <w:rsid w:val="0A3F4F3C"/>
    <w:rsid w:val="0A8118BC"/>
    <w:rsid w:val="0E331420"/>
    <w:rsid w:val="0EDD1643"/>
    <w:rsid w:val="0FB9029C"/>
    <w:rsid w:val="10914EF9"/>
    <w:rsid w:val="12080B62"/>
    <w:rsid w:val="12994AC5"/>
    <w:rsid w:val="129F447F"/>
    <w:rsid w:val="12C86253"/>
    <w:rsid w:val="15060AC8"/>
    <w:rsid w:val="15675A4C"/>
    <w:rsid w:val="17F91BB8"/>
    <w:rsid w:val="1AF56B46"/>
    <w:rsid w:val="1E79119D"/>
    <w:rsid w:val="1F334F58"/>
    <w:rsid w:val="1F796B24"/>
    <w:rsid w:val="1FE73549"/>
    <w:rsid w:val="2038045E"/>
    <w:rsid w:val="20B41DA7"/>
    <w:rsid w:val="272B6E6C"/>
    <w:rsid w:val="27CF2BB7"/>
    <w:rsid w:val="28E81B29"/>
    <w:rsid w:val="29B45A41"/>
    <w:rsid w:val="2C0A2E19"/>
    <w:rsid w:val="2C3C24C6"/>
    <w:rsid w:val="2C7642D0"/>
    <w:rsid w:val="2DD77C64"/>
    <w:rsid w:val="2DDA1E78"/>
    <w:rsid w:val="2DE00B8C"/>
    <w:rsid w:val="2EAC037F"/>
    <w:rsid w:val="2EB67A5C"/>
    <w:rsid w:val="302741D2"/>
    <w:rsid w:val="308B184D"/>
    <w:rsid w:val="33384C93"/>
    <w:rsid w:val="340F06E9"/>
    <w:rsid w:val="372F7378"/>
    <w:rsid w:val="39182A16"/>
    <w:rsid w:val="397348CD"/>
    <w:rsid w:val="3B3B544D"/>
    <w:rsid w:val="3B654F2B"/>
    <w:rsid w:val="3BB72BAE"/>
    <w:rsid w:val="3C8A61A4"/>
    <w:rsid w:val="3D5E17FF"/>
    <w:rsid w:val="3E1F0DA4"/>
    <w:rsid w:val="3E584E51"/>
    <w:rsid w:val="3EBE1ADE"/>
    <w:rsid w:val="403B4B34"/>
    <w:rsid w:val="414D7889"/>
    <w:rsid w:val="41BB0BAE"/>
    <w:rsid w:val="429A4992"/>
    <w:rsid w:val="435B161D"/>
    <w:rsid w:val="43B25DAC"/>
    <w:rsid w:val="44771DFD"/>
    <w:rsid w:val="45D569C3"/>
    <w:rsid w:val="4AEE1A11"/>
    <w:rsid w:val="4B7F39F4"/>
    <w:rsid w:val="4BAE646F"/>
    <w:rsid w:val="4CAC1559"/>
    <w:rsid w:val="4D754257"/>
    <w:rsid w:val="4DCD6AB3"/>
    <w:rsid w:val="50216DCD"/>
    <w:rsid w:val="50540C20"/>
    <w:rsid w:val="51AC28BD"/>
    <w:rsid w:val="581A7C72"/>
    <w:rsid w:val="583A4BD7"/>
    <w:rsid w:val="589F53A5"/>
    <w:rsid w:val="59C74B1F"/>
    <w:rsid w:val="611B6B1B"/>
    <w:rsid w:val="62C222C2"/>
    <w:rsid w:val="632D7C40"/>
    <w:rsid w:val="64133D6A"/>
    <w:rsid w:val="678E4F5D"/>
    <w:rsid w:val="680E122C"/>
    <w:rsid w:val="69301670"/>
    <w:rsid w:val="6A4E1D63"/>
    <w:rsid w:val="6DE375E4"/>
    <w:rsid w:val="6E8E5287"/>
    <w:rsid w:val="6FBE332C"/>
    <w:rsid w:val="71554367"/>
    <w:rsid w:val="71584067"/>
    <w:rsid w:val="735201FF"/>
    <w:rsid w:val="737B50A4"/>
    <w:rsid w:val="73F40E72"/>
    <w:rsid w:val="74566F5C"/>
    <w:rsid w:val="750117A8"/>
    <w:rsid w:val="755B2270"/>
    <w:rsid w:val="76920D75"/>
    <w:rsid w:val="77423DFF"/>
    <w:rsid w:val="783B5EA9"/>
    <w:rsid w:val="784A1AFF"/>
    <w:rsid w:val="7937603E"/>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footer"/>
    <w:basedOn w:val="1"/>
    <w:autoRedefine/>
    <w:qFormat/>
    <w:uiPriority w:val="0"/>
    <w:pPr>
      <w:tabs>
        <w:tab w:val="center" w:pos="4153"/>
        <w:tab w:val="right" w:pos="8306"/>
      </w:tabs>
      <w:snapToGrid w:val="0"/>
      <w:jc w:val="left"/>
    </w:pPr>
    <w:rPr>
      <w:kern w:val="0"/>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rPr>
      <w:sz w:val="24"/>
    </w:rPr>
  </w:style>
  <w:style w:type="paragraph" w:styleId="8">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8"/>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 w:type="character" w:customStyle="1" w:styleId="17">
    <w:name w:val="font21"/>
    <w:basedOn w:val="10"/>
    <w:qFormat/>
    <w:uiPriority w:val="0"/>
    <w:rPr>
      <w:rFonts w:hint="default" w:ascii="Arial" w:hAnsi="Arial" w:cs="Arial"/>
      <w:color w:val="000000"/>
      <w:sz w:val="20"/>
      <w:szCs w:val="20"/>
      <w:u w:val="none"/>
    </w:rPr>
  </w:style>
  <w:style w:type="character" w:customStyle="1" w:styleId="18">
    <w:name w:val="font41"/>
    <w:basedOn w:val="10"/>
    <w:uiPriority w:val="0"/>
    <w:rPr>
      <w:rFonts w:hint="eastAsia" w:ascii="宋体" w:hAnsi="宋体" w:eastAsia="宋体" w:cs="宋体"/>
      <w:color w:val="000000"/>
      <w:sz w:val="20"/>
      <w:szCs w:val="20"/>
      <w:u w:val="none"/>
    </w:rPr>
  </w:style>
  <w:style w:type="character" w:customStyle="1" w:styleId="19">
    <w:name w:val="font11"/>
    <w:basedOn w:val="10"/>
    <w:qFormat/>
    <w:uiPriority w:val="0"/>
    <w:rPr>
      <w:rFonts w:hint="eastAsia" w:ascii="宋体" w:hAnsi="宋体" w:eastAsia="宋体" w:cs="宋体"/>
      <w:color w:val="000000"/>
      <w:sz w:val="22"/>
      <w:szCs w:val="22"/>
      <w:u w:val="none"/>
    </w:rPr>
  </w:style>
  <w:style w:type="character" w:customStyle="1" w:styleId="20">
    <w:name w:val="font31"/>
    <w:basedOn w:val="10"/>
    <w:qFormat/>
    <w:uiPriority w:val="0"/>
    <w:rPr>
      <w:rFonts w:hint="eastAsia" w:ascii="宋体" w:hAnsi="宋体" w:eastAsia="宋体" w:cs="宋体"/>
      <w:color w:val="000000"/>
      <w:sz w:val="20"/>
      <w:szCs w:val="20"/>
      <w:u w:val="none"/>
    </w:rPr>
  </w:style>
  <w:style w:type="character" w:customStyle="1" w:styleId="21">
    <w:name w:val="font6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9078</Words>
  <Characters>9851</Characters>
  <Lines>0</Lines>
  <Paragraphs>0</Paragraphs>
  <TotalTime>0</TotalTime>
  <ScaleCrop>false</ScaleCrop>
  <LinksUpToDate>false</LinksUpToDate>
  <CharactersWithSpaces>10842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2024-07-12T08:20:54Z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