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napToGrid w:val="0"/>
        <w:jc w:val="center"/>
        <w:rPr>
          <w:rFonts w:hint="eastAsia" w:ascii="Arial" w:hAnsi="Arial" w:eastAsia="方正小标宋简体" w:cs="Arial"/>
          <w:color w:val="auto"/>
          <w:sz w:val="72"/>
          <w:szCs w:val="72"/>
          <w:lang w:eastAsia="zh-CN"/>
        </w:rPr>
      </w:pPr>
      <w:bookmarkStart w:id="0" w:name="_Toc16523570"/>
    </w:p>
    <w:p>
      <w:pPr>
        <w:pStyle w:val="13"/>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3"/>
        <w:snapToGrid w:val="0"/>
        <w:jc w:val="center"/>
        <w:rPr>
          <w:rFonts w:ascii="Arial" w:hAnsi="Arial" w:cs="Arial"/>
          <w:sz w:val="32"/>
          <w:szCs w:val="32"/>
        </w:rPr>
      </w:pPr>
    </w:p>
    <w:p>
      <w:pPr>
        <w:pStyle w:val="13"/>
        <w:snapToGrid w:val="0"/>
        <w:jc w:val="center"/>
        <w:rPr>
          <w:rFonts w:ascii="Arial" w:hAnsi="Arial" w:cs="Arial"/>
          <w:sz w:val="32"/>
          <w:szCs w:val="32"/>
        </w:rPr>
      </w:pPr>
    </w:p>
    <w:p>
      <w:pPr>
        <w:pStyle w:val="13"/>
        <w:snapToGrid w:val="0"/>
        <w:jc w:val="center"/>
        <w:rPr>
          <w:rFonts w:ascii="Arial" w:hAnsi="Arial" w:cs="Arial"/>
          <w:sz w:val="32"/>
          <w:szCs w:val="32"/>
        </w:rPr>
      </w:pPr>
    </w:p>
    <w:p>
      <w:pPr>
        <w:spacing w:line="360" w:lineRule="auto"/>
        <w:rPr>
          <w:rFonts w:hint="eastAsia"/>
          <w:bCs/>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（等离子电切镜等设备医院公开挂网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七</w:t>
      </w:r>
      <w:r>
        <w:rPr>
          <w:rFonts w:hint="eastAsia" w:ascii="宋体" w:hAnsi="宋体" w:cs="宋体"/>
          <w:bCs/>
          <w:sz w:val="32"/>
          <w:szCs w:val="32"/>
        </w:rPr>
        <w:t>月</w:t>
      </w:r>
    </w:p>
    <w:p>
      <w:pPr>
        <w:pStyle w:val="3"/>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等离子电切镜等设备</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等离子电切镜等设备</w:t>
      </w:r>
      <w:r>
        <w:rPr>
          <w:rFonts w:hint="eastAsia" w:asciiTheme="minorEastAsia" w:hAnsiTheme="minorEastAsia" w:eastAsiaTheme="minorEastAsia" w:cstheme="minorEastAsia"/>
          <w:b w:val="0"/>
          <w:bCs/>
          <w:color w:val="auto"/>
          <w:sz w:val="24"/>
          <w:szCs w:val="24"/>
          <w:lang w:val="en-US" w:eastAsia="zh-CN"/>
        </w:rPr>
        <w:t>项目</w:t>
      </w:r>
    </w:p>
    <w:p>
      <w:pPr>
        <w:pStyle w:val="13"/>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4"/>
        <w:rPr>
          <w:rFonts w:hint="eastAsia"/>
          <w:lang w:val="en-US" w:eastAsia="zh-CN"/>
        </w:rPr>
      </w:pPr>
    </w:p>
    <w:p>
      <w:pPr>
        <w:pStyle w:val="14"/>
        <w:jc w:val="both"/>
        <w:rPr>
          <w:rFonts w:hint="default"/>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4"/>
        <w:rPr>
          <w:rFonts w:hint="eastAsia" w:ascii="宋体" w:hAnsi="宋体" w:cs="宋体"/>
          <w:b/>
          <w:bCs/>
          <w:color w:val="auto"/>
          <w:sz w:val="44"/>
          <w:szCs w:val="44"/>
          <w:lang w:val="en-US" w:eastAsia="zh-CN"/>
        </w:rPr>
      </w:pPr>
    </w:p>
    <w:p>
      <w:pPr>
        <w:pStyle w:val="6"/>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2"/>
        <w:rPr>
          <w:rFonts w:hint="eastAsia"/>
          <w:lang w:val="en-US" w:eastAsia="zh-CN"/>
        </w:rPr>
      </w:pPr>
    </w:p>
    <w:p>
      <w:pPr>
        <w:pStyle w:val="3"/>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内窥镜</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4</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59400</w:t>
            </w:r>
          </w:p>
        </w:tc>
        <w:tc>
          <w:tcPr>
            <w:tcW w:w="2006" w:type="dxa"/>
            <w:vMerge w:val="restart"/>
            <w:tcBorders>
              <w:top w:val="single" w:color="000000" w:sz="6" w:space="0"/>
              <w:left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工作把手</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3</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44400</w:t>
            </w:r>
          </w:p>
        </w:tc>
        <w:tc>
          <w:tcPr>
            <w:tcW w:w="2006"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内鞘</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3</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7350</w:t>
            </w:r>
          </w:p>
        </w:tc>
        <w:tc>
          <w:tcPr>
            <w:tcW w:w="2006"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外鞘</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3</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885</w:t>
            </w:r>
          </w:p>
        </w:tc>
        <w:tc>
          <w:tcPr>
            <w:tcW w:w="2006"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闭孔器</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3</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4500</w:t>
            </w:r>
          </w:p>
        </w:tc>
        <w:tc>
          <w:tcPr>
            <w:tcW w:w="2006"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冲洗接头</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3</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960</w:t>
            </w:r>
          </w:p>
        </w:tc>
        <w:tc>
          <w:tcPr>
            <w:tcW w:w="2006"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內鞘接头</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3</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1800</w:t>
            </w:r>
          </w:p>
        </w:tc>
        <w:tc>
          <w:tcPr>
            <w:tcW w:w="2006"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高频双极线</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3</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705</w:t>
            </w:r>
          </w:p>
        </w:tc>
        <w:tc>
          <w:tcPr>
            <w:tcW w:w="2006" w:type="dxa"/>
            <w:vMerge w:val="continue"/>
            <w:tcBorders>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bidi="ar-SA"/>
              </w:rPr>
              <w:t>120000</w:t>
            </w:r>
            <w:bookmarkStart w:id="5" w:name="_GoBack"/>
            <w:bookmarkEnd w:id="5"/>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1、电切镜：</w:t>
      </w:r>
      <w:r>
        <w:rPr>
          <w:rFonts w:hint="eastAsia" w:ascii="宋体" w:hAnsi="宋体" w:eastAsia="宋体" w:cs="宋体"/>
          <w:color w:val="auto"/>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1-1、内窥镜：</w:t>
      </w:r>
      <w:r>
        <w:rPr>
          <w:rFonts w:hint="eastAsia" w:ascii="宋体" w:hAnsi="宋体" w:eastAsia="宋体" w:cs="宋体"/>
          <w:color w:val="FF0000"/>
          <w:sz w:val="24"/>
          <w:szCs w:val="24"/>
          <w:lang w:val="en-US" w:eastAsia="zh-CN"/>
        </w:rPr>
        <w:t>镜体外径2.9 mm --4 mm，工作长度280 mm--310 mm，</w:t>
      </w:r>
      <w:r>
        <w:rPr>
          <w:rFonts w:hint="eastAsia" w:ascii="宋体" w:hAnsi="宋体" w:eastAsia="宋体" w:cs="宋体"/>
          <w:color w:val="auto"/>
          <w:sz w:val="24"/>
          <w:szCs w:val="24"/>
          <w:lang w:val="en-US" w:eastAsia="zh-CN"/>
        </w:rPr>
        <w:t>视向角12度或30度可选，视场角不小于60度，</w:t>
      </w:r>
      <w:r>
        <w:rPr>
          <w:rFonts w:hint="eastAsia" w:ascii="宋体" w:hAnsi="宋体" w:eastAsia="宋体" w:cs="宋体"/>
          <w:color w:val="FF0000"/>
          <w:sz w:val="24"/>
          <w:szCs w:val="24"/>
          <w:lang w:val="en-US" w:eastAsia="zh-CN"/>
        </w:rPr>
        <w:t>光学工作距15 mm --20mm</w:t>
      </w:r>
      <w:r>
        <w:rPr>
          <w:rFonts w:hint="eastAsia" w:ascii="宋体" w:hAnsi="宋体" w:eastAsia="宋体" w:cs="宋体"/>
          <w:color w:val="auto"/>
          <w:sz w:val="24"/>
          <w:szCs w:val="24"/>
          <w:lang w:val="en-US" w:eastAsia="zh-CN"/>
        </w:rPr>
        <w:t>，有效景深范围3-100mm，视场内装有三角形方向标，与工作把手安装带定位针，可高温高压消毒、可低温等离子消毒；</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1-2、工作把手：被动式，单双极一体式，滑块工作距离不小于24mm；</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1-3、内鞘：周径不大于25Fr，鞘唇外径8毫米-8.2毫米，进出水持续灌流；</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1-4、外鞘：周径不大于27Fr，最大插入部外径8.5毫米-8.8毫米，可360°旋转；</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1-5、闭孔器：可在弯曲活动式与直头间切换；</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1-6、冲洗接头：需具有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1-7、内鞘接头:双阀门式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1-8、高频双极线：双极式，长度不小于2800mm；</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、以上所有配套附件必须与我院手术室现有</w:t>
      </w:r>
      <w:r>
        <w:rPr>
          <w:rFonts w:hint="eastAsia" w:ascii="宋体" w:hAnsi="宋体" w:eastAsia="宋体" w:cs="宋体"/>
          <w:color w:val="FF0000"/>
          <w:sz w:val="24"/>
          <w:szCs w:val="24"/>
          <w:lang w:val="en-US" w:eastAsia="zh-CN"/>
        </w:rPr>
        <w:t>奥林巴斯主机</w:t>
      </w:r>
      <w:bookmarkStart w:id="1" w:name="_Hlk170901585"/>
      <w:r>
        <w:rPr>
          <w:rFonts w:hint="eastAsia" w:ascii="宋体" w:hAnsi="宋体" w:eastAsia="宋体" w:cs="宋体"/>
        </w:rPr>
        <w:t>（UES-40）</w:t>
      </w:r>
      <w:bookmarkEnd w:id="1"/>
      <w:r>
        <w:rPr>
          <w:rFonts w:hint="eastAsia" w:ascii="宋体" w:hAnsi="宋体" w:eastAsia="宋体" w:cs="宋体"/>
          <w:color w:val="FF0000"/>
          <w:sz w:val="24"/>
          <w:szCs w:val="24"/>
          <w:lang w:val="en-US" w:eastAsia="zh-CN"/>
        </w:rPr>
        <w:t>兼容匹配。</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2、电切镜手术电极：（配套耗材）</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2-1、电切环头部形状有环状、钩针状、滚球状、蘑菇头状等可选择，电切环头部材质为贵金属。</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2-2、适用范围可用于经尿道前列腺电切术，经尿道前列腺剜除术，膀胱肿瘤电切术等；也可用于子宫肌瘤电切术，子宫息肉电切术，子宫纵隔电切术，宫颈电切术等类似手术环境下人体组织的电切和电凝。</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2-3、匹配性</w:t>
      </w:r>
      <w:r>
        <w:rPr>
          <w:rFonts w:hint="eastAsia" w:ascii="宋体" w:hAnsi="宋体" w:cs="宋体"/>
          <w:color w:val="auto"/>
          <w:sz w:val="24"/>
          <w:szCs w:val="24"/>
          <w:lang w:val="en-US" w:eastAsia="zh-CN"/>
        </w:rPr>
        <w:t>：</w:t>
      </w:r>
      <w:r>
        <w:rPr>
          <w:rFonts w:hint="eastAsia" w:ascii="宋体" w:hAnsi="宋体" w:eastAsia="宋体" w:cs="宋体"/>
          <w:color w:val="FF0000"/>
          <w:sz w:val="24"/>
          <w:szCs w:val="24"/>
          <w:lang w:val="en-US" w:eastAsia="zh-CN"/>
        </w:rPr>
        <w:t>必须匹配我院手术室现有奥林巴斯电切镜及等离子主机</w:t>
      </w:r>
      <w:r>
        <w:rPr>
          <w:rFonts w:hint="eastAsia" w:ascii="宋体" w:hAnsi="宋体" w:eastAsia="宋体" w:cs="宋体"/>
        </w:rPr>
        <w:t>（UES-40）</w:t>
      </w:r>
      <w:r>
        <w:rPr>
          <w:rFonts w:hint="eastAsia" w:ascii="宋体" w:hAnsi="宋体" w:eastAsia="宋体" w:cs="宋体"/>
          <w:color w:val="FF0000"/>
          <w:sz w:val="24"/>
          <w:szCs w:val="24"/>
          <w:lang w:val="en-US" w:eastAsia="zh-CN"/>
        </w:rPr>
        <w:t>使用。</w:t>
      </w:r>
      <w:r>
        <w:rPr>
          <w:rFonts w:hint="eastAsia" w:ascii="宋体" w:hAnsi="宋体" w:eastAsia="宋体" w:cs="宋体"/>
          <w:color w:val="auto"/>
          <w:sz w:val="24"/>
          <w:szCs w:val="24"/>
          <w:lang w:val="en-US" w:eastAsia="zh-CN"/>
        </w:rPr>
        <w:t>2-4、灭菌方式</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可低温等离子灭菌。</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2-5、电气安全</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应符合GB 9706.1-2007、GB 9706.4-2009、GB 9706.19-2000的要求。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2-6、电磁兼容</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应符合YY 0505-2012以及GB 9706.4-2009第36章的要求。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2-7、注册证类型</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电极需三类单独注册证聚光，光源≥18组</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8、耗材报价要求：不得高于湖南省招采平台中标价，不得高于下表限价，具体价格由评审委员会负责现场谈判</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配套耗材：</w:t>
      </w:r>
    </w:p>
    <w:tbl>
      <w:tblPr>
        <w:tblStyle w:val="10"/>
        <w:tblW w:w="68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83"/>
        <w:gridCol w:w="2307"/>
        <w:gridCol w:w="20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专机专用耗材名称</w:t>
            </w:r>
          </w:p>
        </w:tc>
        <w:tc>
          <w:tcPr>
            <w:tcW w:w="2307"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功能描述</w:t>
            </w: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限价单价（</w:t>
            </w:r>
            <w:r>
              <w:rPr>
                <w:rFonts w:hint="eastAsia" w:asciiTheme="minorEastAsia" w:hAnsiTheme="minorEastAsia" w:cstheme="minorEastAsia"/>
                <w:b w:val="0"/>
                <w:bCs w:val="0"/>
                <w:color w:val="000000" w:themeColor="text1"/>
                <w:kern w:val="0"/>
                <w:sz w:val="24"/>
                <w:szCs w:val="24"/>
                <w:lang w:val="en-US" w:eastAsia="zh-CN"/>
                <w14:textFill>
                  <w14:solidFill>
                    <w14:schemeClr w14:val="tx1"/>
                  </w14:solidFill>
                </w14:textFill>
              </w:rPr>
              <w:t>个</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电切镜手术电极</w:t>
            </w:r>
          </w:p>
        </w:tc>
        <w:tc>
          <w:tcPr>
            <w:tcW w:w="230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2"/>
                <w:sz w:val="24"/>
                <w:szCs w:val="24"/>
                <w:u w:val="none"/>
                <w:lang w:val="en-US" w:eastAsia="zh-CN" w:bidi="ar-SA"/>
                <w14:textFill>
                  <w14:solidFill>
                    <w14:schemeClr w14:val="tx1"/>
                  </w14:solidFill>
                </w14:textFill>
              </w:rPr>
              <w:t>环状</w:t>
            </w: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heme="minorEastAsia" w:hAnsiTheme="minorEastAsia" w:eastAsiaTheme="minorEastAsia" w:cstheme="minorEastAsia"/>
                <w:b w:val="0"/>
                <w:bCs w:val="0"/>
                <w:i w:val="0"/>
                <w:i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z w:val="24"/>
                <w:szCs w:val="24"/>
                <w:u w:val="none"/>
                <w:lang w:val="en-US" w:eastAsia="zh-CN"/>
                <w14:textFill>
                  <w14:solidFill>
                    <w14:schemeClr w14:val="tx1"/>
                  </w14:solidFill>
                </w14:textFill>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电切镜手术电极</w:t>
            </w:r>
          </w:p>
        </w:tc>
        <w:tc>
          <w:tcPr>
            <w:tcW w:w="230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2"/>
                <w:sz w:val="24"/>
                <w:szCs w:val="24"/>
                <w:u w:val="none"/>
                <w:lang w:val="en-US" w:eastAsia="zh-CN" w:bidi="ar-SA"/>
                <w14:textFill>
                  <w14:solidFill>
                    <w14:schemeClr w14:val="tx1"/>
                  </w14:solidFill>
                </w14:textFill>
              </w:rPr>
              <w:t>钩状</w:t>
            </w: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z w:val="24"/>
                <w:szCs w:val="24"/>
                <w:u w:val="none"/>
                <w:lang w:val="en-US" w:eastAsia="zh-CN"/>
                <w14:textFill>
                  <w14:solidFill>
                    <w14:schemeClr w14:val="tx1"/>
                  </w14:solidFill>
                </w14:textFill>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电切镜手术电极</w:t>
            </w:r>
          </w:p>
        </w:tc>
        <w:tc>
          <w:tcPr>
            <w:tcW w:w="2307"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2"/>
                <w:sz w:val="24"/>
                <w:szCs w:val="24"/>
                <w:u w:val="none"/>
                <w:lang w:val="en-US" w:eastAsia="zh-CN" w:bidi="ar-SA"/>
                <w14:textFill>
                  <w14:solidFill>
                    <w14:schemeClr w14:val="tx1"/>
                  </w14:solidFill>
                </w14:textFill>
              </w:rPr>
              <w:t>滚球状</w:t>
            </w: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z w:val="24"/>
                <w:szCs w:val="24"/>
                <w:u w:val="none"/>
                <w:lang w:val="en-US" w:eastAsia="zh-CN"/>
                <w14:textFill>
                  <w14:solidFill>
                    <w14:schemeClr w14:val="tx1"/>
                  </w14:solidFill>
                </w14:textFill>
              </w:rPr>
              <w:t>1600</w:t>
            </w:r>
          </w:p>
        </w:tc>
      </w:tr>
    </w:tbl>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商务参数</w:t>
      </w:r>
      <w:r>
        <w:rPr>
          <w:rFonts w:hint="eastAsia" w:ascii="宋体" w:hAnsi="宋体" w:eastAsia="宋体" w:cs="宋体"/>
          <w:color w:val="auto"/>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360" w:lineRule="exact"/>
        <w:ind w:firstLine="6720" w:firstLineChars="2800"/>
        <w:jc w:val="righ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合同编号：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44"/>
          <w:szCs w:val="44"/>
          <w:lang w:val="en-US" w:eastAsia="zh-CN"/>
          <w14:textFill>
            <w14:solidFill>
              <w14:schemeClr w14:val="tx1"/>
            </w14:solidFill>
          </w14:textFill>
        </w:rPr>
        <w:t>医疗设备及专机专用耗材采购合同</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甲方（采购方）：</w:t>
      </w:r>
      <w:r>
        <w:rPr>
          <w:rFonts w:hint="eastAsia" w:ascii="宋体" w:hAnsi="宋体" w:eastAsia="宋体" w:cs="宋体"/>
          <w:color w:val="000000" w:themeColor="text1"/>
          <w:sz w:val="24"/>
          <w:szCs w:val="24"/>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360" w:lineRule="exact"/>
        <w:ind w:left="5040" w:hanging="4320" w:hangingChars="1800"/>
        <w:jc w:val="lef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甲方通过</w:t>
      </w:r>
      <w:r>
        <w:rPr>
          <w:rFonts w:hint="eastAsia" w:ascii="宋体" w:hAnsi="宋体" w:eastAsia="宋体" w:cs="宋体"/>
          <w:color w:val="000000" w:themeColor="text1"/>
          <w:sz w:val="24"/>
          <w:szCs w:val="24"/>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u w:val="single"/>
          <w:lang w:val="en-US" w:eastAsia="zh-CN"/>
          <w14:textFill>
            <w14:solidFill>
              <w14:schemeClr w14:val="tx1"/>
            </w14:solidFill>
          </w14:textFill>
        </w:rPr>
        <w:t>等离子电切镜等一批及专机专用耗材</w:t>
      </w:r>
      <w:r>
        <w:rPr>
          <w:rFonts w:hint="eastAsia" w:ascii="宋体" w:hAnsi="宋体" w:eastAsia="宋体" w:cs="宋体"/>
          <w:color w:val="000000" w:themeColor="text1"/>
          <w:sz w:val="24"/>
          <w:szCs w:val="24"/>
          <w:lang w:val="en-US" w:eastAsia="zh-CN"/>
          <w14:textFill>
            <w14:solidFill>
              <w14:schemeClr w14:val="tx1"/>
            </w14:solidFill>
          </w14:textFill>
        </w:rPr>
        <w:t>，乙方为成交供应商。根据《中华人民共和国民法典》《中华人民共和国政府采购法》等相关法律规定，甲乙双方在采购项目确定的基础上，就采购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u w:val="single"/>
          <w:lang w:val="en-US" w:eastAsia="zh-CN"/>
          <w14:textFill>
            <w14:solidFill>
              <w14:schemeClr w14:val="tx1"/>
            </w14:solidFill>
          </w14:textFill>
        </w:rPr>
        <w:t>等离子电切镜等一批及专机专用耗材</w:t>
      </w:r>
      <w:r>
        <w:rPr>
          <w:rFonts w:hint="eastAsia" w:ascii="宋体" w:hAnsi="宋体" w:eastAsia="宋体" w:cs="宋体"/>
          <w:color w:val="000000" w:themeColor="text1"/>
          <w:sz w:val="24"/>
          <w:szCs w:val="24"/>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lang w:val="en-US" w:eastAsia="zh-CN"/>
          <w14:textFill>
            <w14:solidFill>
              <w14:schemeClr w14:val="tx1"/>
            </w14:solidFill>
          </w14:textFill>
        </w:rPr>
        <w:t>采购内容</w:t>
      </w:r>
    </w:p>
    <w:p>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left="0" w:leftChars="0"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default" w:ascii="宋体" w:hAnsi="宋体" w:eastAsia="宋体" w:cs="宋体"/>
          <w:b/>
          <w:bCs/>
          <w:color w:val="000000" w:themeColor="text1"/>
          <w:kern w:val="2"/>
          <w:sz w:val="24"/>
          <w:szCs w:val="24"/>
          <w:lang w:val="en-US" w:eastAsia="zh-CN" w:bidi="ar-SA"/>
          <w14:textFill>
            <w14:solidFill>
              <w14:schemeClr w14:val="tx1"/>
            </w14:solidFill>
          </w14:textFill>
        </w:rPr>
        <w:t>1.1</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采购设备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 设备名称、品牌、型号、价格</w:t>
      </w:r>
    </w:p>
    <w:tbl>
      <w:tblPr>
        <w:tblStyle w:val="10"/>
        <w:tblpPr w:leftFromText="180" w:rightFromText="180" w:vertAnchor="text" w:horzAnchor="page" w:tblpX="1779" w:tblpY="148"/>
        <w:tblOverlap w:val="never"/>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320"/>
        <w:gridCol w:w="1367"/>
        <w:gridCol w:w="1320"/>
        <w:gridCol w:w="1377"/>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99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32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36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13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38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99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14:textFill>
                  <w14:solidFill>
                    <w14:schemeClr w14:val="tx1"/>
                  </w14:solidFill>
                </w14:textFill>
              </w:rPr>
              <w:t>内窥镜</w:t>
            </w:r>
          </w:p>
        </w:tc>
        <w:tc>
          <w:tcPr>
            <w:tcW w:w="132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6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14:textFill>
                  <w14:solidFill>
                    <w14:schemeClr w14:val="tx1"/>
                  </w14:solidFill>
                </w14:textFill>
              </w:rPr>
              <w:t>4支</w:t>
            </w:r>
          </w:p>
        </w:tc>
        <w:tc>
          <w:tcPr>
            <w:tcW w:w="138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99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14:textFill>
                  <w14:solidFill>
                    <w14:schemeClr w14:val="tx1"/>
                  </w14:solidFill>
                </w14:textFill>
              </w:rPr>
              <w:t>工作把手</w:t>
            </w:r>
          </w:p>
        </w:tc>
        <w:tc>
          <w:tcPr>
            <w:tcW w:w="132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36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14:textFill>
                  <w14:solidFill>
                    <w14:schemeClr w14:val="tx1"/>
                  </w14:solidFill>
                </w14:textFill>
              </w:rPr>
              <w:t>3把</w:t>
            </w:r>
          </w:p>
        </w:tc>
        <w:tc>
          <w:tcPr>
            <w:tcW w:w="138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99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14:textFill>
                  <w14:solidFill>
                    <w14:schemeClr w14:val="tx1"/>
                  </w14:solidFill>
                </w14:textFill>
              </w:rPr>
              <w:t>内鞘</w:t>
            </w:r>
          </w:p>
        </w:tc>
        <w:tc>
          <w:tcPr>
            <w:tcW w:w="132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36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14:textFill>
                  <w14:solidFill>
                    <w14:schemeClr w14:val="tx1"/>
                  </w14:solidFill>
                </w14:textFill>
              </w:rPr>
              <w:t>3支</w:t>
            </w:r>
          </w:p>
        </w:tc>
        <w:tc>
          <w:tcPr>
            <w:tcW w:w="138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99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14:textFill>
                  <w14:solidFill>
                    <w14:schemeClr w14:val="tx1"/>
                  </w14:solidFill>
                </w14:textFill>
              </w:rPr>
              <w:t>外鞘</w:t>
            </w:r>
          </w:p>
        </w:tc>
        <w:tc>
          <w:tcPr>
            <w:tcW w:w="132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36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14:textFill>
                  <w14:solidFill>
                    <w14:schemeClr w14:val="tx1"/>
                  </w14:solidFill>
                </w14:textFill>
              </w:rPr>
              <w:t>3支</w:t>
            </w:r>
          </w:p>
        </w:tc>
        <w:tc>
          <w:tcPr>
            <w:tcW w:w="138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9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14:textFill>
                  <w14:solidFill>
                    <w14:schemeClr w14:val="tx1"/>
                  </w14:solidFill>
                </w14:textFill>
              </w:rPr>
              <w:t>闭孔器</w:t>
            </w:r>
          </w:p>
        </w:tc>
        <w:tc>
          <w:tcPr>
            <w:tcW w:w="132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36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14:textFill>
                  <w14:solidFill>
                    <w14:schemeClr w14:val="tx1"/>
                  </w14:solidFill>
                </w14:textFill>
              </w:rPr>
              <w:t>3支</w:t>
            </w:r>
          </w:p>
        </w:tc>
        <w:tc>
          <w:tcPr>
            <w:tcW w:w="138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99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14:textFill>
                  <w14:solidFill>
                    <w14:schemeClr w14:val="tx1"/>
                  </w14:solidFill>
                </w14:textFill>
              </w:rPr>
              <w:t>冲洗接头</w:t>
            </w:r>
          </w:p>
        </w:tc>
        <w:tc>
          <w:tcPr>
            <w:tcW w:w="132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36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14:textFill>
                  <w14:solidFill>
                    <w14:schemeClr w14:val="tx1"/>
                  </w14:solidFill>
                </w14:textFill>
              </w:rPr>
              <w:t>3个</w:t>
            </w:r>
          </w:p>
        </w:tc>
        <w:tc>
          <w:tcPr>
            <w:tcW w:w="138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99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14:textFill>
                  <w14:solidFill>
                    <w14:schemeClr w14:val="tx1"/>
                  </w14:solidFill>
                </w14:textFill>
              </w:rPr>
              <w:t>內鞘接头</w:t>
            </w:r>
          </w:p>
        </w:tc>
        <w:tc>
          <w:tcPr>
            <w:tcW w:w="132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36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14:textFill>
                  <w14:solidFill>
                    <w14:schemeClr w14:val="tx1"/>
                  </w14:solidFill>
                </w14:textFill>
              </w:rPr>
              <w:t>3个</w:t>
            </w:r>
          </w:p>
        </w:tc>
        <w:tc>
          <w:tcPr>
            <w:tcW w:w="138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99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高频双极线</w:t>
            </w:r>
          </w:p>
        </w:tc>
        <w:tc>
          <w:tcPr>
            <w:tcW w:w="132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36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14:textFill>
                  <w14:solidFill>
                    <w14:schemeClr w14:val="tx1"/>
                  </w14:solidFill>
                </w14:textFill>
              </w:rPr>
              <w:t>3条</w:t>
            </w:r>
          </w:p>
        </w:tc>
        <w:tc>
          <w:tcPr>
            <w:tcW w:w="138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768" w:type="dxa"/>
            <w:gridSpan w:val="6"/>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.1.2 本合同设备约定价格为固定价格，不因物价、市场波动变更，该约定价格包括且不限于</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设计费、材料费、人工费、安装费、包装费、运输费、装卸费、调试费、接口费、检测费、检验费、税费、保险费、售后服务费、附随服务费等在内所有费用</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20" w:firstLineChars="175"/>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  所有设备附件必须与甲方手术室现有奥林巴斯主机兼容匹配。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1.2 设备专机专用耗材供应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1.2.1 耗材名称、规格型号、编号、单价</w:t>
      </w:r>
    </w:p>
    <w:tbl>
      <w:tblPr>
        <w:tblStyle w:val="10"/>
        <w:tblW w:w="9105" w:type="dxa"/>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83"/>
        <w:gridCol w:w="2216"/>
        <w:gridCol w:w="2307"/>
        <w:gridCol w:w="20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专机专用耗材名称</w:t>
            </w:r>
          </w:p>
        </w:tc>
        <w:tc>
          <w:tcPr>
            <w:tcW w:w="2216"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规格型号</w:t>
            </w:r>
          </w:p>
        </w:tc>
        <w:tc>
          <w:tcPr>
            <w:tcW w:w="2307"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组件编号</w:t>
            </w: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单价（</w:t>
            </w:r>
            <w:r>
              <w:rPr>
                <w:rFonts w:hint="eastAsia" w:asciiTheme="minorEastAsia" w:hAnsiTheme="minorEastAsia" w:cstheme="minorEastAsia"/>
                <w:b w:val="0"/>
                <w:bCs w:val="0"/>
                <w:color w:val="000000" w:themeColor="text1"/>
                <w:kern w:val="0"/>
                <w:sz w:val="24"/>
                <w:szCs w:val="24"/>
                <w:lang w:val="en-US" w:eastAsia="zh-CN"/>
                <w14:textFill>
                  <w14:solidFill>
                    <w14:schemeClr w14:val="tx1"/>
                  </w14:solidFill>
                </w14:textFill>
              </w:rPr>
              <w:t>个</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电切镜手术电极</w:t>
            </w:r>
          </w:p>
        </w:tc>
        <w:tc>
          <w:tcPr>
            <w:tcW w:w="221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val="0"/>
                <w:i w:val="0"/>
                <w:iCs w:val="0"/>
                <w:color w:val="000000" w:themeColor="text1"/>
                <w:kern w:val="2"/>
                <w:sz w:val="24"/>
                <w:szCs w:val="24"/>
                <w:u w:val="none"/>
                <w:lang w:val="en-US" w:eastAsia="zh-CN" w:bidi="ar-SA"/>
                <w14:textFill>
                  <w14:solidFill>
                    <w14:schemeClr w14:val="tx1"/>
                  </w14:solidFill>
                </w14:textFill>
              </w:rPr>
            </w:pPr>
          </w:p>
        </w:tc>
        <w:tc>
          <w:tcPr>
            <w:tcW w:w="230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val="0"/>
                <w:i w:val="0"/>
                <w:iCs w:val="0"/>
                <w:color w:val="000000" w:themeColor="text1"/>
                <w:kern w:val="2"/>
                <w:sz w:val="24"/>
                <w:szCs w:val="24"/>
                <w:u w:val="none"/>
                <w:lang w:val="en-US" w:eastAsia="zh-CN" w:bidi="ar-SA"/>
                <w14:textFill>
                  <w14:solidFill>
                    <w14:schemeClr w14:val="tx1"/>
                  </w14:solidFill>
                </w14:textFill>
              </w:rPr>
            </w:pP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电切镜手术电极</w:t>
            </w:r>
          </w:p>
        </w:tc>
        <w:tc>
          <w:tcPr>
            <w:tcW w:w="221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val="0"/>
                <w:i w:val="0"/>
                <w:iCs w:val="0"/>
                <w:color w:val="000000" w:themeColor="text1"/>
                <w:kern w:val="2"/>
                <w:sz w:val="24"/>
                <w:szCs w:val="24"/>
                <w:u w:val="none"/>
                <w:lang w:val="en-US" w:eastAsia="zh-CN" w:bidi="ar-SA"/>
                <w14:textFill>
                  <w14:solidFill>
                    <w14:schemeClr w14:val="tx1"/>
                  </w14:solidFill>
                </w14:textFill>
              </w:rPr>
            </w:pPr>
          </w:p>
        </w:tc>
        <w:tc>
          <w:tcPr>
            <w:tcW w:w="230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val="0"/>
                <w:i w:val="0"/>
                <w:iCs w:val="0"/>
                <w:color w:val="000000" w:themeColor="text1"/>
                <w:kern w:val="2"/>
                <w:sz w:val="24"/>
                <w:szCs w:val="24"/>
                <w:u w:val="none"/>
                <w:lang w:val="en-US" w:eastAsia="zh-CN" w:bidi="ar-SA"/>
                <w14:textFill>
                  <w14:solidFill>
                    <w14:schemeClr w14:val="tx1"/>
                  </w14:solidFill>
                </w14:textFill>
              </w:rPr>
            </w:pP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电切镜手术电极</w:t>
            </w:r>
          </w:p>
        </w:tc>
        <w:tc>
          <w:tcPr>
            <w:tcW w:w="2216"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val="0"/>
                <w:i w:val="0"/>
                <w:iCs w:val="0"/>
                <w:color w:val="000000" w:themeColor="text1"/>
                <w:kern w:val="2"/>
                <w:sz w:val="24"/>
                <w:szCs w:val="24"/>
                <w:u w:val="none"/>
                <w:lang w:val="en-US" w:eastAsia="zh-CN" w:bidi="ar-SA"/>
                <w14:textFill>
                  <w14:solidFill>
                    <w14:schemeClr w14:val="tx1"/>
                  </w14:solidFill>
                </w14:textFill>
              </w:rPr>
            </w:pPr>
          </w:p>
        </w:tc>
        <w:tc>
          <w:tcPr>
            <w:tcW w:w="2307"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val="0"/>
                <w:i w:val="0"/>
                <w:iCs w:val="0"/>
                <w:color w:val="000000" w:themeColor="text1"/>
                <w:kern w:val="2"/>
                <w:sz w:val="24"/>
                <w:szCs w:val="24"/>
                <w:u w:val="none"/>
                <w:lang w:val="en-US" w:eastAsia="zh-CN" w:bidi="ar-SA"/>
                <w14:textFill>
                  <w14:solidFill>
                    <w14:schemeClr w14:val="tx1"/>
                  </w14:solidFill>
                </w14:textFill>
              </w:rPr>
            </w:pP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r>
    </w:tbl>
    <w:p>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left="0" w:leftChars="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kern w:val="2"/>
          <w:sz w:val="24"/>
          <w:szCs w:val="24"/>
          <w:lang w:val="en-US" w:eastAsia="zh-CN" w:bidi="ar-SA"/>
          <w14:textFill>
            <w14:solidFill>
              <w14:schemeClr w14:val="tx1"/>
            </w14:solidFill>
          </w14:textFill>
        </w:rPr>
        <w:t>1.2</w:t>
      </w: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.2  </w:t>
      </w:r>
      <w:r>
        <w:rPr>
          <w:rFonts w:hint="eastAsia" w:ascii="宋体" w:hAnsi="宋体" w:eastAsia="宋体" w:cs="宋体"/>
          <w:color w:val="000000" w:themeColor="text1"/>
          <w:sz w:val="24"/>
          <w:szCs w:val="24"/>
          <w:lang w:val="en-US" w:eastAsia="zh-CN"/>
          <w14:textFill>
            <w14:solidFill>
              <w14:schemeClr w14:val="tx1"/>
            </w14:solidFill>
          </w14:textFill>
        </w:rPr>
        <w:t>本合同专机专用耗材供货期限为</w:t>
      </w:r>
      <w:r>
        <w:rPr>
          <w:rFonts w:hint="eastAsia" w:ascii="宋体" w:hAnsi="宋体" w:cs="宋体"/>
          <w:color w:val="000000" w:themeColor="text1"/>
          <w:sz w:val="24"/>
          <w:szCs w:val="24"/>
          <w:u w:val="single"/>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年，自本合同设备经总体验收合格之日起算；供应期限内，如甲方停止使用</w:t>
      </w:r>
      <w:r>
        <w:rPr>
          <w:rFonts w:hint="eastAsia" w:ascii="宋体" w:hAnsi="宋体" w:eastAsia="宋体" w:cs="宋体"/>
          <w:color w:val="000000" w:themeColor="text1"/>
          <w:kern w:val="0"/>
          <w:sz w:val="24"/>
          <w:szCs w:val="24"/>
          <w:lang w:eastAsia="zh-CN"/>
          <w14:textFill>
            <w14:solidFill>
              <w14:schemeClr w14:val="tx1"/>
            </w14:solidFill>
          </w14:textFill>
        </w:rPr>
        <w:t>等离子电切镜等一批</w:t>
      </w: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sz w:val="24"/>
          <w:szCs w:val="24"/>
          <w:lang w:val="en-US" w:eastAsia="zh-CN"/>
          <w14:textFill>
            <w14:solidFill>
              <w14:schemeClr w14:val="tx1"/>
            </w14:solidFill>
          </w14:textFill>
        </w:rPr>
        <w:t>专机</w:t>
      </w:r>
      <w:r>
        <w:rPr>
          <w:rFonts w:hint="eastAsia" w:ascii="宋体" w:hAnsi="宋体" w:eastAsia="宋体" w:cs="宋体"/>
          <w:color w:val="000000" w:themeColor="text1"/>
          <w:kern w:val="0"/>
          <w:sz w:val="24"/>
          <w:szCs w:val="24"/>
          <w:lang w:val="en-US" w:eastAsia="zh-CN"/>
          <w14:textFill>
            <w14:solidFill>
              <w14:schemeClr w14:val="tx1"/>
            </w14:solidFill>
          </w14:textFill>
        </w:rPr>
        <w:t>专用耗材供应自动终止。</w:t>
      </w:r>
    </w:p>
    <w:p>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left="0" w:lef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 本合同耗材约定价格包括但不限于材料费、运输费、包装费、装卸费、搬运费、附随服务费、税费、保险费等。</w:t>
      </w:r>
    </w:p>
    <w:p>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1.2.4 本合同耗材供货期限内，如遇政府政策性或交易平台调价：调整后的价格低于本合同价格的，自调价之后发送的书面订单一律按调整后的价格执行；调整后的价格高于本合同价格的，原则上按本合同约定价格执行，如乙方因特殊情况需要调整，应先书面通知甲方，经甲乙双方协商一致后按协商后的价格执行，如双方无法达成一致，甲方有权公开遴选该耗材供应商。本合同约定的医用耗材集采后，甲方库存中剩余耗材均按新的集采价格进行结算。</w:t>
      </w:r>
    </w:p>
    <w:p>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left="0" w:lef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1.2.5 如无政府政策性或交易平台调价，甲方接受乙方对本合同约定价格进行下调，自乙方发出价格下调通知之日起，甲方发送的书面订单一律按下调后的价格执行。</w:t>
      </w:r>
    </w:p>
    <w:p>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left="0" w:leftChars="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1.2.6 乙方承诺严格遵守法律法规、政策和甲方制度履行合同，接受甲方供应商管理考核，无条件配合甲方管理，包括但不限于配合甲方耗材HRP系统信息录入、赋码、耗材SPD配送管理等工作，因SPD配送产生的服务费用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lang w:val="en-US" w:eastAsia="zh-CN"/>
          <w14:textFill>
            <w14:solidFill>
              <w14:schemeClr w14:val="tx1"/>
            </w14:solidFill>
          </w14:textFill>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2.1  设备</w:t>
      </w:r>
      <w:r>
        <w:rPr>
          <w:rFonts w:hint="default" w:ascii="宋体" w:hAnsi="宋体" w:eastAsia="宋体" w:cs="宋体"/>
          <w:b/>
          <w:bCs/>
          <w:color w:val="000000" w:themeColor="text1"/>
          <w:sz w:val="24"/>
          <w:szCs w:val="24"/>
          <w:lang w:val="en-US" w:eastAsia="zh-CN"/>
          <w14:textFill>
            <w14:solidFill>
              <w14:schemeClr w14:val="tx1"/>
            </w14:solidFill>
          </w14:textFill>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2.1.1</w:t>
      </w:r>
      <w:r>
        <w:rPr>
          <w:rFonts w:hint="default" w:ascii="宋体" w:hAnsi="宋体" w:eastAsia="宋体" w:cs="宋体"/>
          <w:color w:val="000000" w:themeColor="text1"/>
          <w:sz w:val="24"/>
          <w:szCs w:val="24"/>
          <w:lang w:val="en-US" w:eastAsia="zh-CN"/>
          <w14:textFill>
            <w14:solidFill>
              <w14:schemeClr w14:val="tx1"/>
            </w14:solidFill>
          </w14:textFill>
        </w:rPr>
        <w:t>乙方应在</w:t>
      </w:r>
      <w:r>
        <w:rPr>
          <w:rFonts w:hint="eastAsia" w:ascii="宋体" w:hAnsi="宋体" w:cs="宋体"/>
          <w:color w:val="000000" w:themeColor="text1"/>
          <w:sz w:val="24"/>
          <w:szCs w:val="24"/>
          <w:lang w:val="en-US" w:eastAsia="zh-CN"/>
          <w14:textFill>
            <w14:solidFill>
              <w14:schemeClr w14:val="tx1"/>
            </w14:solidFill>
          </w14:textFill>
        </w:rPr>
        <w:t>接到甲方通知30日内</w:t>
      </w:r>
      <w:r>
        <w:rPr>
          <w:rFonts w:hint="default" w:ascii="宋体" w:hAnsi="宋体" w:eastAsia="宋体" w:cs="宋体"/>
          <w:color w:val="000000" w:themeColor="text1"/>
          <w:sz w:val="24"/>
          <w:szCs w:val="24"/>
          <w:lang w:val="en-US" w:eastAsia="zh-CN"/>
          <w14:textFill>
            <w14:solidFill>
              <w14:schemeClr w14:val="tx1"/>
            </w14:solidFill>
          </w14:textFill>
        </w:rPr>
        <w:t>将设备运至</w:t>
      </w:r>
      <w:r>
        <w:rPr>
          <w:rFonts w:hint="eastAsia" w:ascii="宋体" w:hAnsi="宋体" w:eastAsia="宋体" w:cs="宋体"/>
          <w:color w:val="000000" w:themeColor="text1"/>
          <w:sz w:val="24"/>
          <w:szCs w:val="24"/>
          <w:lang w:val="en-US" w:eastAsia="zh-CN"/>
          <w14:textFill>
            <w14:solidFill>
              <w14:schemeClr w14:val="tx1"/>
            </w14:solidFill>
          </w14:textFill>
        </w:rPr>
        <w:t>甲方指定交货</w:t>
      </w:r>
      <w:r>
        <w:rPr>
          <w:rFonts w:hint="default" w:ascii="宋体" w:hAnsi="宋体" w:eastAsia="宋体" w:cs="宋体"/>
          <w:color w:val="000000" w:themeColor="text1"/>
          <w:sz w:val="24"/>
          <w:szCs w:val="24"/>
          <w:lang w:val="en-US" w:eastAsia="zh-CN"/>
          <w14:textFill>
            <w14:solidFill>
              <w14:schemeClr w14:val="tx1"/>
            </w14:solidFill>
          </w14:textFill>
        </w:rPr>
        <w:t>地点，</w:t>
      </w:r>
      <w:r>
        <w:rPr>
          <w:rFonts w:hint="eastAsia" w:ascii="宋体" w:hAnsi="宋体" w:eastAsia="宋体" w:cs="宋体"/>
          <w:color w:val="000000" w:themeColor="text1"/>
          <w:sz w:val="24"/>
          <w:szCs w:val="24"/>
          <w:lang w:val="en-US" w:eastAsia="zh-CN"/>
          <w14:textFill>
            <w14:solidFill>
              <w14:schemeClr w14:val="tx1"/>
            </w14:solidFill>
          </w14:textFill>
        </w:rPr>
        <w:t>并在</w:t>
      </w:r>
      <w:r>
        <w:rPr>
          <w:rFonts w:hint="eastAsia" w:ascii="宋体" w:hAnsi="宋体" w:cs="宋体"/>
          <w:color w:val="000000" w:themeColor="text1"/>
          <w:sz w:val="24"/>
          <w:szCs w:val="24"/>
          <w:lang w:val="en-US" w:eastAsia="zh-CN"/>
          <w14:textFill>
            <w14:solidFill>
              <w14:schemeClr w14:val="tx1"/>
            </w14:solidFill>
          </w14:textFill>
        </w:rPr>
        <w:t>到货后3日内</w:t>
      </w:r>
      <w:r>
        <w:rPr>
          <w:rFonts w:hint="default" w:ascii="宋体" w:hAnsi="宋体" w:eastAsia="宋体" w:cs="宋体"/>
          <w:color w:val="000000" w:themeColor="text1"/>
          <w:sz w:val="24"/>
          <w:szCs w:val="24"/>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.1.2 甲方指定</w:t>
      </w:r>
      <w:r>
        <w:rPr>
          <w:rFonts w:hint="default" w:ascii="宋体" w:hAnsi="宋体" w:eastAsia="宋体" w:cs="宋体"/>
          <w:color w:val="000000" w:themeColor="text1"/>
          <w:sz w:val="24"/>
          <w:szCs w:val="24"/>
          <w:lang w:val="en-US" w:eastAsia="zh-CN"/>
          <w14:textFill>
            <w14:solidFill>
              <w14:schemeClr w14:val="tx1"/>
            </w14:solidFill>
          </w14:textFill>
        </w:rPr>
        <w:t>交货地点：娄底市中心医院</w:t>
      </w:r>
      <w:r>
        <w:rPr>
          <w:rFonts w:hint="eastAsia" w:ascii="宋体" w:hAnsi="宋体" w:eastAsia="宋体" w:cs="宋体"/>
          <w:color w:val="000000" w:themeColor="text1"/>
          <w:sz w:val="24"/>
          <w:szCs w:val="24"/>
          <w:lang w:val="en-US" w:eastAsia="zh-CN"/>
          <w14:textFill>
            <w14:solidFill>
              <w14:schemeClr w14:val="tx1"/>
            </w14:solidFill>
          </w14:textFill>
        </w:rPr>
        <w:t>设备科</w:t>
      </w:r>
      <w:r>
        <w:rPr>
          <w:rFonts w:hint="default" w:ascii="宋体" w:hAnsi="宋体" w:eastAsia="宋体" w:cs="宋体"/>
          <w:color w:val="000000" w:themeColor="text1"/>
          <w:sz w:val="24"/>
          <w:szCs w:val="24"/>
          <w:lang w:val="en-US" w:eastAsia="zh-CN"/>
          <w14:textFill>
            <w14:solidFill>
              <w14:schemeClr w14:val="tx1"/>
            </w14:solidFill>
          </w14:textFill>
        </w:rPr>
        <w:t>（湖南省娄底市</w:t>
      </w:r>
      <w:r>
        <w:rPr>
          <w:rFonts w:hint="eastAsia" w:ascii="宋体" w:hAnsi="宋体" w:eastAsia="宋体" w:cs="宋体"/>
          <w:color w:val="000000" w:themeColor="text1"/>
          <w:sz w:val="24"/>
          <w:szCs w:val="24"/>
          <w:lang w:val="en-US" w:eastAsia="zh-CN"/>
          <w14:textFill>
            <w14:solidFill>
              <w14:schemeClr w14:val="tx1"/>
            </w14:solidFill>
          </w14:textFill>
        </w:rPr>
        <w:t>娄星区</w:t>
      </w:r>
      <w:r>
        <w:rPr>
          <w:rFonts w:hint="default" w:ascii="宋体" w:hAnsi="宋体" w:eastAsia="宋体" w:cs="宋体"/>
          <w:color w:val="000000" w:themeColor="text1"/>
          <w:sz w:val="24"/>
          <w:szCs w:val="24"/>
          <w:lang w:val="en-US" w:eastAsia="zh-CN"/>
          <w14:textFill>
            <w14:solidFill>
              <w14:schemeClr w14:val="tx1"/>
            </w14:solidFill>
          </w14:textFill>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2.1.3  </w:t>
      </w:r>
      <w:r>
        <w:rPr>
          <w:rFonts w:hint="default" w:ascii="宋体" w:hAnsi="宋体" w:eastAsia="宋体" w:cs="宋体"/>
          <w:color w:val="000000" w:themeColor="text1"/>
          <w:sz w:val="24"/>
          <w:szCs w:val="24"/>
          <w:lang w:val="en-US" w:eastAsia="zh-CN"/>
          <w14:textFill>
            <w14:solidFill>
              <w14:schemeClr w14:val="tx1"/>
            </w14:solidFill>
          </w14:textFill>
        </w:rPr>
        <w:t>运输及装卸：由乙方自备交通运输工具将设备运至合同约定地点，并负责设备装卸</w:t>
      </w:r>
      <w:r>
        <w:rPr>
          <w:rFonts w:hint="eastAsia" w:ascii="宋体" w:hAnsi="宋体" w:eastAsia="宋体" w:cs="宋体"/>
          <w:color w:val="000000" w:themeColor="text1"/>
          <w:sz w:val="24"/>
          <w:szCs w:val="24"/>
          <w:lang w:val="en-US" w:eastAsia="zh-CN"/>
          <w14:textFill>
            <w14:solidFill>
              <w14:schemeClr w14:val="tx1"/>
            </w14:solidFill>
          </w14:textFill>
        </w:rPr>
        <w:t>的人工及费用</w:t>
      </w:r>
      <w:r>
        <w:rPr>
          <w:rFonts w:hint="default"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2.2 设备专机专用耗材交货时间地点、运输及装卸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2.2.1 交货时间：乙方自甲方发送专机专用耗材书面订单之日起5日内，按书面订单要求将耗材送至甲方指定地点，非工作日、节假日正常执行。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2.2.2 交货地点：娄底市中心医院设备科仓库，指定收货人：娄底市中心医院设备科仓库管理员。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2.2.3 由乙方自备交通运输工具将耗材运至合同约定地点，并负责设备装卸的人工及费用。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3.1  设备质量标准、质量验收、包装要求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3.1.1 乙方提供设备的质量、安装应符合或优于国家标准；如响应文件中的技术参数和质量标准高于国家标准，则设备的技术参数和质量标准以响应文件为准。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3.1.2 设备质量验收：以本合同约定标准按以下方式进行验收：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3.1.2.2 设备总体验收：乙方将设备全部拆包、安装、调试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3.2 专机专用耗材质量标准、质量验收、包装要求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3.2.1 国内生产的医用耗材应当符合国家质量标准和行业强制性标准；进口医用耗材须具备进口医用耗材注册证、批件，口岸药检所出具的检验报告书或注明“已抽样”的通关单；乙方送交的医用耗材均应提供相应合格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3.2.2 耗材质量验收：甲方每次收到乙方提供医用耗材时，应组织人员对医用耗材的数量、包装、有效期等外观进行验收，对乙方提供的医用耗材外观标准与中标（挂网）医用耗材目录品种信息和甲方书面订单要求相符的，甲方在乙方送货单上签字确认验收；对乙方提供的医用耗材外观标准与中标（挂网）医用耗材目录品种信息、甲方订单要求不符的，甲方有权拒收。乙方应在甲方拒收之日起3日内，向甲方更换合                                                                                                                                                                                                                                                                                                                                                                                                                                                                                                                                                                                                                                                                                                                                                                                                                                                                                                                                                                                                                                                                                                                                                                                                                                                                                                                                                                                                                                                                                                                                                                                                                                                                                                                                                                                                                                                                                                                                                                                                                                                                                                                                                                                                                                                 格的医用耗材。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3.2.3 包装要求：医用耗材包装须与交易平台上中标（挂网）医用耗材的信息一致，包装为原产包装且应完全无损，如甲方对包装有特殊要求时，乙方应按甲方订单要求包装。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  甲方委派</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360" w:lineRule="exact"/>
        <w:ind w:firstLine="482" w:firstLineChars="200"/>
        <w:jc w:val="left"/>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5.1 设备售后服务</w:t>
      </w:r>
    </w:p>
    <w:p>
      <w:pPr>
        <w:keepNext w:val="0"/>
        <w:keepLines w:val="0"/>
        <w:pageBreakBefore w:val="0"/>
        <w:widowControl/>
        <w:numPr>
          <w:ilvl w:val="-1"/>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5.1.1 本合同设备质保期为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5.1.2  </w:t>
      </w:r>
      <w:r>
        <w:rPr>
          <w:rFonts w:hint="eastAsia" w:ascii="宋体" w:hAnsi="宋体" w:eastAsia="宋体" w:cs="宋体"/>
          <w:color w:val="000000" w:themeColor="text1"/>
          <w:sz w:val="24"/>
          <w14:textFill>
            <w14:solidFill>
              <w14:schemeClr w14:val="tx1"/>
            </w14:solidFill>
          </w14:textFill>
        </w:rPr>
        <w:t>乙方在质保期内免费提供</w:t>
      </w:r>
      <w:r>
        <w:rPr>
          <w:rFonts w:hint="eastAsia" w:ascii="宋体" w:hAnsi="宋体" w:eastAsia="宋体" w:cs="宋体"/>
          <w:color w:val="000000" w:themeColor="text1"/>
          <w:sz w:val="24"/>
          <w:szCs w:val="24"/>
          <w:lang w:val="en-US" w:eastAsia="zh-CN"/>
          <w14:textFill>
            <w14:solidFill>
              <w14:schemeClr w14:val="tx1"/>
            </w14:solidFill>
          </w14:textFill>
        </w:rPr>
        <w:t>设备</w:t>
      </w:r>
      <w:r>
        <w:rPr>
          <w:rFonts w:hint="eastAsia" w:ascii="宋体" w:hAnsi="宋体" w:eastAsia="宋体" w:cs="宋体"/>
          <w:color w:val="000000" w:themeColor="text1"/>
          <w:sz w:val="24"/>
          <w14:textFill>
            <w14:solidFill>
              <w14:schemeClr w14:val="tx1"/>
            </w14:solidFill>
          </w14:textFill>
        </w:rPr>
        <w:t>维修、更换、保养、咨询等服务</w:t>
      </w:r>
      <w:r>
        <w:rPr>
          <w:rFonts w:hint="eastAsia" w:ascii="宋体" w:hAnsi="宋体" w:eastAsia="宋体" w:cs="宋体"/>
          <w:color w:val="000000" w:themeColor="text1"/>
          <w:sz w:val="24"/>
          <w:lang w:val="en-US" w:eastAsia="zh-CN"/>
          <w14:textFill>
            <w14:solidFill>
              <w14:schemeClr w14:val="tx1"/>
            </w14:solidFill>
          </w14:textFill>
        </w:rPr>
        <w:t>并</w:t>
      </w:r>
      <w:r>
        <w:rPr>
          <w:rFonts w:hint="eastAsia" w:ascii="宋体" w:hAnsi="宋体" w:eastAsia="宋体" w:cs="宋体"/>
          <w:color w:val="000000" w:themeColor="text1"/>
          <w:sz w:val="24"/>
          <w:szCs w:val="24"/>
          <w14:textFill>
            <w14:solidFill>
              <w14:schemeClr w14:val="tx1"/>
            </w14:solidFill>
          </w14:textFill>
        </w:rPr>
        <w:t>出具原厂售</w:t>
      </w:r>
      <w:r>
        <w:rPr>
          <w:rFonts w:hint="eastAsia" w:ascii="宋体" w:hAnsi="宋体" w:eastAsia="宋体" w:cs="宋体"/>
          <w:color w:val="000000" w:themeColor="text1"/>
          <w:sz w:val="24"/>
          <w:szCs w:val="24"/>
          <w:lang w:val="en-US" w:eastAsia="zh-CN"/>
          <w14:textFill>
            <w14:solidFill>
              <w14:schemeClr w14:val="tx1"/>
            </w14:solidFill>
          </w14:textFill>
        </w:rPr>
        <w:t>后质保承诺书。如设备在质保期内出现质量问题，乙方应在接到甲方通知（包括电话通知）后1小时响应，响应后24小时上门服务，相关费用由乙方承担。如乙方不及时履行保修义务，甲方有权委托第三方进行维修，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5.1.4  质保期届满后，如设备出现问题，乙方应在接到甲方通知（包括电话通知）24小时响应，响应后4小时上门服务，相关费用由甲方承担。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5.2 耗材售后服务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5.2.1 在乙方提供耗材的标识标注的有效期内，如出现质量问题，甲方有权要求更换，乙方应在甲方提出更换之日起3日内，向甲方更换合格的医用耗材。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5.2.2 乙方提供的耗材应为符合国家质量标准的合格产品且所有证件、手续合法齐全，如因产品质量原因或手续不齐不合法或未按要求储存、运输（冷链）、包装等给甲方造成损失和不良影响全部由乙方负责。</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val="0"/>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5</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乙方须指派</w:t>
      </w:r>
      <w:r>
        <w:rPr>
          <w:rFonts w:hint="eastAsia" w:ascii="宋体" w:hAnsi="宋体" w:eastAsia="宋体" w:cs="宋体"/>
          <w:color w:val="000000" w:themeColor="text1"/>
          <w:sz w:val="24"/>
          <w:szCs w:val="24"/>
          <w:u w:val="non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专门负责与甲方联系</w:t>
      </w:r>
      <w:r>
        <w:rPr>
          <w:rFonts w:hint="eastAsia" w:ascii="宋体" w:hAnsi="宋体" w:eastAsia="宋体" w:cs="宋体"/>
          <w:color w:val="000000" w:themeColor="text1"/>
          <w:sz w:val="24"/>
          <w:szCs w:val="24"/>
          <w:lang w:val="en-US" w:eastAsia="zh-CN"/>
          <w14:textFill>
            <w14:solidFill>
              <w14:schemeClr w14:val="tx1"/>
            </w14:solidFill>
          </w14:textFill>
        </w:rPr>
        <w:t>本合同设备、耗材</w:t>
      </w:r>
      <w:r>
        <w:rPr>
          <w:rFonts w:hint="eastAsia" w:ascii="宋体" w:hAnsi="宋体" w:eastAsia="宋体" w:cs="宋体"/>
          <w:color w:val="000000" w:themeColor="text1"/>
          <w:sz w:val="24"/>
          <w:szCs w:val="24"/>
          <w14:textFill>
            <w14:solidFill>
              <w14:schemeClr w14:val="tx1"/>
            </w14:solidFill>
          </w14:textFill>
        </w:rPr>
        <w:t>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6.1  设备款结算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6.1.1 自甲方在设备总体验收报告单上签字确认合格之日起4个月内，甲方支付设备结算价款的90%；余款10%，甲方在质保期届满且不存在需被扣除情形之日起10个工作日内，免息支付给乙方。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6.1.2 乙方应在甲方首次支付设备货款前，提供以自己名义开具的与设备结算价款对应的增值税普通发票送交甲方，</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如乙方未及时提供发票，甲方有权顺延付款，由此产生的责任均由乙方自行承担</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6.1.3 乙方开具的发票金额应与设备总体验收报告单内容一致，甲方不支付超出设备总体验收报告单内容以外的任何费用。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6.2  耗材款结算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耗材结算价款</w:t>
      </w:r>
      <w:r>
        <w:rPr>
          <w:rFonts w:hint="default" w:ascii="宋体" w:hAnsi="宋体" w:eastAsia="宋体" w:cs="宋体"/>
          <w:b w:val="0"/>
          <w:bCs w:val="0"/>
          <w:color w:val="000000" w:themeColor="text1"/>
          <w:sz w:val="24"/>
          <w:szCs w:val="24"/>
          <w:lang w:val="en-US" w:eastAsia="zh-CN"/>
          <w14:textFill>
            <w14:solidFill>
              <w14:schemeClr w14:val="tx1"/>
            </w14:solidFill>
          </w14:textFill>
        </w:rPr>
        <w:t>根据</w:t>
      </w:r>
      <w:r>
        <w:rPr>
          <w:rFonts w:hint="eastAsia" w:ascii="宋体" w:hAnsi="宋体" w:eastAsia="宋体" w:cs="宋体"/>
          <w:b w:val="0"/>
          <w:bCs w:val="0"/>
          <w:color w:val="000000" w:themeColor="text1"/>
          <w:sz w:val="24"/>
          <w:szCs w:val="24"/>
          <w:lang w:val="en-US" w:eastAsia="zh-CN"/>
          <w14:textFill>
            <w14:solidFill>
              <w14:schemeClr w14:val="tx1"/>
            </w14:solidFill>
          </w14:textFill>
        </w:rPr>
        <w:t>甲方的</w:t>
      </w:r>
      <w:r>
        <w:rPr>
          <w:rFonts w:hint="default" w:ascii="宋体" w:hAnsi="宋体" w:eastAsia="宋体" w:cs="宋体"/>
          <w:b w:val="0"/>
          <w:bCs w:val="0"/>
          <w:color w:val="000000" w:themeColor="text1"/>
          <w:sz w:val="24"/>
          <w:szCs w:val="24"/>
          <w:lang w:val="en-US" w:eastAsia="zh-CN"/>
          <w14:textFill>
            <w14:solidFill>
              <w14:schemeClr w14:val="tx1"/>
            </w14:solidFill>
          </w14:textFill>
        </w:rPr>
        <w:t>书面订单、经甲方签字确认的乙方送货单按</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月</w:t>
      </w:r>
      <w:r>
        <w:rPr>
          <w:rFonts w:hint="eastAsia" w:ascii="宋体" w:hAnsi="宋体" w:eastAsia="宋体" w:cs="宋体"/>
          <w:b w:val="0"/>
          <w:bCs w:val="0"/>
          <w:color w:val="000000" w:themeColor="text1"/>
          <w:sz w:val="24"/>
          <w:szCs w:val="24"/>
          <w:lang w:val="en-US" w:eastAsia="zh-CN"/>
          <w14:textFill>
            <w14:solidFill>
              <w14:schemeClr w14:val="tx1"/>
            </w14:solidFill>
          </w14:textFill>
        </w:rPr>
        <w:t>据实</w:t>
      </w:r>
      <w:r>
        <w:rPr>
          <w:rFonts w:hint="default" w:ascii="宋体" w:hAnsi="宋体" w:eastAsia="宋体" w:cs="宋体"/>
          <w:b w:val="0"/>
          <w:bCs w:val="0"/>
          <w:color w:val="000000" w:themeColor="text1"/>
          <w:sz w:val="24"/>
          <w:szCs w:val="24"/>
          <w:lang w:val="en-US" w:eastAsia="zh-CN"/>
          <w14:textFill>
            <w14:solidFill>
              <w14:schemeClr w14:val="tx1"/>
            </w14:solidFill>
          </w14:textFill>
        </w:rPr>
        <w:t>结算</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default" w:ascii="宋体" w:hAnsi="宋体" w:eastAsia="宋体" w:cs="宋体"/>
          <w:b w:val="0"/>
          <w:bCs w:val="0"/>
          <w:color w:val="000000" w:themeColor="text1"/>
          <w:sz w:val="24"/>
          <w:szCs w:val="24"/>
          <w:lang w:val="en-US" w:eastAsia="zh-CN"/>
          <w14:textFill>
            <w14:solidFill>
              <w14:schemeClr w14:val="tx1"/>
            </w14:solidFill>
          </w14:textFill>
        </w:rPr>
        <w:t>乙方应向甲方提供以乙方名义开具的与</w:t>
      </w:r>
      <w:r>
        <w:rPr>
          <w:rFonts w:hint="eastAsia" w:ascii="宋体" w:hAnsi="宋体" w:eastAsia="宋体" w:cs="宋体"/>
          <w:b w:val="0"/>
          <w:bCs w:val="0"/>
          <w:color w:val="000000" w:themeColor="text1"/>
          <w:sz w:val="24"/>
          <w:szCs w:val="24"/>
          <w:lang w:val="en-US" w:eastAsia="zh-CN"/>
          <w14:textFill>
            <w14:solidFill>
              <w14:schemeClr w14:val="tx1"/>
            </w14:solidFill>
          </w14:textFill>
        </w:rPr>
        <w:t>该批次</w:t>
      </w:r>
      <w:r>
        <w:rPr>
          <w:rFonts w:hint="default" w:ascii="宋体" w:hAnsi="宋体" w:eastAsia="宋体" w:cs="宋体"/>
          <w:b w:val="0"/>
          <w:bCs w:val="0"/>
          <w:color w:val="000000" w:themeColor="text1"/>
          <w:sz w:val="24"/>
          <w:szCs w:val="24"/>
          <w:lang w:val="en-US" w:eastAsia="zh-CN"/>
          <w14:textFill>
            <w14:solidFill>
              <w14:schemeClr w14:val="tx1"/>
            </w14:solidFill>
          </w14:textFill>
        </w:rPr>
        <w:t>结算金额对应的增值税普通发票；如乙方未能及时提供符合约定的发票，甲方有权顺延付款期限。</w:t>
      </w:r>
      <w:r>
        <w:rPr>
          <w:rFonts w:hint="eastAsia" w:ascii="宋体" w:hAnsi="宋体" w:eastAsia="宋体" w:cs="宋体"/>
          <w:b w:val="0"/>
          <w:bCs w:val="0"/>
          <w:color w:val="000000" w:themeColor="text1"/>
          <w:sz w:val="24"/>
          <w:szCs w:val="24"/>
          <w:lang w:val="en-US" w:eastAsia="zh-CN"/>
          <w14:textFill>
            <w14:solidFill>
              <w14:schemeClr w14:val="tx1"/>
            </w14:solidFill>
          </w14:textFill>
        </w:rPr>
        <w:t>甲方自收到乙方发票且财务入账后180日内（如遇特殊情况顺延）向乙方支付该批次结算价款</w:t>
      </w:r>
      <w:r>
        <w:rPr>
          <w:rFonts w:hint="default" w:ascii="宋体" w:hAnsi="宋体" w:eastAsia="宋体" w:cs="宋体"/>
          <w:b w:val="0"/>
          <w:bCs w:val="0"/>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6.3  乙方委派</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与甲方办理结算手续。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6.4  甲方通过银行转账方式向乙方指定银行账户支付结算价款，乙方指定账户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开户名：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开户银行：</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color w:val="000000" w:themeColor="text1"/>
          <w:sz w:val="28"/>
          <w:szCs w:val="28"/>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账号：</w:t>
      </w:r>
      <w:r>
        <w:rPr>
          <w:rFonts w:hint="eastAsia" w:ascii="宋体" w:hAnsi="宋体"/>
          <w:color w:val="000000" w:themeColor="text1"/>
          <w:sz w:val="28"/>
          <w:szCs w:val="28"/>
          <w:u w:val="none"/>
          <w:lang w:val="en-US" w:eastAsia="zh-CN"/>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7.2  设备毁损、丢失的风险自甲方在设备总体验收报告单上签字确认合格后转移给甲方；医用耗材毁损、灭失的风险自甲方在供货单上签字验收之日起转移给甲方。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  医用耗材有效期内因医用耗材质量问题产生的风险均由乙方承担。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7.4  乙方确保本合同约定设备及耗材的权利均无瑕疵，包括所有权及知识产权等权利，否则由乙方承担全部法律责任和经济赔偿。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第八条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廉洁条款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11.2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.2 乙方提供的设备</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耗材</w:t>
      </w:r>
      <w:r>
        <w:rPr>
          <w:rFonts w:hint="eastAsia" w:ascii="宋体" w:hAnsi="宋体" w:eastAsia="宋体" w:cs="宋体"/>
          <w:color w:val="000000" w:themeColor="text1"/>
          <w:sz w:val="24"/>
          <w:highlight w:val="none"/>
          <w14:textFill>
            <w14:solidFill>
              <w14:schemeClr w14:val="tx1"/>
            </w14:solidFill>
          </w14:textFill>
        </w:rPr>
        <w:t>质量不符合国家标准、本合同标准或响应文件约定标准</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11.2.3 乙方未在甲方订单规定的时间内提供耗材，经甲方催告3次以上后仍不能提供的；或耗材经甲方验收不合格或乙方提供的耗材在有效期内出现质量问题，经连续2次更换仍不合格的；或提供的耗材、证件手续不齐，甲方不能合法使用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11.2.4 乙方供应的耗材被生产厂家取消配送权的；或乙方不配合耗材管理工作的，如不配合耗材HRP系统信息录入、赋码等、不配合耗材SPD配送管理、未向SPD配送公司交纳配送服务费等。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11.2.5 乙方违反甲方制度的，或乙方经甲方供应商管理考核为不合格供应商的。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11.2.6 乙方未经甲方设备科发出书面订单采购私自向甲方科室配送的。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11.2.7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11.2.8 乙方在本合同履行期间因违法行为被追究刑事责任的，或被予以吊销营业执照、取消资质等行政处罚，或乙方被接管、资金被冻结的。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11.2.9 其他根本违约的情形。</w:t>
      </w:r>
    </w:p>
    <w:p>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.2 </w:t>
      </w:r>
      <w:r>
        <w:rPr>
          <w:rFonts w:hint="eastAsia" w:ascii="宋体" w:hAnsi="宋体" w:eastAsia="宋体" w:cs="宋体"/>
          <w:color w:val="000000" w:themeColor="text1"/>
          <w:sz w:val="24"/>
          <w:szCs w:val="24"/>
          <w:lang w:val="en-US" w:eastAsia="zh-CN"/>
          <w14:textFill>
            <w14:solidFill>
              <w14:schemeClr w14:val="tx1"/>
            </w14:solidFill>
          </w14:textFill>
        </w:rPr>
        <w:t>如乙方未在本合同约定时间内将验收合格的设备交付给甲方使用，除应赔偿甲方因此造成的损失外，每逾期一日，按本合同约定设备总价款的千分之一向甲方支付违约金。</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.3 </w:t>
      </w:r>
      <w:r>
        <w:rPr>
          <w:rFonts w:hint="eastAsia" w:ascii="宋体" w:hAnsi="宋体" w:eastAsia="宋体" w:cs="宋体"/>
          <w:color w:val="000000" w:themeColor="text1"/>
          <w:sz w:val="24"/>
          <w:szCs w:val="24"/>
          <w:lang w:val="en-US" w:eastAsia="zh-CN"/>
          <w14:textFill>
            <w14:solidFill>
              <w14:schemeClr w14:val="tx1"/>
            </w14:solidFill>
          </w14:textFill>
        </w:rPr>
        <w:t>如乙方未在本合同约定时间内将验收合格的耗材交付给甲方使用，除应赔偿甲方因此造成的损失外，每逾期一日，按该批次耗材结算金额的百分之五向甲方支付违约金。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  如乙方单方解除合同或甲方因乙方原因解除合同，乙方应赔偿给甲方造成的全部经济损失外还应向甲方支付违约金</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10000 </w:t>
      </w:r>
      <w:r>
        <w:rPr>
          <w:rFonts w:hint="eastAsia" w:ascii="宋体" w:hAnsi="宋体" w:eastAsia="宋体" w:cs="宋体"/>
          <w:color w:val="000000" w:themeColor="text1"/>
          <w:sz w:val="24"/>
          <w:szCs w:val="24"/>
          <w:u w:val="none"/>
          <w:lang w:val="en-US" w:eastAsia="zh-CN"/>
          <w14:textFill>
            <w14:solidFill>
              <w14:schemeClr w14:val="tx1"/>
            </w14:solidFill>
          </w14:textFill>
        </w:rPr>
        <w:t>元</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1500.00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14.1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szCs w:val="24"/>
          <w:highlight w:val="none"/>
          <w:lang w:val="en-US" w:eastAsia="zh-CN"/>
          <w14:textFill>
            <w14:solidFill>
              <w14:schemeClr w14:val="tx1"/>
            </w14:solidFill>
          </w14:textFill>
        </w:rPr>
        <w:t>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甲方（盖章）：</w:t>
      </w:r>
      <w:r>
        <w:rPr>
          <w:rFonts w:hint="eastAsia" w:ascii="宋体" w:hAnsi="宋体" w:eastAsia="宋体" w:cs="宋体"/>
          <w:color w:val="000000" w:themeColor="text1"/>
          <w:sz w:val="24"/>
          <w:szCs w:val="24"/>
          <w:lang w:val="en-US" w:eastAsia="zh-CN"/>
          <w14:textFill>
            <w14:solidFill>
              <w14:schemeClr w14:val="tx1"/>
            </w14:solidFill>
          </w14:textFill>
        </w:rPr>
        <w:t>娄底市中心医院</w:t>
      </w:r>
      <w:r>
        <w:rPr>
          <w:rFonts w:hint="default"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乙方（盖章）</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 xml:space="preserve">法定代表人（签字）：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default" w:ascii="宋体" w:hAnsi="宋体" w:eastAsia="宋体" w:cs="宋体"/>
          <w:color w:val="000000" w:themeColor="text1"/>
          <w:sz w:val="24"/>
          <w:szCs w:val="24"/>
          <w:lang w:val="en-US" w:eastAsia="zh-CN"/>
          <w14:textFill>
            <w14:solidFill>
              <w14:schemeClr w14:val="tx1"/>
            </w14:solidFill>
          </w14:textFill>
        </w:rPr>
        <w:t xml:space="preserve">委托代理人（签字）：        </w:t>
      </w:r>
      <w:r>
        <w:rPr>
          <w:rFonts w:hint="eastAsia" w:ascii="宋体" w:hAnsi="宋体" w:eastAsia="宋体" w:cs="宋体"/>
          <w:color w:val="000000" w:themeColor="text1"/>
          <w:sz w:val="24"/>
          <w:szCs w:val="24"/>
          <w:lang w:val="en-US" w:eastAsia="zh-CN"/>
          <w14:textFill>
            <w14:solidFill>
              <w14:schemeClr w14:val="tx1"/>
            </w14:solidFill>
          </w14:textFill>
        </w:rPr>
        <w:t xml:space="preserve">      或</w:t>
      </w:r>
      <w:r>
        <w:rPr>
          <w:rFonts w:hint="default" w:ascii="宋体" w:hAnsi="宋体" w:eastAsia="宋体" w:cs="宋体"/>
          <w:color w:val="000000" w:themeColor="text1"/>
          <w:sz w:val="24"/>
          <w:szCs w:val="24"/>
          <w:lang w:val="en-US" w:eastAsia="zh-CN"/>
          <w14:textFill>
            <w14:solidFill>
              <w14:schemeClr w14:val="tx1"/>
            </w14:solidFill>
          </w14:textFill>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合同签订地</w:t>
      </w:r>
      <w:r>
        <w:rPr>
          <w:rFonts w:hint="eastAsia" w:ascii="宋体" w:hAnsi="宋体" w:eastAsia="宋体" w:cs="宋体"/>
          <w:color w:val="000000" w:themeColor="text1"/>
          <w:sz w:val="24"/>
          <w:szCs w:val="24"/>
          <w:lang w:val="en-US" w:eastAsia="zh-CN"/>
          <w14:textFill>
            <w14:solidFill>
              <w14:schemeClr w14:val="tx1"/>
            </w14:solidFill>
          </w14:textFill>
        </w:rPr>
        <w:t>履行地</w:t>
      </w:r>
      <w:r>
        <w:rPr>
          <w:rFonts w:hint="default" w:ascii="宋体" w:hAnsi="宋体" w:eastAsia="宋体" w:cs="宋体"/>
          <w:color w:val="000000" w:themeColor="text1"/>
          <w:sz w:val="24"/>
          <w:szCs w:val="24"/>
          <w:lang w:val="en-US" w:eastAsia="zh-CN"/>
          <w14:textFill>
            <w14:solidFill>
              <w14:schemeClr w14:val="tx1"/>
            </w14:solidFill>
          </w14:textFill>
        </w:rPr>
        <w:t xml:space="preserve">：娄底市娄星区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签订时间：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日</w:t>
      </w:r>
    </w:p>
    <w:p>
      <w:pPr>
        <w:rPr>
          <w:rFonts w:hint="default"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3"/>
        <w:numPr>
          <w:ilvl w:val="0"/>
          <w:numId w:val="0"/>
        </w:numPr>
        <w:spacing w:line="240" w:lineRule="auto"/>
        <w:ind w:left="2940" w:leftChars="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3"/>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2"/>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6"/>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5"/>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76514128"/>
      <w:bookmarkStart w:id="4" w:name="_Toc486424819"/>
    </w:p>
    <w:p>
      <w:pPr>
        <w:pStyle w:val="15"/>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6"/>
        <w:rPr>
          <w:color w:val="auto"/>
        </w:rPr>
      </w:pPr>
    </w:p>
    <w:p>
      <w:pPr>
        <w:pStyle w:val="15"/>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9C3600"/>
    <w:rsid w:val="06E91EC4"/>
    <w:rsid w:val="086F75C9"/>
    <w:rsid w:val="0A3F4F3C"/>
    <w:rsid w:val="0E331420"/>
    <w:rsid w:val="0E3D051E"/>
    <w:rsid w:val="0EDD1643"/>
    <w:rsid w:val="0FB9029C"/>
    <w:rsid w:val="10914EF9"/>
    <w:rsid w:val="12080B62"/>
    <w:rsid w:val="12994AC5"/>
    <w:rsid w:val="129F447F"/>
    <w:rsid w:val="12C86253"/>
    <w:rsid w:val="15060AC8"/>
    <w:rsid w:val="15675A4C"/>
    <w:rsid w:val="17F91BB8"/>
    <w:rsid w:val="1A694BBF"/>
    <w:rsid w:val="1AF56B46"/>
    <w:rsid w:val="1E79119D"/>
    <w:rsid w:val="1F334F58"/>
    <w:rsid w:val="1F796B24"/>
    <w:rsid w:val="1FE73549"/>
    <w:rsid w:val="2038045E"/>
    <w:rsid w:val="20B41DA7"/>
    <w:rsid w:val="272B6E6C"/>
    <w:rsid w:val="27CF2BB7"/>
    <w:rsid w:val="28E81B29"/>
    <w:rsid w:val="29843A46"/>
    <w:rsid w:val="29B45A41"/>
    <w:rsid w:val="2C0A2E19"/>
    <w:rsid w:val="2C7642D0"/>
    <w:rsid w:val="2DD77C64"/>
    <w:rsid w:val="2DDA1E78"/>
    <w:rsid w:val="2DE00B8C"/>
    <w:rsid w:val="2EAC037F"/>
    <w:rsid w:val="2EB67A5C"/>
    <w:rsid w:val="302741D2"/>
    <w:rsid w:val="308B184D"/>
    <w:rsid w:val="33384C93"/>
    <w:rsid w:val="340F06E9"/>
    <w:rsid w:val="359C0115"/>
    <w:rsid w:val="372F7378"/>
    <w:rsid w:val="397348CD"/>
    <w:rsid w:val="3B3B544D"/>
    <w:rsid w:val="3B654F2B"/>
    <w:rsid w:val="3BB72BAE"/>
    <w:rsid w:val="3BFC7D2B"/>
    <w:rsid w:val="3C8A61A4"/>
    <w:rsid w:val="3D5E17FF"/>
    <w:rsid w:val="3D691E99"/>
    <w:rsid w:val="3E1F0DA4"/>
    <w:rsid w:val="3E584E51"/>
    <w:rsid w:val="3EBE1ADE"/>
    <w:rsid w:val="403B4B34"/>
    <w:rsid w:val="414D7889"/>
    <w:rsid w:val="41BB0BAE"/>
    <w:rsid w:val="429A4992"/>
    <w:rsid w:val="435B161D"/>
    <w:rsid w:val="43B25DAC"/>
    <w:rsid w:val="44771DFD"/>
    <w:rsid w:val="45D569C3"/>
    <w:rsid w:val="4AEE1A11"/>
    <w:rsid w:val="4B7F39F4"/>
    <w:rsid w:val="4BAE646F"/>
    <w:rsid w:val="4CAC1559"/>
    <w:rsid w:val="4D754257"/>
    <w:rsid w:val="4DCD6AB3"/>
    <w:rsid w:val="50216DCD"/>
    <w:rsid w:val="50540C20"/>
    <w:rsid w:val="51AC28BD"/>
    <w:rsid w:val="52183ACC"/>
    <w:rsid w:val="53DE4A28"/>
    <w:rsid w:val="581A7C72"/>
    <w:rsid w:val="583A4BD7"/>
    <w:rsid w:val="59C74B1F"/>
    <w:rsid w:val="611B6B1B"/>
    <w:rsid w:val="627C2DFB"/>
    <w:rsid w:val="62C222C2"/>
    <w:rsid w:val="632D7C40"/>
    <w:rsid w:val="64133D6A"/>
    <w:rsid w:val="678E4F5D"/>
    <w:rsid w:val="680E122C"/>
    <w:rsid w:val="68E6067D"/>
    <w:rsid w:val="6A4E1D63"/>
    <w:rsid w:val="6DE375E4"/>
    <w:rsid w:val="6E8E5287"/>
    <w:rsid w:val="6FBE332C"/>
    <w:rsid w:val="704E28A5"/>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4">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Heading4"/>
    <w:basedOn w:val="1"/>
    <w:next w:val="1"/>
    <w:autoRedefine/>
    <w:qFormat/>
    <w:uiPriority w:val="0"/>
    <w:pPr>
      <w:keepNext/>
      <w:keepLines/>
      <w:spacing w:before="280" w:after="290" w:line="376" w:lineRule="auto"/>
      <w:textAlignment w:val="baseline"/>
    </w:pPr>
    <w:rPr>
      <w:rFonts w:ascii="Arial" w:hAnsi="Arial" w:eastAsia="黑体" w:cs="Times New Roman"/>
      <w:b/>
      <w:bCs/>
      <w:sz w:val="28"/>
      <w:szCs w:val="28"/>
    </w:rPr>
  </w:style>
  <w:style w:type="paragraph" w:styleId="5">
    <w:name w:val="Body Text Indent"/>
    <w:basedOn w:val="1"/>
    <w:next w:val="6"/>
    <w:autoRedefine/>
    <w:qFormat/>
    <w:uiPriority w:val="99"/>
    <w:pPr>
      <w:spacing w:line="400" w:lineRule="exact"/>
      <w:ind w:left="630"/>
    </w:pPr>
    <w:rPr>
      <w:rFonts w:ascii="楷体_GB2312"/>
      <w:sz w:val="30"/>
      <w:szCs w:val="30"/>
    </w:rPr>
  </w:style>
  <w:style w:type="paragraph" w:styleId="6">
    <w:name w:val="Body Text First Indent 2"/>
    <w:basedOn w:val="5"/>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7">
    <w:name w:val="footer"/>
    <w:basedOn w:val="1"/>
    <w:autoRedefine/>
    <w:qFormat/>
    <w:uiPriority w:val="0"/>
    <w:pPr>
      <w:tabs>
        <w:tab w:val="center" w:pos="4153"/>
        <w:tab w:val="right" w:pos="8306"/>
      </w:tabs>
      <w:snapToGrid w:val="0"/>
      <w:jc w:val="left"/>
    </w:pPr>
    <w:rPr>
      <w:kern w:val="0"/>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rPr>
      <w:sz w:val="24"/>
    </w:rPr>
  </w:style>
  <w:style w:type="paragraph" w:customStyle="1" w:styleId="12">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3">
    <w:name w:val="Default"/>
    <w:next w:val="14"/>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4">
    <w:name w:val="大标题"/>
    <w:basedOn w:val="1"/>
    <w:next w:val="6"/>
    <w:autoRedefine/>
    <w:qFormat/>
    <w:uiPriority w:val="0"/>
    <w:pPr>
      <w:jc w:val="center"/>
    </w:pPr>
    <w:rPr>
      <w:rFonts w:ascii="Arial" w:hAnsi="Arial" w:eastAsia="宋体"/>
      <w:b/>
      <w:sz w:val="28"/>
      <w:szCs w:val="24"/>
    </w:rPr>
  </w:style>
  <w:style w:type="paragraph" w:customStyle="1" w:styleId="15">
    <w:name w:val="列出段落1"/>
    <w:basedOn w:val="1"/>
    <w:autoRedefine/>
    <w:qFormat/>
    <w:uiPriority w:val="99"/>
    <w:pPr>
      <w:ind w:firstLine="420" w:firstLineChars="200"/>
    </w:pPr>
  </w:style>
  <w:style w:type="paragraph" w:customStyle="1" w:styleId="1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9963</Words>
  <Characters>10607</Characters>
  <Lines>0</Lines>
  <Paragraphs>0</Paragraphs>
  <TotalTime>2</TotalTime>
  <ScaleCrop>false</ScaleCrop>
  <LinksUpToDate>false</LinksUpToDate>
  <CharactersWithSpaces>13894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2024-07-24T07:54:53Z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3505A2AB25E048A4A9B0E6A6741CA1BA_11</vt:lpwstr>
  </property>
</Properties>
</file>