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napToGrid w:val="0"/>
        <w:jc w:val="center"/>
        <w:rPr>
          <w:rFonts w:hint="eastAsia" w:ascii="Arial" w:hAnsi="Arial" w:eastAsia="方正小标宋简体" w:cs="Arial"/>
          <w:color w:val="auto"/>
          <w:sz w:val="72"/>
          <w:szCs w:val="72"/>
          <w:lang w:eastAsia="zh-CN"/>
        </w:rPr>
      </w:pPr>
      <w:bookmarkStart w:id="0" w:name="_Toc16523570"/>
    </w:p>
    <w:p>
      <w:pPr>
        <w:pStyle w:val="13"/>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3"/>
        <w:snapToGrid w:val="0"/>
        <w:jc w:val="center"/>
        <w:rPr>
          <w:rFonts w:ascii="Arial" w:hAnsi="Arial" w:eastAsia="方正小标宋简体" w:cs="Arial"/>
          <w:sz w:val="72"/>
          <w:szCs w:val="72"/>
        </w:rPr>
      </w:pPr>
    </w:p>
    <w:p>
      <w:pPr>
        <w:pStyle w:val="13"/>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3"/>
        <w:snapToGrid w:val="0"/>
        <w:jc w:val="center"/>
        <w:rPr>
          <w:rFonts w:ascii="Arial" w:hAnsi="Arial" w:eastAsia="方正小标宋简体" w:cs="Arial"/>
          <w:sz w:val="72"/>
          <w:szCs w:val="72"/>
        </w:rPr>
      </w:pPr>
    </w:p>
    <w:p>
      <w:pPr>
        <w:pStyle w:val="13"/>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3"/>
        <w:snapToGrid w:val="0"/>
        <w:jc w:val="center"/>
        <w:rPr>
          <w:rFonts w:ascii="Arial" w:hAnsi="Arial" w:eastAsia="方正小标宋简体" w:cs="Arial"/>
          <w:sz w:val="72"/>
          <w:szCs w:val="72"/>
        </w:rPr>
      </w:pPr>
    </w:p>
    <w:p>
      <w:pPr>
        <w:pStyle w:val="13"/>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3"/>
        <w:snapToGrid w:val="0"/>
        <w:jc w:val="center"/>
        <w:rPr>
          <w:rFonts w:ascii="Arial" w:hAnsi="Arial" w:eastAsia="方正小标宋简体" w:cs="Arial"/>
          <w:sz w:val="72"/>
          <w:szCs w:val="72"/>
        </w:rPr>
      </w:pPr>
    </w:p>
    <w:p>
      <w:pPr>
        <w:pStyle w:val="13"/>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3"/>
        <w:snapToGrid w:val="0"/>
        <w:jc w:val="center"/>
        <w:rPr>
          <w:rFonts w:ascii="Arial" w:hAnsi="Arial" w:cs="Arial"/>
          <w:sz w:val="32"/>
          <w:szCs w:val="32"/>
        </w:rPr>
      </w:pPr>
    </w:p>
    <w:p>
      <w:pPr>
        <w:pStyle w:val="13"/>
        <w:snapToGrid w:val="0"/>
        <w:jc w:val="center"/>
        <w:rPr>
          <w:rFonts w:ascii="Arial" w:hAnsi="Arial" w:cs="Arial"/>
          <w:sz w:val="32"/>
          <w:szCs w:val="32"/>
        </w:rPr>
      </w:pPr>
    </w:p>
    <w:p>
      <w:pPr>
        <w:pStyle w:val="13"/>
        <w:snapToGrid w:val="0"/>
        <w:jc w:val="center"/>
        <w:rPr>
          <w:rFonts w:ascii="Arial" w:hAnsi="Arial" w:cs="Arial"/>
          <w:sz w:val="32"/>
          <w:szCs w:val="32"/>
        </w:rPr>
      </w:pPr>
    </w:p>
    <w:p>
      <w:pPr>
        <w:spacing w:line="360" w:lineRule="auto"/>
        <w:rPr>
          <w:rFonts w:hint="eastAsia"/>
          <w:bCs/>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（手术头架医院公开挂网</w:t>
      </w:r>
      <w:r>
        <w:rPr>
          <w:rFonts w:hint="eastAsia" w:ascii="Times New Roman" w:hAnsi="Times New Roman" w:eastAsia="宋体" w:cs="Times New Roman"/>
          <w:b/>
          <w:bCs/>
          <w:kern w:val="44"/>
          <w:sz w:val="32"/>
          <w:szCs w:val="32"/>
          <w:lang w:val="en-US" w:eastAsia="zh-CN" w:bidi="ar-SA"/>
        </w:rPr>
        <w:t>）</w:t>
      </w: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四</w:t>
      </w:r>
      <w:r>
        <w:rPr>
          <w:rFonts w:hint="eastAsia" w:ascii="宋体" w:hAnsi="宋体" w:cs="宋体"/>
          <w:bCs/>
          <w:sz w:val="32"/>
          <w:szCs w:val="32"/>
        </w:rPr>
        <w:t>年</w:t>
      </w:r>
      <w:r>
        <w:rPr>
          <w:rFonts w:hint="eastAsia" w:ascii="宋体" w:hAnsi="宋体" w:cs="宋体"/>
          <w:bCs/>
          <w:sz w:val="32"/>
          <w:szCs w:val="32"/>
          <w:lang w:eastAsia="zh-CN"/>
        </w:rPr>
        <w:t>七</w:t>
      </w:r>
      <w:r>
        <w:rPr>
          <w:rFonts w:hint="eastAsia" w:ascii="宋体" w:hAnsi="宋体" w:cs="宋体"/>
          <w:bCs/>
          <w:sz w:val="32"/>
          <w:szCs w:val="32"/>
        </w:rPr>
        <w:t>月</w:t>
      </w:r>
    </w:p>
    <w:p>
      <w:pPr>
        <w:pStyle w:val="4"/>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3"/>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手术头架</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3"/>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3"/>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手术头架</w:t>
      </w:r>
      <w:r>
        <w:rPr>
          <w:rFonts w:hint="eastAsia" w:asciiTheme="minorEastAsia" w:hAnsiTheme="minorEastAsia" w:eastAsiaTheme="minorEastAsia" w:cstheme="minorEastAsia"/>
          <w:b w:val="0"/>
          <w:bCs/>
          <w:color w:val="auto"/>
          <w:sz w:val="24"/>
          <w:szCs w:val="24"/>
          <w:lang w:val="en-US" w:eastAsia="zh-CN"/>
        </w:rPr>
        <w:t>项目</w:t>
      </w:r>
    </w:p>
    <w:p>
      <w:pPr>
        <w:pStyle w:val="13"/>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4"/>
        <w:rPr>
          <w:rFonts w:hint="eastAsia"/>
          <w:lang w:val="en-US" w:eastAsia="zh-CN"/>
        </w:rPr>
      </w:pPr>
    </w:p>
    <w:p>
      <w:pPr>
        <w:pStyle w:val="14"/>
        <w:jc w:val="both"/>
        <w:rPr>
          <w:rFonts w:hint="default"/>
          <w:lang w:val="en-US" w:eastAsia="zh-CN"/>
        </w:rPr>
      </w:pPr>
    </w:p>
    <w:p>
      <w:pPr>
        <w:pStyle w:val="13"/>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4"/>
        <w:rPr>
          <w:rFonts w:hint="eastAsia" w:ascii="宋体" w:hAnsi="宋体" w:cs="宋体"/>
          <w:b/>
          <w:bCs/>
          <w:color w:val="auto"/>
          <w:sz w:val="44"/>
          <w:szCs w:val="44"/>
          <w:lang w:val="en-US" w:eastAsia="zh-CN"/>
        </w:rPr>
      </w:pPr>
    </w:p>
    <w:p>
      <w:pPr>
        <w:pStyle w:val="2"/>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pStyle w:val="12"/>
        <w:rPr>
          <w:rFonts w:hint="eastAsia"/>
          <w:lang w:val="en-US" w:eastAsia="zh-CN"/>
        </w:rPr>
      </w:pPr>
    </w:p>
    <w:p>
      <w:pPr>
        <w:pStyle w:val="4"/>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lang w:val="en-US" w:eastAsia="zh-CN"/>
        </w:rPr>
      </w:pPr>
    </w:p>
    <w:p>
      <w:pPr>
        <w:pStyle w:val="13"/>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手术头架</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12.4</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bidi="ar-SA"/>
              </w:rPr>
              <w:t>否</w:t>
            </w: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1.活动范围大：前后移动量≥350mm，左右移动量≥360mm，上下移动量≥320mm， 颅骨固定架旋转角度360°，活动范围大，可满足多种体位的手术。</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2.表面涂层：表面特殊涂层处理，使产品表面更加耐磨，耐蚀性更强。</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3.两种头钉安装架：配有成人型和儿童型两种头钉安装架，分别用于固定成人颅骨和儿童颅骨，更加吻合，更加牢固。使用过程头钉安装架可快速拆卸互换。</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4.材料优势：主体部件采用航空铝合金型材一次加工成型，关键部件采用医用不锈钢加工，所有部件中无铸造件，无焊接处，坚固耐用。铝合金表面硬质氧化处理，整体重量更轻，手术及搬运更轻便。</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5.带卡槽颅骨固定架：颅骨固定架带有卡槽，方便安装头架转接器、头圈牵开系统及其他附件器械。</w:t>
      </w:r>
    </w:p>
    <w:p>
      <w:pPr>
        <w:spacing w:line="360" w:lineRule="auto"/>
        <w:ind w:firstLine="480" w:firstLineChars="200"/>
        <w:rPr>
          <w:rFonts w:hint="eastAsia" w:asciiTheme="minorEastAsia" w:hAnsiTheme="minorEastAsia" w:eastAsiaTheme="minorEastAsia" w:cstheme="minorEastAsia"/>
          <w:bCs/>
          <w:color w:val="FF0000"/>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w:t>
      </w:r>
      <w:r>
        <w:rPr>
          <w:rFonts w:hint="eastAsia" w:asciiTheme="minorEastAsia" w:hAnsiTheme="minorEastAsia" w:eastAsiaTheme="minorEastAsia" w:cstheme="minorEastAsia"/>
          <w:bCs/>
          <w:color w:val="FF0000"/>
          <w:kern w:val="0"/>
          <w:sz w:val="24"/>
          <w:szCs w:val="24"/>
          <w:lang w:val="en-US" w:eastAsia="zh-CN" w:bidi="ar-SA"/>
        </w:rPr>
        <w:t>压力调节显示：活动臂头钉调节装置中标有头钉压力90N(20lbs)、180N(40lbs)、270N(60lbs)、360N(80lbs)四个参数，刻度加文字标识，文字为欧标和国标两种压力单位，方便国内外医生使用。该功能为医生加压头钉力量的大小提供了量化指标。</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非球头万向旋转装置：能使颅骨固定架作360°旋转，适合患者作仰卧、坐姿、侧卧等不同部位的手术；该旋转装置为非球头结构，可有效防止血污渗入旋转装置造成血污不易清洗的情况发生，延长头架使用寿命。</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8.钛合金头钉：配有成人及儿童用两种头钉（儿童头钉可扎入颅骨深度较浅，可有效防止儿童颅脑组织被损伤），并可重复使用。头钉为钛合金材料，防锈能力更强，使用寿命更长。</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快速固定：头钉安装架座体装置设有“松”和“紧”两个状态，滚花螺帽可快速旋转至“松”或“紧”的状态，无需将滚花螺帽转动一圈。当滚花螺帽指向“松”的状态时，头钉安装架座体可轻松转动，当滚花螺帽指向“紧”的状态时，头钉安装架座体被固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10.保险按钮：底座锁紧装置带有保险按钮，锁紧手柄松开时需现将保险按钮按下，防止术中因误操作导致手柄弹开，使手术更加安全可靠。</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11.标记板：头颅固定架上有标记板，可对患者信息或手术情况进行必要的信息记录。</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12.头架转接器</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12.1头架转接器由单臂固定架、双臂固定架、头架转接器转接夹具、锁紧固定器组成。</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12.2、材料:医用不锈钢</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12.3、表面采用亚光处理工艺，手术时不反光，</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12.4、该头架转接器用于连接头架和转轴牵开器。</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12.5、该头架转接器配有1个单臂固定架和1个双臂固定架，单臂固定架与双臂固定架不能同时使用。单臂固定架用于连接一条软轴牵开器，双臂固定架可同时连接两条软轴牵开器。</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12.6、头架转接器转接夹具上的锁紧块用于夹持头架或其他固定装置其可夹持零件的厚度不超过38mm。</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13.手术头托</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13.1、头托垫采用凝胶填充，按压时柔软舒适，可避免长时间使用垫破患者皮肤。</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13.2、头托架采用航空铝合金材料，强度可靠，重量较轻，搬运方便。</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13.3、头托架表面特殊涂层处理，使产品表面更加耐磨，耐蚀性更强</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13.4、两头托垫中其中一头托垫可以在头托横轴上移动，手术时可根据患者头部</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宽度进行适当移动。</w:t>
      </w:r>
    </w:p>
    <w:p>
      <w:pPr>
        <w:pStyle w:val="4"/>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配置：</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2410"/>
        <w:gridCol w:w="3969"/>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ascii="宋体" w:hAnsi="宋体" w:eastAsia="宋体" w:cs="宋体"/>
                <w:spacing w:val="20"/>
                <w:sz w:val="24"/>
                <w:szCs w:val="24"/>
                <w:highlight w:val="none"/>
              </w:rPr>
            </w:pPr>
            <w:r>
              <w:rPr>
                <w:rFonts w:hint="eastAsia" w:ascii="宋体" w:hAnsi="宋体" w:eastAsia="宋体" w:cs="宋体"/>
                <w:spacing w:val="20"/>
                <w:sz w:val="24"/>
                <w:szCs w:val="24"/>
                <w:highlight w:val="none"/>
              </w:rPr>
              <w:t>序号</w:t>
            </w:r>
          </w:p>
        </w:tc>
        <w:tc>
          <w:tcPr>
            <w:tcW w:w="2410" w:type="dxa"/>
          </w:tcPr>
          <w:p>
            <w:pPr>
              <w:jc w:val="center"/>
              <w:rPr>
                <w:rFonts w:ascii="宋体" w:hAnsi="宋体" w:eastAsia="宋体" w:cs="宋体"/>
                <w:spacing w:val="20"/>
                <w:sz w:val="24"/>
                <w:szCs w:val="24"/>
                <w:highlight w:val="none"/>
              </w:rPr>
            </w:pPr>
            <w:r>
              <w:rPr>
                <w:rFonts w:hint="eastAsia" w:ascii="宋体" w:hAnsi="宋体" w:eastAsia="宋体" w:cs="宋体"/>
                <w:spacing w:val="20"/>
                <w:sz w:val="24"/>
                <w:szCs w:val="24"/>
                <w:highlight w:val="none"/>
              </w:rPr>
              <w:t>部件名称</w:t>
            </w:r>
          </w:p>
        </w:tc>
        <w:tc>
          <w:tcPr>
            <w:tcW w:w="3969" w:type="dxa"/>
          </w:tcPr>
          <w:p>
            <w:pPr>
              <w:jc w:val="center"/>
              <w:rPr>
                <w:rFonts w:ascii="宋体" w:hAnsi="宋体" w:eastAsia="宋体" w:cs="宋体"/>
                <w:spacing w:val="20"/>
                <w:sz w:val="24"/>
                <w:szCs w:val="24"/>
                <w:highlight w:val="none"/>
              </w:rPr>
            </w:pPr>
            <w:r>
              <w:rPr>
                <w:rFonts w:hint="eastAsia" w:ascii="宋体" w:hAnsi="宋体" w:eastAsia="宋体" w:cs="宋体"/>
                <w:spacing w:val="20"/>
                <w:sz w:val="24"/>
                <w:szCs w:val="24"/>
                <w:highlight w:val="none"/>
              </w:rPr>
              <w:t>具体描述</w:t>
            </w:r>
          </w:p>
        </w:tc>
        <w:tc>
          <w:tcPr>
            <w:tcW w:w="1184" w:type="dxa"/>
          </w:tcPr>
          <w:p>
            <w:pPr>
              <w:jc w:val="center"/>
              <w:rPr>
                <w:rFonts w:ascii="宋体" w:hAnsi="宋体" w:eastAsia="宋体" w:cs="宋体"/>
                <w:spacing w:val="20"/>
                <w:sz w:val="24"/>
                <w:szCs w:val="24"/>
                <w:highlight w:val="none"/>
              </w:rPr>
            </w:pPr>
            <w:r>
              <w:rPr>
                <w:rFonts w:hint="eastAsia" w:ascii="宋体" w:hAnsi="宋体" w:eastAsia="宋体" w:cs="宋体"/>
                <w:spacing w:val="20"/>
                <w:sz w:val="24"/>
                <w:szCs w:val="24"/>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pacing w:val="20"/>
                <w:sz w:val="24"/>
                <w:szCs w:val="24"/>
                <w:highlight w:val="none"/>
              </w:rPr>
            </w:pPr>
            <w:r>
              <w:rPr>
                <w:rFonts w:hint="eastAsia" w:ascii="宋体" w:hAnsi="宋体" w:eastAsia="宋体" w:cs="宋体"/>
                <w:spacing w:val="20"/>
                <w:sz w:val="24"/>
                <w:szCs w:val="24"/>
                <w:highlight w:val="none"/>
              </w:rPr>
              <w:t>1</w:t>
            </w:r>
          </w:p>
        </w:tc>
        <w:tc>
          <w:tcPr>
            <w:tcW w:w="2410" w:type="dxa"/>
            <w:vAlign w:val="center"/>
          </w:tcPr>
          <w:p>
            <w:pPr>
              <w:jc w:val="center"/>
              <w:rPr>
                <w:rFonts w:ascii="宋体" w:hAnsi="宋体" w:eastAsia="宋体" w:cs="宋体"/>
                <w:spacing w:val="20"/>
                <w:sz w:val="24"/>
                <w:szCs w:val="24"/>
                <w:highlight w:val="none"/>
              </w:rPr>
            </w:pPr>
            <w:r>
              <w:rPr>
                <w:rFonts w:hint="eastAsia" w:ascii="宋体" w:hAnsi="宋体" w:eastAsia="宋体" w:cs="宋体"/>
                <w:spacing w:val="20"/>
                <w:sz w:val="24"/>
                <w:szCs w:val="24"/>
                <w:highlight w:val="none"/>
              </w:rPr>
              <w:t>轴梁</w:t>
            </w:r>
          </w:p>
        </w:tc>
        <w:tc>
          <w:tcPr>
            <w:tcW w:w="3969" w:type="dxa"/>
          </w:tcPr>
          <w:p>
            <w:pPr>
              <w:jc w:val="center"/>
              <w:rPr>
                <w:rFonts w:ascii="宋体" w:hAnsi="宋体" w:eastAsia="宋体" w:cs="宋体"/>
                <w:spacing w:val="20"/>
                <w:sz w:val="24"/>
                <w:szCs w:val="24"/>
                <w:highlight w:val="none"/>
              </w:rPr>
            </w:pPr>
          </w:p>
        </w:tc>
        <w:tc>
          <w:tcPr>
            <w:tcW w:w="1184" w:type="dxa"/>
            <w:vAlign w:val="center"/>
          </w:tcPr>
          <w:p>
            <w:pPr>
              <w:jc w:val="center"/>
              <w:rPr>
                <w:rFonts w:ascii="宋体" w:hAnsi="宋体" w:eastAsia="宋体" w:cs="宋体"/>
                <w:spacing w:val="20"/>
                <w:sz w:val="24"/>
                <w:szCs w:val="24"/>
                <w:highlight w:val="none"/>
              </w:rPr>
            </w:pPr>
            <w:r>
              <w:rPr>
                <w:rFonts w:hint="eastAsia" w:ascii="宋体" w:hAnsi="宋体" w:eastAsia="宋体" w:cs="宋体"/>
                <w:spacing w:val="20"/>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pacing w:val="20"/>
                <w:sz w:val="24"/>
                <w:szCs w:val="24"/>
                <w:highlight w:val="none"/>
              </w:rPr>
            </w:pPr>
            <w:r>
              <w:rPr>
                <w:rFonts w:hint="eastAsia" w:ascii="宋体" w:hAnsi="宋体" w:eastAsia="宋体" w:cs="宋体"/>
                <w:spacing w:val="20"/>
                <w:sz w:val="24"/>
                <w:szCs w:val="24"/>
                <w:highlight w:val="none"/>
              </w:rPr>
              <w:t>2</w:t>
            </w:r>
          </w:p>
        </w:tc>
        <w:tc>
          <w:tcPr>
            <w:tcW w:w="2410" w:type="dxa"/>
            <w:vAlign w:val="center"/>
          </w:tcPr>
          <w:p>
            <w:pPr>
              <w:jc w:val="center"/>
              <w:rPr>
                <w:rFonts w:ascii="宋体" w:hAnsi="宋体" w:eastAsia="宋体" w:cs="宋体"/>
                <w:spacing w:val="20"/>
                <w:sz w:val="24"/>
                <w:szCs w:val="24"/>
                <w:highlight w:val="none"/>
              </w:rPr>
            </w:pPr>
            <w:r>
              <w:rPr>
                <w:rFonts w:hint="eastAsia" w:ascii="宋体" w:hAnsi="宋体" w:eastAsia="宋体" w:cs="宋体"/>
                <w:spacing w:val="20"/>
                <w:sz w:val="24"/>
                <w:szCs w:val="24"/>
                <w:highlight w:val="none"/>
              </w:rPr>
              <w:t>支架组件</w:t>
            </w:r>
          </w:p>
        </w:tc>
        <w:tc>
          <w:tcPr>
            <w:tcW w:w="3969" w:type="dxa"/>
          </w:tcPr>
          <w:p>
            <w:pPr>
              <w:jc w:val="left"/>
              <w:rPr>
                <w:rFonts w:ascii="宋体" w:hAnsi="宋体" w:eastAsia="宋体" w:cs="宋体"/>
                <w:spacing w:val="20"/>
                <w:sz w:val="24"/>
                <w:szCs w:val="24"/>
                <w:highlight w:val="none"/>
              </w:rPr>
            </w:pPr>
            <w:r>
              <w:rPr>
                <w:rFonts w:hint="eastAsia" w:ascii="宋体" w:hAnsi="宋体" w:eastAsia="宋体" w:cs="宋体"/>
                <w:spacing w:val="20"/>
                <w:sz w:val="24"/>
                <w:szCs w:val="24"/>
                <w:highlight w:val="none"/>
              </w:rPr>
              <w:t>左支支架可任意移动</w:t>
            </w:r>
          </w:p>
        </w:tc>
        <w:tc>
          <w:tcPr>
            <w:tcW w:w="1184" w:type="dxa"/>
            <w:vAlign w:val="center"/>
          </w:tcPr>
          <w:p>
            <w:pPr>
              <w:jc w:val="center"/>
              <w:rPr>
                <w:rFonts w:ascii="宋体" w:hAnsi="宋体" w:eastAsia="宋体" w:cs="宋体"/>
                <w:spacing w:val="20"/>
                <w:sz w:val="24"/>
                <w:szCs w:val="24"/>
                <w:highlight w:val="none"/>
              </w:rPr>
            </w:pPr>
            <w:r>
              <w:rPr>
                <w:rFonts w:hint="eastAsia" w:ascii="宋体" w:hAnsi="宋体" w:eastAsia="宋体" w:cs="宋体"/>
                <w:spacing w:val="20"/>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pacing w:val="20"/>
                <w:sz w:val="24"/>
                <w:szCs w:val="24"/>
                <w:highlight w:val="none"/>
              </w:rPr>
            </w:pPr>
            <w:r>
              <w:rPr>
                <w:rFonts w:hint="eastAsia" w:ascii="宋体" w:hAnsi="宋体" w:eastAsia="宋体" w:cs="宋体"/>
                <w:spacing w:val="20"/>
                <w:sz w:val="24"/>
                <w:szCs w:val="24"/>
                <w:highlight w:val="none"/>
              </w:rPr>
              <w:t>3</w:t>
            </w:r>
          </w:p>
        </w:tc>
        <w:tc>
          <w:tcPr>
            <w:tcW w:w="2410" w:type="dxa"/>
            <w:vAlign w:val="center"/>
          </w:tcPr>
          <w:p>
            <w:pPr>
              <w:jc w:val="center"/>
              <w:rPr>
                <w:rFonts w:ascii="宋体" w:hAnsi="宋体" w:eastAsia="宋体" w:cs="宋体"/>
                <w:spacing w:val="20"/>
                <w:sz w:val="24"/>
                <w:szCs w:val="24"/>
                <w:highlight w:val="none"/>
              </w:rPr>
            </w:pPr>
            <w:r>
              <w:rPr>
                <w:rFonts w:hint="eastAsia" w:ascii="宋体" w:hAnsi="宋体" w:eastAsia="宋体" w:cs="宋体"/>
                <w:spacing w:val="20"/>
                <w:sz w:val="24"/>
                <w:szCs w:val="24"/>
                <w:highlight w:val="none"/>
              </w:rPr>
              <w:t>调节臂组件</w:t>
            </w:r>
          </w:p>
        </w:tc>
        <w:tc>
          <w:tcPr>
            <w:tcW w:w="3969" w:type="dxa"/>
          </w:tcPr>
          <w:p>
            <w:pPr>
              <w:jc w:val="left"/>
              <w:rPr>
                <w:rFonts w:ascii="宋体" w:hAnsi="宋体" w:eastAsia="宋体" w:cs="宋体"/>
                <w:spacing w:val="20"/>
                <w:sz w:val="24"/>
                <w:szCs w:val="24"/>
                <w:highlight w:val="none"/>
              </w:rPr>
            </w:pPr>
            <w:r>
              <w:rPr>
                <w:rFonts w:hint="eastAsia" w:ascii="宋体" w:hAnsi="宋体" w:eastAsia="宋体" w:cs="宋体"/>
                <w:spacing w:val="20"/>
                <w:sz w:val="24"/>
                <w:szCs w:val="24"/>
                <w:highlight w:val="none"/>
              </w:rPr>
              <w:t>带有保险按钮，增加手术操作安全性</w:t>
            </w:r>
          </w:p>
        </w:tc>
        <w:tc>
          <w:tcPr>
            <w:tcW w:w="1184" w:type="dxa"/>
            <w:vAlign w:val="center"/>
          </w:tcPr>
          <w:p>
            <w:pPr>
              <w:jc w:val="center"/>
              <w:rPr>
                <w:rFonts w:ascii="宋体" w:hAnsi="宋体" w:eastAsia="宋体" w:cs="宋体"/>
                <w:spacing w:val="20"/>
                <w:sz w:val="24"/>
                <w:szCs w:val="24"/>
                <w:highlight w:val="none"/>
              </w:rPr>
            </w:pPr>
            <w:r>
              <w:rPr>
                <w:rFonts w:hint="eastAsia" w:ascii="宋体" w:hAnsi="宋体" w:eastAsia="宋体" w:cs="宋体"/>
                <w:spacing w:val="20"/>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pacing w:val="20"/>
                <w:sz w:val="24"/>
                <w:szCs w:val="24"/>
                <w:highlight w:val="none"/>
              </w:rPr>
            </w:pPr>
            <w:r>
              <w:rPr>
                <w:rFonts w:hint="eastAsia" w:ascii="宋体" w:hAnsi="宋体" w:eastAsia="宋体" w:cs="宋体"/>
                <w:spacing w:val="20"/>
                <w:sz w:val="24"/>
                <w:szCs w:val="24"/>
                <w:highlight w:val="none"/>
              </w:rPr>
              <w:t>4</w:t>
            </w:r>
          </w:p>
        </w:tc>
        <w:tc>
          <w:tcPr>
            <w:tcW w:w="2410" w:type="dxa"/>
            <w:vAlign w:val="center"/>
          </w:tcPr>
          <w:p>
            <w:pPr>
              <w:jc w:val="center"/>
              <w:rPr>
                <w:rFonts w:ascii="宋体" w:hAnsi="宋体" w:eastAsia="宋体" w:cs="宋体"/>
                <w:spacing w:val="20"/>
                <w:sz w:val="24"/>
                <w:szCs w:val="24"/>
                <w:highlight w:val="none"/>
              </w:rPr>
            </w:pPr>
            <w:r>
              <w:rPr>
                <w:rFonts w:hint="eastAsia" w:ascii="宋体" w:hAnsi="宋体" w:eastAsia="宋体" w:cs="宋体"/>
                <w:spacing w:val="20"/>
                <w:sz w:val="24"/>
                <w:szCs w:val="24"/>
                <w:highlight w:val="none"/>
              </w:rPr>
              <w:t>连杆组件</w:t>
            </w:r>
          </w:p>
        </w:tc>
        <w:tc>
          <w:tcPr>
            <w:tcW w:w="3969" w:type="dxa"/>
          </w:tcPr>
          <w:p>
            <w:pPr>
              <w:jc w:val="left"/>
              <w:rPr>
                <w:rFonts w:ascii="宋体" w:hAnsi="宋体" w:eastAsia="宋体" w:cs="宋体"/>
                <w:spacing w:val="20"/>
                <w:sz w:val="24"/>
                <w:szCs w:val="24"/>
                <w:highlight w:val="none"/>
              </w:rPr>
            </w:pPr>
          </w:p>
        </w:tc>
        <w:tc>
          <w:tcPr>
            <w:tcW w:w="1184" w:type="dxa"/>
            <w:vAlign w:val="center"/>
          </w:tcPr>
          <w:p>
            <w:pPr>
              <w:jc w:val="center"/>
              <w:rPr>
                <w:rFonts w:ascii="宋体" w:hAnsi="宋体" w:eastAsia="宋体" w:cs="宋体"/>
                <w:spacing w:val="20"/>
                <w:sz w:val="24"/>
                <w:szCs w:val="24"/>
                <w:highlight w:val="none"/>
              </w:rPr>
            </w:pPr>
            <w:r>
              <w:rPr>
                <w:rFonts w:hint="eastAsia" w:ascii="宋体" w:hAnsi="宋体" w:eastAsia="宋体" w:cs="宋体"/>
                <w:spacing w:val="20"/>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pacing w:val="20"/>
                <w:sz w:val="24"/>
                <w:szCs w:val="24"/>
                <w:highlight w:val="none"/>
              </w:rPr>
            </w:pPr>
            <w:r>
              <w:rPr>
                <w:rFonts w:hint="eastAsia" w:ascii="宋体" w:hAnsi="宋体" w:eastAsia="宋体" w:cs="宋体"/>
                <w:spacing w:val="20"/>
                <w:sz w:val="24"/>
                <w:szCs w:val="24"/>
                <w:highlight w:val="none"/>
              </w:rPr>
              <w:t>5</w:t>
            </w:r>
          </w:p>
        </w:tc>
        <w:tc>
          <w:tcPr>
            <w:tcW w:w="2410" w:type="dxa"/>
            <w:vAlign w:val="center"/>
          </w:tcPr>
          <w:p>
            <w:pPr>
              <w:jc w:val="center"/>
              <w:rPr>
                <w:rFonts w:ascii="宋体" w:hAnsi="宋体" w:eastAsia="宋体" w:cs="宋体"/>
                <w:spacing w:val="20"/>
                <w:sz w:val="24"/>
                <w:szCs w:val="24"/>
                <w:highlight w:val="none"/>
              </w:rPr>
            </w:pPr>
            <w:r>
              <w:rPr>
                <w:rFonts w:hint="eastAsia" w:ascii="宋体" w:hAnsi="宋体" w:eastAsia="宋体" w:cs="宋体"/>
                <w:spacing w:val="20"/>
                <w:sz w:val="24"/>
                <w:szCs w:val="24"/>
                <w:highlight w:val="none"/>
              </w:rPr>
              <w:t>万向锁紧臂部件</w:t>
            </w:r>
          </w:p>
        </w:tc>
        <w:tc>
          <w:tcPr>
            <w:tcW w:w="3969" w:type="dxa"/>
          </w:tcPr>
          <w:p>
            <w:pPr>
              <w:jc w:val="left"/>
              <w:rPr>
                <w:rFonts w:ascii="宋体" w:hAnsi="宋体" w:eastAsia="宋体" w:cs="宋体"/>
                <w:spacing w:val="20"/>
                <w:sz w:val="24"/>
                <w:szCs w:val="24"/>
                <w:highlight w:val="none"/>
              </w:rPr>
            </w:pPr>
            <w:r>
              <w:rPr>
                <w:rFonts w:hint="eastAsia" w:ascii="宋体" w:hAnsi="宋体" w:eastAsia="宋体" w:cs="宋体"/>
                <w:spacing w:val="20"/>
                <w:sz w:val="24"/>
                <w:szCs w:val="24"/>
                <w:highlight w:val="none"/>
              </w:rPr>
              <w:t>非球头结构，防止血污进入</w:t>
            </w:r>
          </w:p>
        </w:tc>
        <w:tc>
          <w:tcPr>
            <w:tcW w:w="1184" w:type="dxa"/>
            <w:vAlign w:val="center"/>
          </w:tcPr>
          <w:p>
            <w:pPr>
              <w:jc w:val="center"/>
              <w:rPr>
                <w:rFonts w:ascii="宋体" w:hAnsi="宋体" w:eastAsia="宋体" w:cs="宋体"/>
                <w:spacing w:val="20"/>
                <w:sz w:val="24"/>
                <w:szCs w:val="24"/>
                <w:highlight w:val="none"/>
              </w:rPr>
            </w:pPr>
            <w:r>
              <w:rPr>
                <w:rFonts w:hint="eastAsia" w:ascii="宋体" w:hAnsi="宋体" w:eastAsia="宋体" w:cs="宋体"/>
                <w:spacing w:val="20"/>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pacing w:val="20"/>
                <w:sz w:val="24"/>
                <w:szCs w:val="24"/>
                <w:highlight w:val="none"/>
              </w:rPr>
            </w:pPr>
            <w:r>
              <w:rPr>
                <w:rFonts w:hint="eastAsia" w:ascii="宋体" w:hAnsi="宋体" w:eastAsia="宋体" w:cs="宋体"/>
                <w:spacing w:val="20"/>
                <w:sz w:val="24"/>
                <w:szCs w:val="24"/>
                <w:highlight w:val="none"/>
              </w:rPr>
              <w:t>6</w:t>
            </w:r>
          </w:p>
        </w:tc>
        <w:tc>
          <w:tcPr>
            <w:tcW w:w="2410" w:type="dxa"/>
            <w:vAlign w:val="center"/>
          </w:tcPr>
          <w:p>
            <w:pPr>
              <w:jc w:val="center"/>
              <w:rPr>
                <w:rFonts w:ascii="宋体" w:hAnsi="宋体" w:eastAsia="宋体" w:cs="宋体"/>
                <w:spacing w:val="20"/>
                <w:sz w:val="24"/>
                <w:szCs w:val="24"/>
                <w:highlight w:val="none"/>
              </w:rPr>
            </w:pPr>
            <w:r>
              <w:rPr>
                <w:rFonts w:hint="eastAsia" w:ascii="宋体" w:hAnsi="宋体" w:eastAsia="宋体" w:cs="宋体"/>
                <w:spacing w:val="20"/>
                <w:sz w:val="24"/>
                <w:szCs w:val="24"/>
                <w:highlight w:val="none"/>
              </w:rPr>
              <w:t>活动臂部件</w:t>
            </w:r>
          </w:p>
        </w:tc>
        <w:tc>
          <w:tcPr>
            <w:tcW w:w="3969" w:type="dxa"/>
          </w:tcPr>
          <w:p>
            <w:pPr>
              <w:jc w:val="left"/>
              <w:rPr>
                <w:rFonts w:ascii="宋体" w:hAnsi="宋体" w:eastAsia="宋体" w:cs="宋体"/>
                <w:spacing w:val="20"/>
                <w:sz w:val="24"/>
                <w:szCs w:val="24"/>
                <w:highlight w:val="none"/>
              </w:rPr>
            </w:pPr>
            <w:r>
              <w:rPr>
                <w:rFonts w:hint="eastAsia" w:ascii="宋体" w:hAnsi="宋体" w:eastAsia="宋体" w:cs="宋体"/>
                <w:sz w:val="24"/>
                <w:szCs w:val="24"/>
                <w:highlight w:val="none"/>
              </w:rPr>
              <w:t>头钉调节装置中标有头钉压力指示，带有欧标和国标两种压力单位标记</w:t>
            </w:r>
          </w:p>
        </w:tc>
        <w:tc>
          <w:tcPr>
            <w:tcW w:w="1184" w:type="dxa"/>
            <w:vAlign w:val="center"/>
          </w:tcPr>
          <w:p>
            <w:pPr>
              <w:jc w:val="center"/>
              <w:rPr>
                <w:rFonts w:ascii="宋体" w:hAnsi="宋体" w:eastAsia="宋体" w:cs="宋体"/>
                <w:spacing w:val="20"/>
                <w:sz w:val="24"/>
                <w:szCs w:val="24"/>
                <w:highlight w:val="none"/>
              </w:rPr>
            </w:pPr>
            <w:r>
              <w:rPr>
                <w:rFonts w:hint="eastAsia" w:ascii="宋体" w:hAnsi="宋体" w:eastAsia="宋体" w:cs="宋体"/>
                <w:spacing w:val="20"/>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宋体" w:hAnsi="宋体" w:eastAsia="宋体" w:cs="宋体"/>
                <w:spacing w:val="20"/>
                <w:sz w:val="24"/>
                <w:szCs w:val="24"/>
                <w:highlight w:val="none"/>
              </w:rPr>
            </w:pPr>
            <w:r>
              <w:rPr>
                <w:rFonts w:hint="eastAsia" w:ascii="宋体" w:hAnsi="宋体" w:eastAsia="宋体" w:cs="宋体"/>
                <w:spacing w:val="20"/>
                <w:sz w:val="24"/>
                <w:szCs w:val="24"/>
                <w:highlight w:val="none"/>
              </w:rPr>
              <w:t>7</w:t>
            </w:r>
          </w:p>
        </w:tc>
        <w:tc>
          <w:tcPr>
            <w:tcW w:w="2410" w:type="dxa"/>
            <w:vAlign w:val="center"/>
          </w:tcPr>
          <w:p>
            <w:pPr>
              <w:jc w:val="center"/>
              <w:rPr>
                <w:rFonts w:ascii="宋体" w:hAnsi="宋体" w:eastAsia="宋体" w:cs="宋体"/>
                <w:spacing w:val="20"/>
                <w:sz w:val="24"/>
                <w:szCs w:val="24"/>
                <w:highlight w:val="none"/>
              </w:rPr>
            </w:pPr>
            <w:r>
              <w:rPr>
                <w:rFonts w:hint="eastAsia" w:ascii="宋体" w:hAnsi="宋体" w:eastAsia="宋体" w:cs="宋体"/>
                <w:spacing w:val="20"/>
                <w:sz w:val="24"/>
                <w:szCs w:val="24"/>
                <w:highlight w:val="none"/>
              </w:rPr>
              <w:t>固定臂部件</w:t>
            </w:r>
          </w:p>
        </w:tc>
        <w:tc>
          <w:tcPr>
            <w:tcW w:w="3969" w:type="dxa"/>
          </w:tcPr>
          <w:p>
            <w:pPr>
              <w:jc w:val="left"/>
              <w:rPr>
                <w:rFonts w:ascii="宋体" w:hAnsi="宋体" w:eastAsia="宋体" w:cs="宋体"/>
                <w:spacing w:val="20"/>
                <w:sz w:val="24"/>
                <w:szCs w:val="24"/>
                <w:highlight w:val="none"/>
              </w:rPr>
            </w:pPr>
            <w:r>
              <w:rPr>
                <w:rFonts w:hint="eastAsia" w:ascii="宋体" w:hAnsi="宋体" w:eastAsia="宋体" w:cs="宋体"/>
                <w:sz w:val="24"/>
                <w:szCs w:val="24"/>
                <w:highlight w:val="none"/>
              </w:rPr>
              <w:t>配有成人型和儿童型两种头钉安装架，并可快速互换</w:t>
            </w:r>
          </w:p>
        </w:tc>
        <w:tc>
          <w:tcPr>
            <w:tcW w:w="1184" w:type="dxa"/>
            <w:vAlign w:val="center"/>
          </w:tcPr>
          <w:p>
            <w:pPr>
              <w:jc w:val="center"/>
              <w:rPr>
                <w:rFonts w:ascii="宋体" w:hAnsi="宋体" w:eastAsia="宋体" w:cs="宋体"/>
                <w:spacing w:val="20"/>
                <w:sz w:val="24"/>
                <w:szCs w:val="24"/>
                <w:highlight w:val="none"/>
              </w:rPr>
            </w:pPr>
            <w:r>
              <w:rPr>
                <w:rFonts w:hint="eastAsia" w:ascii="宋体" w:hAnsi="宋体" w:eastAsia="宋体" w:cs="宋体"/>
                <w:spacing w:val="20"/>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hint="eastAsia" w:ascii="宋体" w:hAnsi="宋体" w:eastAsia="宋体" w:cs="宋体"/>
                <w:spacing w:val="20"/>
                <w:sz w:val="24"/>
                <w:szCs w:val="24"/>
                <w:highlight w:val="none"/>
                <w:lang w:val="en-US" w:eastAsia="zh-CN"/>
              </w:rPr>
            </w:pPr>
            <w:r>
              <w:rPr>
                <w:rFonts w:hint="eastAsia" w:ascii="宋体" w:hAnsi="宋体" w:eastAsia="宋体" w:cs="宋体"/>
                <w:spacing w:val="20"/>
                <w:sz w:val="24"/>
                <w:szCs w:val="24"/>
                <w:highlight w:val="none"/>
                <w:lang w:val="en-US" w:eastAsia="zh-CN"/>
              </w:rPr>
              <w:t>8</w:t>
            </w:r>
          </w:p>
        </w:tc>
        <w:tc>
          <w:tcPr>
            <w:tcW w:w="2410" w:type="dxa"/>
            <w:vAlign w:val="center"/>
          </w:tcPr>
          <w:p>
            <w:pPr>
              <w:jc w:val="center"/>
              <w:rPr>
                <w:rFonts w:hint="eastAsia" w:ascii="宋体" w:hAnsi="宋体" w:eastAsia="宋体" w:cs="宋体"/>
                <w:spacing w:val="20"/>
                <w:sz w:val="24"/>
                <w:szCs w:val="24"/>
                <w:highlight w:val="none"/>
              </w:rPr>
            </w:pPr>
            <w:r>
              <w:rPr>
                <w:rFonts w:hint="eastAsia" w:ascii="宋体" w:hAnsi="宋体" w:eastAsia="宋体" w:cs="宋体"/>
                <w:spacing w:val="20"/>
                <w:sz w:val="24"/>
                <w:szCs w:val="24"/>
                <w:highlight w:val="none"/>
              </w:rPr>
              <w:t>头架转接器</w:t>
            </w:r>
          </w:p>
        </w:tc>
        <w:tc>
          <w:tcPr>
            <w:tcW w:w="3969" w:type="dxa"/>
          </w:tcPr>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由头架转接锁紧固定器，头架转接垫圈，双臂固定架，但比固定架组成。</w:t>
            </w:r>
          </w:p>
        </w:tc>
        <w:tc>
          <w:tcPr>
            <w:tcW w:w="1184" w:type="dxa"/>
            <w:vAlign w:val="center"/>
          </w:tcPr>
          <w:p>
            <w:pPr>
              <w:jc w:val="center"/>
              <w:rPr>
                <w:rFonts w:hint="eastAsia" w:ascii="宋体" w:hAnsi="宋体" w:eastAsia="宋体" w:cs="宋体"/>
                <w:spacing w:val="20"/>
                <w:sz w:val="24"/>
                <w:szCs w:val="24"/>
                <w:highlight w:val="none"/>
                <w:lang w:val="en-US" w:eastAsia="zh-CN"/>
              </w:rPr>
            </w:pPr>
            <w:r>
              <w:rPr>
                <w:rFonts w:hint="eastAsia" w:ascii="宋体" w:hAnsi="宋体" w:eastAsia="宋体" w:cs="宋体"/>
                <w:spacing w:val="20"/>
                <w:sz w:val="24"/>
                <w:szCs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hint="eastAsia" w:ascii="宋体" w:hAnsi="宋体" w:eastAsia="宋体" w:cs="宋体"/>
                <w:spacing w:val="20"/>
                <w:sz w:val="24"/>
                <w:szCs w:val="24"/>
                <w:highlight w:val="none"/>
                <w:lang w:val="en-US" w:eastAsia="zh-CN"/>
              </w:rPr>
            </w:pPr>
            <w:r>
              <w:rPr>
                <w:rFonts w:hint="eastAsia" w:ascii="宋体" w:hAnsi="宋体" w:eastAsia="宋体" w:cs="宋体"/>
                <w:spacing w:val="20"/>
                <w:sz w:val="24"/>
                <w:szCs w:val="24"/>
                <w:highlight w:val="none"/>
                <w:lang w:val="en-US" w:eastAsia="zh-CN"/>
              </w:rPr>
              <w:t>9</w:t>
            </w:r>
          </w:p>
        </w:tc>
        <w:tc>
          <w:tcPr>
            <w:tcW w:w="2410" w:type="dxa"/>
            <w:vAlign w:val="center"/>
          </w:tcPr>
          <w:p>
            <w:pPr>
              <w:jc w:val="center"/>
              <w:rPr>
                <w:rFonts w:hint="eastAsia" w:ascii="宋体" w:hAnsi="宋体" w:eastAsia="宋体" w:cs="宋体"/>
                <w:spacing w:val="20"/>
                <w:sz w:val="24"/>
                <w:szCs w:val="24"/>
                <w:highlight w:val="none"/>
              </w:rPr>
            </w:pPr>
            <w:r>
              <w:rPr>
                <w:rFonts w:hint="eastAsia" w:ascii="宋体" w:hAnsi="宋体" w:eastAsia="宋体" w:cs="宋体"/>
                <w:spacing w:val="20"/>
                <w:sz w:val="24"/>
                <w:szCs w:val="24"/>
                <w:highlight w:val="none"/>
              </w:rPr>
              <w:t>手术头托</w:t>
            </w:r>
          </w:p>
        </w:tc>
        <w:tc>
          <w:tcPr>
            <w:tcW w:w="3969" w:type="dxa"/>
          </w:tcPr>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头托架采用航空铝合金材料，强度可靠，重量较轻，搬运方便。</w:t>
            </w:r>
          </w:p>
        </w:tc>
        <w:tc>
          <w:tcPr>
            <w:tcW w:w="1184" w:type="dxa"/>
            <w:vAlign w:val="center"/>
          </w:tcPr>
          <w:p>
            <w:pPr>
              <w:jc w:val="center"/>
              <w:rPr>
                <w:rFonts w:hint="eastAsia" w:ascii="宋体" w:hAnsi="宋体" w:eastAsia="宋体" w:cs="宋体"/>
                <w:spacing w:val="20"/>
                <w:sz w:val="24"/>
                <w:szCs w:val="24"/>
                <w:highlight w:val="none"/>
                <w:lang w:val="en-US" w:eastAsia="zh-CN"/>
              </w:rPr>
            </w:pPr>
            <w:r>
              <w:rPr>
                <w:rFonts w:hint="eastAsia" w:ascii="宋体" w:hAnsi="宋体" w:eastAsia="宋体" w:cs="宋体"/>
                <w:spacing w:val="20"/>
                <w:sz w:val="24"/>
                <w:szCs w:val="24"/>
                <w:highlight w:val="none"/>
                <w:lang w:val="en-US" w:eastAsia="zh-CN"/>
              </w:rPr>
              <w:t>1</w:t>
            </w:r>
          </w:p>
        </w:tc>
      </w:tr>
    </w:tbl>
    <w:p>
      <w:pPr>
        <w:rPr>
          <w:rFonts w:hint="eastAsia"/>
          <w:lang w:val="en-US" w:eastAsia="zh-CN"/>
        </w:rPr>
      </w:pPr>
      <w:bookmarkStart w:id="4" w:name="_GoBack"/>
      <w:bookmarkEnd w:id="4"/>
    </w:p>
    <w:p>
      <w:pPr>
        <w:pStyle w:val="4"/>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2、交货时间：按</w:t>
      </w:r>
      <w:r>
        <w:rPr>
          <w:rFonts w:hint="eastAsia" w:ascii="宋体" w:hAnsi="宋体" w:cs="宋体"/>
          <w:color w:val="auto"/>
          <w:sz w:val="24"/>
          <w:szCs w:val="24"/>
          <w:lang w:val="en-US" w:eastAsia="zh-CN"/>
        </w:rPr>
        <w:t>合同约定的日期交货。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、交货地点：娄底市中心医院</w:t>
      </w:r>
      <w:r>
        <w:rPr>
          <w:rFonts w:hint="eastAsia" w:ascii="宋体" w:hAnsi="宋体" w:cs="宋体"/>
          <w:color w:val="auto"/>
          <w:sz w:val="24"/>
          <w:szCs w:val="24"/>
          <w:lang w:val="en-US" w:eastAsia="zh-CN"/>
        </w:rPr>
        <w:t>指定地点</w:t>
      </w:r>
      <w:r>
        <w:rPr>
          <w:rFonts w:hint="eastAsia" w:ascii="宋体" w:hAnsi="宋体" w:eastAsia="宋体" w:cs="宋体"/>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eastAsia="宋体" w:cs="宋体"/>
          <w:color w:val="auto"/>
          <w:sz w:val="24"/>
          <w:szCs w:val="24"/>
          <w:lang w:val="en-US" w:eastAsia="zh-CN"/>
        </w:rPr>
        <w:t>满</w:t>
      </w:r>
      <w:r>
        <w:rPr>
          <w:rFonts w:hint="eastAsia" w:ascii="宋体" w:hAnsi="宋体" w:cs="宋体"/>
          <w:color w:val="auto"/>
          <w:sz w:val="24"/>
          <w:szCs w:val="24"/>
          <w:u w:val="none"/>
          <w:lang w:val="en-US" w:eastAsia="zh-CN"/>
        </w:rPr>
        <w:t>3年</w:t>
      </w:r>
      <w:r>
        <w:rPr>
          <w:rFonts w:hint="eastAsia" w:ascii="宋体" w:hAnsi="宋体" w:eastAsia="宋体" w:cs="宋体"/>
          <w:color w:val="auto"/>
          <w:sz w:val="24"/>
          <w:szCs w:val="24"/>
        </w:rPr>
        <w:t>后</w:t>
      </w:r>
      <w:r>
        <w:rPr>
          <w:rFonts w:hint="eastAsia" w:ascii="宋体" w:hAnsi="宋体" w:cs="宋体"/>
          <w:color w:val="auto"/>
          <w:sz w:val="24"/>
          <w:szCs w:val="24"/>
          <w:lang w:eastAsia="zh-CN"/>
        </w:rPr>
        <w:t>免息</w:t>
      </w:r>
      <w:r>
        <w:rPr>
          <w:rFonts w:hint="eastAsia" w:ascii="宋体" w:hAnsi="宋体" w:eastAsia="宋体" w:cs="宋体"/>
          <w:color w:val="auto"/>
          <w:sz w:val="24"/>
          <w:szCs w:val="24"/>
        </w:rPr>
        <w:t>支付10%余款给乙方。</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年，终身维修。</w:t>
      </w:r>
      <w:r>
        <w:rPr>
          <w:rFonts w:hint="eastAsia" w:ascii="宋体" w:hAnsi="宋体" w:cs="宋体"/>
          <w:color w:val="auto"/>
          <w:sz w:val="24"/>
          <w:szCs w:val="24"/>
          <w:lang w:val="en-US" w:eastAsia="zh-CN"/>
        </w:rPr>
        <w:t>验收时</w:t>
      </w:r>
      <w:r>
        <w:rPr>
          <w:rFonts w:hint="eastAsia" w:ascii="宋体" w:hAnsi="宋体" w:eastAsia="宋体" w:cs="宋体"/>
          <w:color w:val="auto"/>
          <w:sz w:val="24"/>
          <w:szCs w:val="24"/>
        </w:rPr>
        <w:t>出具原厂售后质保承诺书，质保期内每年巡检</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并提交巡检记录</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质保期内</w:t>
      </w:r>
      <w:r>
        <w:rPr>
          <w:rFonts w:hint="eastAsia" w:ascii="宋体" w:hAnsi="宋体" w:cs="宋体"/>
          <w:color w:val="auto"/>
          <w:sz w:val="24"/>
          <w:szCs w:val="24"/>
          <w:lang w:val="en-US" w:eastAsia="zh-CN"/>
        </w:rPr>
        <w:t>出现故障</w:t>
      </w:r>
      <w:r>
        <w:rPr>
          <w:rFonts w:hint="eastAsia" w:ascii="宋体" w:hAnsi="宋体" w:eastAsia="宋体" w:cs="宋体"/>
          <w:color w:val="auto"/>
          <w:sz w:val="24"/>
          <w:szCs w:val="24"/>
          <w:lang w:val="en-US" w:eastAsia="zh-CN"/>
        </w:rPr>
        <w:t>，24小时响应，响应后4小时上门服务</w:t>
      </w:r>
      <w:r>
        <w:rPr>
          <w:rFonts w:hint="eastAsia" w:ascii="宋体" w:hAnsi="宋体" w:cs="宋体"/>
          <w:color w:val="auto"/>
          <w:sz w:val="24"/>
          <w:szCs w:val="24"/>
          <w:lang w:val="en-US"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6、在投标文件中必须提供相关佐证资料（加盖投标人公章的技术参数、技术白皮书、说明书、彩页），并在响应表中备注该条参数响应或正偏离的佐证资料所在页码。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手术头架</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手术头架</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9"/>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手术头架</w:t>
            </w:r>
          </w:p>
        </w:tc>
        <w:tc>
          <w:tcPr>
            <w:tcW w:w="1220"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cs="宋体"/>
          <w:color w:val="000000" w:themeColor="text1"/>
          <w:sz w:val="24"/>
          <w:szCs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无论甲方在任意时候（不限于本合同履行期间）发现存在违反本合同廉洁条款及供应商考核管理制度约定的行为，乙方均须向甲方一次性支付惩罚性违约金   .00元，如本金额与根据甲方供应商考核管理制度计算的违约金金额不一致，违约金金额以价高的为准。如乙方除需承担违反廉洁条款及供应商考核管理制度的违约责任外，同时存在其他违约行为，乙方仍须就其他违约行为承担相应违约责任。</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 xml:space="preserve"> 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 xml:space="preserve"> 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法定代表人（签字）：    </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pStyle w:val="4"/>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pPr>
        <w:pStyle w:val="4"/>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1"/>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6"/>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5"/>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5"/>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86424819"/>
      <w:bookmarkStart w:id="3" w:name="_Toc476514128"/>
    </w:p>
    <w:p>
      <w:pPr>
        <w:pStyle w:val="15"/>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pPr>
        <w:pStyle w:val="16"/>
        <w:rPr>
          <w:color w:val="auto"/>
        </w:rPr>
      </w:pPr>
    </w:p>
    <w:p>
      <w:pPr>
        <w:pStyle w:val="15"/>
        <w:rPr>
          <w:rFonts w:hint="eastAsia"/>
          <w:lang w:eastAsia="zh-CN"/>
        </w:rPr>
      </w:pPr>
    </w:p>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4653F41"/>
    <w:rsid w:val="04B72FC8"/>
    <w:rsid w:val="06E91EC4"/>
    <w:rsid w:val="086F75C9"/>
    <w:rsid w:val="0A3F4F3C"/>
    <w:rsid w:val="0A8118BC"/>
    <w:rsid w:val="0E331420"/>
    <w:rsid w:val="0EDD1643"/>
    <w:rsid w:val="0FB9029C"/>
    <w:rsid w:val="10914EF9"/>
    <w:rsid w:val="12080B62"/>
    <w:rsid w:val="12994AC5"/>
    <w:rsid w:val="129F447F"/>
    <w:rsid w:val="12C772A5"/>
    <w:rsid w:val="12C86253"/>
    <w:rsid w:val="15060AC8"/>
    <w:rsid w:val="15675A4C"/>
    <w:rsid w:val="17F91BB8"/>
    <w:rsid w:val="1AF56B46"/>
    <w:rsid w:val="1E79119D"/>
    <w:rsid w:val="1F334F58"/>
    <w:rsid w:val="1F796B24"/>
    <w:rsid w:val="1FE73549"/>
    <w:rsid w:val="2038045E"/>
    <w:rsid w:val="20B41DA7"/>
    <w:rsid w:val="272B6E6C"/>
    <w:rsid w:val="27CF2BB7"/>
    <w:rsid w:val="28E81B29"/>
    <w:rsid w:val="29B45A41"/>
    <w:rsid w:val="2C0A2E19"/>
    <w:rsid w:val="2C7642D0"/>
    <w:rsid w:val="2DD77C64"/>
    <w:rsid w:val="2DDA1E78"/>
    <w:rsid w:val="2DE00B8C"/>
    <w:rsid w:val="2EAC037F"/>
    <w:rsid w:val="2EB67A5C"/>
    <w:rsid w:val="302741D2"/>
    <w:rsid w:val="308B184D"/>
    <w:rsid w:val="33384C93"/>
    <w:rsid w:val="340F06E9"/>
    <w:rsid w:val="372F7378"/>
    <w:rsid w:val="39182A16"/>
    <w:rsid w:val="397348CD"/>
    <w:rsid w:val="3B3B544D"/>
    <w:rsid w:val="3B654F2B"/>
    <w:rsid w:val="3BB72BAE"/>
    <w:rsid w:val="3C8A61A4"/>
    <w:rsid w:val="3D5E17FF"/>
    <w:rsid w:val="3E1F0DA4"/>
    <w:rsid w:val="3E584E51"/>
    <w:rsid w:val="3EBE1ADE"/>
    <w:rsid w:val="403B4B34"/>
    <w:rsid w:val="414D7889"/>
    <w:rsid w:val="41BB0BAE"/>
    <w:rsid w:val="429A4992"/>
    <w:rsid w:val="435B161D"/>
    <w:rsid w:val="43B25DAC"/>
    <w:rsid w:val="44771DFD"/>
    <w:rsid w:val="45D569C3"/>
    <w:rsid w:val="4AEE1A11"/>
    <w:rsid w:val="4B7F39F4"/>
    <w:rsid w:val="4BAE646F"/>
    <w:rsid w:val="4CAC1559"/>
    <w:rsid w:val="4D754257"/>
    <w:rsid w:val="4DCD6AB3"/>
    <w:rsid w:val="50216DCD"/>
    <w:rsid w:val="50540C20"/>
    <w:rsid w:val="51AC28BD"/>
    <w:rsid w:val="581A7C72"/>
    <w:rsid w:val="583A4BD7"/>
    <w:rsid w:val="59C74B1F"/>
    <w:rsid w:val="611B6B1B"/>
    <w:rsid w:val="62C222C2"/>
    <w:rsid w:val="632D7C40"/>
    <w:rsid w:val="64133D6A"/>
    <w:rsid w:val="678E4F5D"/>
    <w:rsid w:val="680E122C"/>
    <w:rsid w:val="6A4E1D63"/>
    <w:rsid w:val="6DE375E4"/>
    <w:rsid w:val="6E8E5287"/>
    <w:rsid w:val="6FBE332C"/>
    <w:rsid w:val="71554367"/>
    <w:rsid w:val="71584067"/>
    <w:rsid w:val="735201FF"/>
    <w:rsid w:val="737B50A4"/>
    <w:rsid w:val="73F40E72"/>
    <w:rsid w:val="74566F5C"/>
    <w:rsid w:val="750117A8"/>
    <w:rsid w:val="755B2270"/>
    <w:rsid w:val="76920D75"/>
    <w:rsid w:val="77423DFF"/>
    <w:rsid w:val="783B5EA9"/>
    <w:rsid w:val="7937603E"/>
    <w:rsid w:val="79EB699D"/>
    <w:rsid w:val="7B0620DE"/>
    <w:rsid w:val="7BBF44BB"/>
    <w:rsid w:val="7BF15CE4"/>
    <w:rsid w:val="7C3A27E5"/>
    <w:rsid w:val="7D9727DD"/>
    <w:rsid w:val="7EFB4F6E"/>
    <w:rsid w:val="7F1A5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5">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3">
    <w:name w:val="Body Text Indent"/>
    <w:basedOn w:val="1"/>
    <w:autoRedefine/>
    <w:qFormat/>
    <w:uiPriority w:val="99"/>
    <w:pPr>
      <w:spacing w:line="400" w:lineRule="exact"/>
      <w:ind w:left="630"/>
    </w:pPr>
    <w:rPr>
      <w:rFonts w:ascii="楷体_GB2312"/>
      <w:sz w:val="30"/>
      <w:szCs w:val="30"/>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3">
    <w:name w:val="Default"/>
    <w:next w:val="14"/>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4">
    <w:name w:val="大标题"/>
    <w:basedOn w:val="1"/>
    <w:next w:val="2"/>
    <w:autoRedefine/>
    <w:qFormat/>
    <w:uiPriority w:val="0"/>
    <w:pPr>
      <w:jc w:val="center"/>
    </w:pPr>
    <w:rPr>
      <w:rFonts w:ascii="Arial" w:hAnsi="Arial" w:eastAsia="宋体"/>
      <w:b/>
      <w:sz w:val="28"/>
      <w:szCs w:val="24"/>
    </w:rPr>
  </w:style>
  <w:style w:type="paragraph" w:customStyle="1" w:styleId="15">
    <w:name w:val="列出段落1"/>
    <w:basedOn w:val="1"/>
    <w:autoRedefine/>
    <w:qFormat/>
    <w:uiPriority w:val="99"/>
    <w:pPr>
      <w:ind w:firstLine="420" w:firstLineChars="200"/>
    </w:pPr>
  </w:style>
  <w:style w:type="paragraph" w:customStyle="1" w:styleId="16">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7">
    <w:name w:val="List Paragraph"/>
    <w:basedOn w:val="1"/>
    <w:autoRedefine/>
    <w:qFormat/>
    <w:uiPriority w:val="34"/>
    <w:pPr>
      <w:ind w:firstLine="420" w:firstLineChars="200"/>
    </w:pPr>
    <w:rPr>
      <w:rFonts w:ascii="Calibri" w:hAnsi="Calibri"/>
      <w:szCs w:val="22"/>
    </w:rPr>
  </w:style>
  <w:style w:type="character" w:customStyle="1" w:styleId="18">
    <w:name w:val="font21"/>
    <w:basedOn w:val="11"/>
    <w:uiPriority w:val="0"/>
    <w:rPr>
      <w:rFonts w:hint="default" w:ascii="Arial" w:hAnsi="Arial" w:cs="Arial"/>
      <w:color w:val="000000"/>
      <w:sz w:val="20"/>
      <w:szCs w:val="20"/>
      <w:u w:val="none"/>
    </w:rPr>
  </w:style>
  <w:style w:type="character" w:customStyle="1" w:styleId="19">
    <w:name w:val="font41"/>
    <w:basedOn w:val="11"/>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8056</Words>
  <Characters>8571</Characters>
  <Lines>0</Lines>
  <Paragraphs>0</Paragraphs>
  <TotalTime>0</TotalTime>
  <ScaleCrop>false</ScaleCrop>
  <LinksUpToDate>false</LinksUpToDate>
  <CharactersWithSpaces>9544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2024-07-12T07:37:55Z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3505A2AB25E048A4A9B0E6A6741CA1BA_11</vt:lpwstr>
  </property>
</Properties>
</file>