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16"/>
        <w:gridCol w:w="1963"/>
        <w:gridCol w:w="906"/>
        <w:gridCol w:w="1069"/>
        <w:gridCol w:w="2945"/>
      </w:tblGrid>
      <w:tr w14:paraId="142C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16" w:type="dxa"/>
            <w:vAlign w:val="center"/>
          </w:tcPr>
          <w:p w14:paraId="011E7CE4">
            <w:pPr>
              <w:jc w:val="center"/>
              <w:rPr>
                <w:rFonts w:hint="default"/>
                <w:sz w:val="28"/>
                <w:szCs w:val="28"/>
                <w:vertAlign w:val="baseline"/>
                <w:lang w:val="en-US" w:eastAsia="zh-CN"/>
              </w:rPr>
            </w:pPr>
            <w:r>
              <w:rPr>
                <w:rFonts w:hint="eastAsia"/>
                <w:sz w:val="28"/>
                <w:szCs w:val="28"/>
                <w:vertAlign w:val="baseline"/>
                <w:lang w:val="en-US" w:eastAsia="zh-CN"/>
              </w:rPr>
              <w:t>序号</w:t>
            </w:r>
          </w:p>
        </w:tc>
        <w:tc>
          <w:tcPr>
            <w:tcW w:w="1963" w:type="dxa"/>
            <w:vAlign w:val="center"/>
          </w:tcPr>
          <w:p w14:paraId="2C7FEBEF">
            <w:pPr>
              <w:jc w:val="center"/>
              <w:rPr>
                <w:rFonts w:hint="default"/>
                <w:sz w:val="28"/>
                <w:szCs w:val="28"/>
                <w:vertAlign w:val="baseline"/>
                <w:lang w:val="en-US" w:eastAsia="zh-CN"/>
              </w:rPr>
            </w:pPr>
            <w:r>
              <w:rPr>
                <w:rFonts w:hint="eastAsia"/>
                <w:sz w:val="28"/>
                <w:szCs w:val="28"/>
                <w:vertAlign w:val="baseline"/>
                <w:lang w:val="en-US" w:eastAsia="zh-CN"/>
              </w:rPr>
              <w:t>项目名称</w:t>
            </w:r>
          </w:p>
        </w:tc>
        <w:tc>
          <w:tcPr>
            <w:tcW w:w="906" w:type="dxa"/>
            <w:vAlign w:val="center"/>
          </w:tcPr>
          <w:p w14:paraId="47E2ACAC">
            <w:pPr>
              <w:jc w:val="center"/>
              <w:rPr>
                <w:rFonts w:hint="default"/>
                <w:sz w:val="28"/>
                <w:szCs w:val="28"/>
                <w:vertAlign w:val="baseline"/>
                <w:lang w:val="en-US" w:eastAsia="zh-CN"/>
              </w:rPr>
            </w:pPr>
            <w:r>
              <w:rPr>
                <w:rFonts w:hint="eastAsia"/>
                <w:sz w:val="28"/>
                <w:szCs w:val="28"/>
                <w:vertAlign w:val="baseline"/>
                <w:lang w:val="en-US" w:eastAsia="zh-CN"/>
              </w:rPr>
              <w:t>数量</w:t>
            </w:r>
          </w:p>
        </w:tc>
        <w:tc>
          <w:tcPr>
            <w:tcW w:w="1069" w:type="dxa"/>
            <w:vAlign w:val="center"/>
          </w:tcPr>
          <w:p w14:paraId="75752BFA">
            <w:pPr>
              <w:jc w:val="center"/>
              <w:rPr>
                <w:rFonts w:hint="default"/>
                <w:sz w:val="28"/>
                <w:szCs w:val="28"/>
                <w:vertAlign w:val="baseline"/>
                <w:lang w:val="en-US" w:eastAsia="zh-CN"/>
              </w:rPr>
            </w:pPr>
            <w:r>
              <w:rPr>
                <w:rFonts w:hint="eastAsia"/>
                <w:sz w:val="28"/>
                <w:szCs w:val="28"/>
                <w:vertAlign w:val="baseline"/>
                <w:lang w:val="en-US" w:eastAsia="zh-CN"/>
              </w:rPr>
              <w:t>单位</w:t>
            </w:r>
          </w:p>
        </w:tc>
        <w:tc>
          <w:tcPr>
            <w:tcW w:w="2945" w:type="dxa"/>
            <w:vAlign w:val="center"/>
          </w:tcPr>
          <w:p w14:paraId="782152E1">
            <w:pPr>
              <w:jc w:val="center"/>
              <w:rPr>
                <w:rFonts w:hint="default"/>
                <w:sz w:val="28"/>
                <w:szCs w:val="28"/>
                <w:vertAlign w:val="baseline"/>
                <w:lang w:val="en-US" w:eastAsia="zh-CN"/>
              </w:rPr>
            </w:pPr>
            <w:r>
              <w:rPr>
                <w:rFonts w:hint="eastAsia"/>
                <w:sz w:val="28"/>
                <w:szCs w:val="28"/>
                <w:vertAlign w:val="baseline"/>
                <w:lang w:val="en-US" w:eastAsia="zh-CN"/>
              </w:rPr>
              <w:t>分项预算（元）</w:t>
            </w:r>
          </w:p>
        </w:tc>
      </w:tr>
      <w:tr w14:paraId="5442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16" w:type="dxa"/>
            <w:vAlign w:val="center"/>
          </w:tcPr>
          <w:p w14:paraId="529E112D">
            <w:pPr>
              <w:jc w:val="center"/>
              <w:rPr>
                <w:rFonts w:hint="default"/>
                <w:sz w:val="28"/>
                <w:szCs w:val="28"/>
                <w:vertAlign w:val="baseline"/>
                <w:lang w:val="en-US" w:eastAsia="zh-CN"/>
              </w:rPr>
            </w:pPr>
            <w:r>
              <w:rPr>
                <w:rFonts w:hint="eastAsia"/>
                <w:sz w:val="28"/>
                <w:szCs w:val="28"/>
                <w:vertAlign w:val="baseline"/>
                <w:lang w:val="en-US" w:eastAsia="zh-CN"/>
              </w:rPr>
              <w:t>1</w:t>
            </w:r>
          </w:p>
        </w:tc>
        <w:tc>
          <w:tcPr>
            <w:tcW w:w="1963" w:type="dxa"/>
            <w:vAlign w:val="center"/>
          </w:tcPr>
          <w:p w14:paraId="5D4A9802">
            <w:pPr>
              <w:jc w:val="center"/>
              <w:rPr>
                <w:rFonts w:hint="default"/>
                <w:sz w:val="28"/>
                <w:szCs w:val="28"/>
                <w:vertAlign w:val="baseline"/>
                <w:lang w:val="en-US" w:eastAsia="zh-CN"/>
              </w:rPr>
            </w:pPr>
            <w:r>
              <w:rPr>
                <w:rFonts w:hint="eastAsia"/>
                <w:sz w:val="28"/>
                <w:szCs w:val="28"/>
                <w:vertAlign w:val="baseline"/>
                <w:lang w:val="en-US" w:eastAsia="zh-CN"/>
              </w:rPr>
              <w:t>液氮罐</w:t>
            </w:r>
          </w:p>
        </w:tc>
        <w:tc>
          <w:tcPr>
            <w:tcW w:w="906" w:type="dxa"/>
            <w:vAlign w:val="center"/>
          </w:tcPr>
          <w:p w14:paraId="62EC1DF4">
            <w:pPr>
              <w:jc w:val="center"/>
              <w:rPr>
                <w:rFonts w:hint="default"/>
                <w:sz w:val="28"/>
                <w:szCs w:val="28"/>
                <w:vertAlign w:val="baseline"/>
                <w:lang w:val="en-US" w:eastAsia="zh-CN"/>
              </w:rPr>
            </w:pPr>
            <w:r>
              <w:rPr>
                <w:rFonts w:hint="eastAsia"/>
                <w:sz w:val="28"/>
                <w:szCs w:val="28"/>
                <w:vertAlign w:val="baseline"/>
                <w:lang w:val="en-US" w:eastAsia="zh-CN"/>
              </w:rPr>
              <w:t>2</w:t>
            </w:r>
          </w:p>
        </w:tc>
        <w:tc>
          <w:tcPr>
            <w:tcW w:w="1069" w:type="dxa"/>
            <w:vAlign w:val="center"/>
          </w:tcPr>
          <w:p w14:paraId="64DAAC63">
            <w:pPr>
              <w:jc w:val="center"/>
              <w:rPr>
                <w:rFonts w:hint="default"/>
                <w:sz w:val="28"/>
                <w:szCs w:val="28"/>
                <w:vertAlign w:val="baseline"/>
                <w:lang w:val="en-US" w:eastAsia="zh-CN"/>
              </w:rPr>
            </w:pPr>
            <w:r>
              <w:rPr>
                <w:rFonts w:hint="eastAsia"/>
                <w:sz w:val="28"/>
                <w:szCs w:val="28"/>
                <w:vertAlign w:val="baseline"/>
                <w:lang w:val="en-US" w:eastAsia="zh-CN"/>
              </w:rPr>
              <w:t>个</w:t>
            </w:r>
          </w:p>
        </w:tc>
        <w:tc>
          <w:tcPr>
            <w:tcW w:w="2945" w:type="dxa"/>
            <w:vAlign w:val="center"/>
          </w:tcPr>
          <w:p w14:paraId="1638BF6F">
            <w:pPr>
              <w:jc w:val="center"/>
              <w:rPr>
                <w:rFonts w:hint="default"/>
                <w:sz w:val="28"/>
                <w:szCs w:val="28"/>
                <w:vertAlign w:val="baseline"/>
                <w:lang w:val="en-US" w:eastAsia="zh-CN"/>
              </w:rPr>
            </w:pPr>
            <w:r>
              <w:rPr>
                <w:rFonts w:hint="eastAsia"/>
                <w:sz w:val="28"/>
                <w:szCs w:val="28"/>
                <w:vertAlign w:val="baseline"/>
                <w:lang w:val="en-US" w:eastAsia="zh-CN"/>
              </w:rPr>
              <w:t>500*2=1000</w:t>
            </w:r>
          </w:p>
        </w:tc>
      </w:tr>
      <w:tr w14:paraId="74271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16" w:type="dxa"/>
            <w:vAlign w:val="center"/>
          </w:tcPr>
          <w:p w14:paraId="672DAE64">
            <w:pPr>
              <w:jc w:val="center"/>
              <w:rPr>
                <w:rFonts w:hint="default"/>
                <w:sz w:val="28"/>
                <w:szCs w:val="28"/>
                <w:vertAlign w:val="baseline"/>
                <w:lang w:val="en-US" w:eastAsia="zh-CN"/>
              </w:rPr>
            </w:pPr>
            <w:r>
              <w:rPr>
                <w:rFonts w:hint="eastAsia"/>
                <w:sz w:val="28"/>
                <w:szCs w:val="28"/>
                <w:vertAlign w:val="baseline"/>
                <w:lang w:val="en-US" w:eastAsia="zh-CN"/>
              </w:rPr>
              <w:t>2</w:t>
            </w:r>
          </w:p>
        </w:tc>
        <w:tc>
          <w:tcPr>
            <w:tcW w:w="1963" w:type="dxa"/>
            <w:vAlign w:val="center"/>
          </w:tcPr>
          <w:p w14:paraId="1F546ADB">
            <w:pPr>
              <w:jc w:val="center"/>
              <w:rPr>
                <w:rFonts w:hint="default"/>
                <w:sz w:val="28"/>
                <w:szCs w:val="28"/>
                <w:vertAlign w:val="baseline"/>
                <w:lang w:val="en-US" w:eastAsia="zh-CN"/>
              </w:rPr>
            </w:pPr>
            <w:r>
              <w:rPr>
                <w:rFonts w:hint="eastAsia"/>
                <w:sz w:val="28"/>
                <w:szCs w:val="28"/>
                <w:vertAlign w:val="baseline"/>
                <w:lang w:val="en-US" w:eastAsia="zh-CN"/>
              </w:rPr>
              <w:t>液氮冷冻喷壶</w:t>
            </w:r>
          </w:p>
        </w:tc>
        <w:tc>
          <w:tcPr>
            <w:tcW w:w="906" w:type="dxa"/>
            <w:vAlign w:val="center"/>
          </w:tcPr>
          <w:p w14:paraId="16A93F7D">
            <w:pPr>
              <w:jc w:val="center"/>
              <w:rPr>
                <w:rFonts w:hint="default"/>
                <w:sz w:val="28"/>
                <w:szCs w:val="28"/>
                <w:vertAlign w:val="baseline"/>
                <w:lang w:val="en-US" w:eastAsia="zh-CN"/>
              </w:rPr>
            </w:pPr>
            <w:r>
              <w:rPr>
                <w:rFonts w:hint="eastAsia"/>
                <w:sz w:val="28"/>
                <w:szCs w:val="28"/>
                <w:vertAlign w:val="baseline"/>
                <w:lang w:val="en-US" w:eastAsia="zh-CN"/>
              </w:rPr>
              <w:t>2</w:t>
            </w:r>
          </w:p>
        </w:tc>
        <w:tc>
          <w:tcPr>
            <w:tcW w:w="1069" w:type="dxa"/>
            <w:vAlign w:val="center"/>
          </w:tcPr>
          <w:p w14:paraId="10ED2359">
            <w:pPr>
              <w:jc w:val="center"/>
              <w:rPr>
                <w:rFonts w:hint="default"/>
                <w:sz w:val="28"/>
                <w:szCs w:val="28"/>
                <w:vertAlign w:val="baseline"/>
                <w:lang w:val="en-US" w:eastAsia="zh-CN"/>
              </w:rPr>
            </w:pPr>
            <w:r>
              <w:rPr>
                <w:rFonts w:hint="eastAsia"/>
                <w:sz w:val="28"/>
                <w:szCs w:val="28"/>
                <w:vertAlign w:val="baseline"/>
                <w:lang w:val="en-US" w:eastAsia="zh-CN"/>
              </w:rPr>
              <w:t>个</w:t>
            </w:r>
          </w:p>
        </w:tc>
        <w:tc>
          <w:tcPr>
            <w:tcW w:w="2945" w:type="dxa"/>
            <w:vAlign w:val="center"/>
          </w:tcPr>
          <w:p w14:paraId="7DCD32F1">
            <w:pPr>
              <w:jc w:val="center"/>
              <w:rPr>
                <w:rFonts w:hint="default"/>
                <w:sz w:val="28"/>
                <w:szCs w:val="28"/>
                <w:vertAlign w:val="baseline"/>
                <w:lang w:val="en-US" w:eastAsia="zh-CN"/>
              </w:rPr>
            </w:pPr>
            <w:r>
              <w:rPr>
                <w:rFonts w:hint="eastAsia"/>
                <w:sz w:val="28"/>
                <w:szCs w:val="28"/>
                <w:vertAlign w:val="baseline"/>
                <w:lang w:val="en-US" w:eastAsia="zh-CN"/>
              </w:rPr>
              <w:t>650*2=1300</w:t>
            </w:r>
          </w:p>
        </w:tc>
      </w:tr>
      <w:tr w14:paraId="7A79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16" w:type="dxa"/>
            <w:vAlign w:val="center"/>
          </w:tcPr>
          <w:p w14:paraId="0F6A2B33">
            <w:pPr>
              <w:jc w:val="center"/>
              <w:rPr>
                <w:rFonts w:hint="eastAsia"/>
                <w:sz w:val="28"/>
                <w:szCs w:val="28"/>
                <w:vertAlign w:val="baseline"/>
                <w:lang w:val="en-US" w:eastAsia="zh-CN"/>
              </w:rPr>
            </w:pPr>
          </w:p>
        </w:tc>
        <w:tc>
          <w:tcPr>
            <w:tcW w:w="1963" w:type="dxa"/>
            <w:vAlign w:val="center"/>
          </w:tcPr>
          <w:p w14:paraId="4F2498B4">
            <w:pPr>
              <w:jc w:val="center"/>
              <w:rPr>
                <w:rFonts w:hint="eastAsia"/>
                <w:sz w:val="28"/>
                <w:szCs w:val="28"/>
                <w:vertAlign w:val="baseline"/>
                <w:lang w:eastAsia="zh-CN"/>
              </w:rPr>
            </w:pPr>
          </w:p>
        </w:tc>
        <w:tc>
          <w:tcPr>
            <w:tcW w:w="906" w:type="dxa"/>
            <w:vAlign w:val="center"/>
          </w:tcPr>
          <w:p w14:paraId="025CC191">
            <w:pPr>
              <w:jc w:val="center"/>
              <w:rPr>
                <w:rFonts w:hint="eastAsia"/>
                <w:sz w:val="28"/>
                <w:szCs w:val="28"/>
                <w:vertAlign w:val="baseline"/>
                <w:lang w:eastAsia="zh-CN"/>
              </w:rPr>
            </w:pPr>
          </w:p>
        </w:tc>
        <w:tc>
          <w:tcPr>
            <w:tcW w:w="1069" w:type="dxa"/>
            <w:vAlign w:val="center"/>
          </w:tcPr>
          <w:p w14:paraId="51B7D7F1">
            <w:pPr>
              <w:jc w:val="center"/>
              <w:rPr>
                <w:rFonts w:hint="default"/>
                <w:sz w:val="28"/>
                <w:szCs w:val="28"/>
                <w:vertAlign w:val="baseline"/>
                <w:lang w:val="en-US" w:eastAsia="zh-CN"/>
              </w:rPr>
            </w:pPr>
            <w:r>
              <w:rPr>
                <w:rFonts w:hint="eastAsia"/>
                <w:sz w:val="28"/>
                <w:szCs w:val="28"/>
                <w:vertAlign w:val="baseline"/>
                <w:lang w:val="en-US" w:eastAsia="zh-CN"/>
              </w:rPr>
              <w:t>合计：</w:t>
            </w:r>
          </w:p>
        </w:tc>
        <w:tc>
          <w:tcPr>
            <w:tcW w:w="2945" w:type="dxa"/>
            <w:vAlign w:val="center"/>
          </w:tcPr>
          <w:p w14:paraId="05229E26">
            <w:pPr>
              <w:jc w:val="center"/>
              <w:rPr>
                <w:rFonts w:hint="default"/>
                <w:sz w:val="28"/>
                <w:szCs w:val="28"/>
                <w:vertAlign w:val="baseline"/>
                <w:lang w:val="en-US" w:eastAsia="zh-CN"/>
              </w:rPr>
            </w:pPr>
            <w:r>
              <w:rPr>
                <w:rFonts w:hint="eastAsia"/>
                <w:sz w:val="28"/>
                <w:szCs w:val="28"/>
                <w:vertAlign w:val="baseline"/>
                <w:lang w:val="en-US" w:eastAsia="zh-CN"/>
              </w:rPr>
              <w:t>2300</w:t>
            </w:r>
          </w:p>
        </w:tc>
      </w:tr>
    </w:tbl>
    <w:p w14:paraId="2B455F55">
      <w:pPr>
        <w:jc w:val="center"/>
        <w:rPr>
          <w:rFonts w:hint="default"/>
          <w:sz w:val="28"/>
          <w:szCs w:val="28"/>
          <w:lang w:val="en-US" w:eastAsia="zh-CN"/>
        </w:rPr>
      </w:pPr>
      <w:r>
        <w:rPr>
          <w:rFonts w:hint="eastAsia"/>
          <w:sz w:val="44"/>
          <w:szCs w:val="44"/>
          <w:lang w:val="en-US" w:eastAsia="zh-CN"/>
        </w:rPr>
        <w:t>液氮罐等一批招标参数</w:t>
      </w:r>
    </w:p>
    <w:p w14:paraId="32253480">
      <w:pPr>
        <w:rPr>
          <w:rFonts w:hint="eastAsia"/>
          <w:sz w:val="28"/>
          <w:szCs w:val="28"/>
          <w:lang w:eastAsia="zh-CN"/>
        </w:rPr>
      </w:pPr>
      <w:r>
        <w:rPr>
          <w:rFonts w:hint="eastAsia"/>
          <w:sz w:val="28"/>
          <w:szCs w:val="28"/>
          <w:lang w:val="en-US" w:eastAsia="zh-CN"/>
        </w:rPr>
        <w:t>一、液氮罐技术</w:t>
      </w:r>
      <w:r>
        <w:rPr>
          <w:rFonts w:hint="eastAsia"/>
          <w:sz w:val="28"/>
          <w:szCs w:val="28"/>
          <w:lang w:eastAsia="zh-CN"/>
        </w:rPr>
        <w:t>参数</w:t>
      </w:r>
    </w:p>
    <w:p w14:paraId="7AD2BBD9">
      <w:pPr>
        <w:numPr>
          <w:ilvl w:val="0"/>
          <w:numId w:val="1"/>
        </w:numPr>
        <w:rPr>
          <w:sz w:val="24"/>
          <w:szCs w:val="24"/>
        </w:rPr>
      </w:pPr>
      <w:r>
        <w:rPr>
          <w:rFonts w:hint="eastAsia"/>
          <w:sz w:val="24"/>
          <w:szCs w:val="24"/>
          <w:lang w:eastAsia="zh-CN"/>
        </w:rPr>
        <w:t>容积：≥10L</w:t>
      </w:r>
    </w:p>
    <w:p w14:paraId="24CDFBED">
      <w:pPr>
        <w:numPr>
          <w:ilvl w:val="0"/>
          <w:numId w:val="1"/>
        </w:numPr>
        <w:rPr>
          <w:rFonts w:hint="eastAsia"/>
          <w:sz w:val="24"/>
          <w:szCs w:val="24"/>
          <w:lang w:eastAsia="zh-CN"/>
        </w:rPr>
      </w:pPr>
      <w:r>
        <w:rPr>
          <w:rFonts w:hint="eastAsia"/>
          <w:sz w:val="24"/>
          <w:szCs w:val="24"/>
          <w:lang w:eastAsia="zh-CN"/>
        </w:rPr>
        <w:t>颈口直径：</w:t>
      </w:r>
      <w:r>
        <w:rPr>
          <w:rFonts w:hint="eastAsia"/>
          <w:sz w:val="24"/>
          <w:szCs w:val="24"/>
        </w:rPr>
        <w:t>≤</w:t>
      </w:r>
      <w:r>
        <w:rPr>
          <w:rFonts w:hint="eastAsia"/>
          <w:sz w:val="24"/>
          <w:szCs w:val="24"/>
          <w:lang w:eastAsia="zh-CN"/>
        </w:rPr>
        <w:t>50mm</w:t>
      </w:r>
    </w:p>
    <w:p w14:paraId="52E245BD">
      <w:pPr>
        <w:numPr>
          <w:ilvl w:val="0"/>
          <w:numId w:val="1"/>
        </w:numPr>
        <w:rPr>
          <w:rFonts w:hint="eastAsia"/>
          <w:sz w:val="24"/>
          <w:szCs w:val="24"/>
          <w:lang w:eastAsia="zh-CN"/>
        </w:rPr>
      </w:pPr>
      <w:r>
        <w:rPr>
          <w:rFonts w:hint="eastAsia"/>
          <w:sz w:val="24"/>
          <w:szCs w:val="24"/>
          <w:lang w:eastAsia="zh-CN"/>
        </w:rPr>
        <w:t>外径：</w:t>
      </w:r>
      <w:r>
        <w:rPr>
          <w:rFonts w:hint="eastAsia"/>
          <w:sz w:val="24"/>
          <w:szCs w:val="24"/>
        </w:rPr>
        <w:t>≤</w:t>
      </w:r>
      <w:r>
        <w:rPr>
          <w:rFonts w:hint="eastAsia"/>
          <w:sz w:val="24"/>
          <w:szCs w:val="24"/>
          <w:lang w:eastAsia="zh-CN"/>
        </w:rPr>
        <w:t>305mm</w:t>
      </w:r>
    </w:p>
    <w:p w14:paraId="3DEB1B7C">
      <w:pPr>
        <w:numPr>
          <w:ilvl w:val="0"/>
          <w:numId w:val="1"/>
        </w:numPr>
        <w:rPr>
          <w:rFonts w:hint="eastAsia"/>
          <w:sz w:val="24"/>
          <w:szCs w:val="24"/>
          <w:lang w:eastAsia="zh-CN"/>
        </w:rPr>
      </w:pPr>
      <w:r>
        <w:rPr>
          <w:rFonts w:hint="eastAsia"/>
          <w:sz w:val="24"/>
          <w:szCs w:val="24"/>
          <w:lang w:eastAsia="zh-CN"/>
        </w:rPr>
        <w:t>高度：</w:t>
      </w:r>
      <w:r>
        <w:rPr>
          <w:rFonts w:hint="eastAsia"/>
          <w:sz w:val="24"/>
          <w:szCs w:val="24"/>
        </w:rPr>
        <w:t>≤</w:t>
      </w:r>
      <w:r>
        <w:rPr>
          <w:rFonts w:hint="eastAsia"/>
          <w:sz w:val="24"/>
          <w:szCs w:val="24"/>
          <w:lang w:eastAsia="zh-CN"/>
        </w:rPr>
        <w:t>550mm</w:t>
      </w:r>
    </w:p>
    <w:p w14:paraId="01B60EEB">
      <w:pPr>
        <w:numPr>
          <w:ilvl w:val="0"/>
          <w:numId w:val="1"/>
        </w:numPr>
        <w:rPr>
          <w:rFonts w:hint="eastAsia"/>
          <w:sz w:val="24"/>
          <w:szCs w:val="24"/>
        </w:rPr>
      </w:pPr>
      <w:r>
        <w:rPr>
          <w:rFonts w:hint="eastAsia"/>
          <w:sz w:val="24"/>
          <w:szCs w:val="24"/>
          <w:lang w:eastAsia="zh-CN"/>
        </w:rPr>
        <w:t>空重：</w:t>
      </w:r>
      <w:r>
        <w:rPr>
          <w:rFonts w:hint="eastAsia"/>
          <w:sz w:val="24"/>
          <w:szCs w:val="24"/>
        </w:rPr>
        <w:t>≤</w:t>
      </w:r>
      <w:r>
        <w:rPr>
          <w:rFonts w:hint="eastAsia"/>
          <w:sz w:val="24"/>
          <w:szCs w:val="24"/>
          <w:lang w:eastAsia="zh-CN"/>
        </w:rPr>
        <w:t>6.2mm</w:t>
      </w:r>
    </w:p>
    <w:p w14:paraId="105B8C5B">
      <w:pPr>
        <w:numPr>
          <w:ilvl w:val="0"/>
          <w:numId w:val="1"/>
        </w:numPr>
        <w:rPr>
          <w:rFonts w:hint="eastAsia"/>
          <w:sz w:val="24"/>
          <w:szCs w:val="24"/>
        </w:rPr>
      </w:pPr>
      <w:r>
        <w:rPr>
          <w:rFonts w:hint="eastAsia"/>
          <w:sz w:val="24"/>
          <w:szCs w:val="24"/>
        </w:rPr>
        <w:t>容器由内胆、外胆、提筒以及连接内外胆的颈管所组成，内外胆是有高强度航空铝合金制成，坚固耐用。</w:t>
      </w:r>
    </w:p>
    <w:p w14:paraId="39AC2138">
      <w:pPr>
        <w:numPr>
          <w:ilvl w:val="0"/>
          <w:numId w:val="1"/>
        </w:numPr>
        <w:rPr>
          <w:rFonts w:hint="eastAsia"/>
          <w:sz w:val="24"/>
          <w:szCs w:val="24"/>
        </w:rPr>
      </w:pPr>
      <w:r>
        <w:rPr>
          <w:rFonts w:hint="eastAsia"/>
          <w:sz w:val="24"/>
          <w:szCs w:val="24"/>
        </w:rPr>
        <w:t xml:space="preserve"> 内胆和外胆之间是高真空，真空膜装有多层进口绝热材料，因此有良好冷藏性能。 </w:t>
      </w:r>
    </w:p>
    <w:p w14:paraId="427C5E36">
      <w:pPr>
        <w:numPr>
          <w:ilvl w:val="0"/>
          <w:numId w:val="1"/>
        </w:numPr>
        <w:rPr>
          <w:rFonts w:hint="eastAsia"/>
          <w:sz w:val="24"/>
          <w:szCs w:val="24"/>
        </w:rPr>
      </w:pPr>
      <w:r>
        <w:rPr>
          <w:rFonts w:hint="eastAsia"/>
          <w:sz w:val="24"/>
          <w:szCs w:val="24"/>
        </w:rPr>
        <w:t>颈塞是由绝热性良好的无毒塑料制成。它具有减少液氮蒸发和固定提筒的双重作用。</w:t>
      </w:r>
    </w:p>
    <w:p w14:paraId="7362A868">
      <w:pPr>
        <w:numPr>
          <w:ilvl w:val="0"/>
          <w:numId w:val="1"/>
        </w:numPr>
        <w:rPr>
          <w:rFonts w:hint="eastAsia"/>
          <w:sz w:val="24"/>
          <w:szCs w:val="24"/>
        </w:rPr>
      </w:pPr>
      <w:r>
        <w:rPr>
          <w:rFonts w:hint="eastAsia"/>
          <w:sz w:val="24"/>
          <w:szCs w:val="24"/>
        </w:rPr>
        <w:t xml:space="preserve">颈管是用玻璃增强化合物制成，它具有极低的热导率可把从颈管进入的外部热量控制在最低限度。 </w:t>
      </w:r>
    </w:p>
    <w:p w14:paraId="1697C5D6">
      <w:pPr>
        <w:numPr>
          <w:ilvl w:val="0"/>
          <w:numId w:val="1"/>
        </w:numPr>
        <w:rPr>
          <w:sz w:val="24"/>
          <w:szCs w:val="24"/>
        </w:rPr>
      </w:pPr>
      <w:r>
        <w:rPr>
          <w:rFonts w:hint="eastAsia"/>
          <w:sz w:val="24"/>
          <w:szCs w:val="24"/>
        </w:rPr>
        <w:t xml:space="preserve">在真空部位装有气体吸附剂，它能吸附真空腔中金属或其它物质挥发出的气体从而长期保持高真空。 </w:t>
      </w:r>
    </w:p>
    <w:p w14:paraId="70EF0518">
      <w:pPr>
        <w:numPr>
          <w:ilvl w:val="0"/>
          <w:numId w:val="1"/>
        </w:numPr>
      </w:pPr>
      <w:r>
        <w:rPr>
          <w:rFonts w:hint="eastAsia"/>
          <w:sz w:val="24"/>
          <w:szCs w:val="24"/>
        </w:rPr>
        <w:t>提桶置于液氮中，用来存放冷冻物品。其上部被颈塞的小槽和刻数盘的缺口所固定保证运输中稳定可靠。</w:t>
      </w:r>
    </w:p>
    <w:p w14:paraId="03F3502B">
      <w:pPr>
        <w:numPr>
          <w:numId w:val="0"/>
        </w:numPr>
      </w:pPr>
      <w:r>
        <w:drawing>
          <wp:inline distT="0" distB="0" distL="114300" distR="114300">
            <wp:extent cx="5270500" cy="264033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0500" cy="2640330"/>
                    </a:xfrm>
                    <a:prstGeom prst="rect">
                      <a:avLst/>
                    </a:prstGeom>
                    <a:noFill/>
                    <a:ln w="9525">
                      <a:noFill/>
                    </a:ln>
                  </pic:spPr>
                </pic:pic>
              </a:graphicData>
            </a:graphic>
          </wp:inline>
        </w:drawing>
      </w:r>
    </w:p>
    <w:p w14:paraId="3CAE85F4">
      <w:pPr>
        <w:numPr>
          <w:numId w:val="0"/>
        </w:numPr>
      </w:pPr>
    </w:p>
    <w:p w14:paraId="2546C5CB">
      <w:pPr>
        <w:rPr>
          <w:rFonts w:hint="eastAsia"/>
          <w:sz w:val="28"/>
          <w:szCs w:val="28"/>
          <w:lang w:val="en-US" w:eastAsia="zh-CN"/>
        </w:rPr>
      </w:pPr>
      <w:r>
        <w:rPr>
          <w:rFonts w:hint="eastAsia"/>
          <w:sz w:val="28"/>
          <w:szCs w:val="28"/>
          <w:lang w:val="en-US" w:eastAsia="zh-CN"/>
        </w:rPr>
        <w:t>二、液氮冷冻喷壶技术参数</w:t>
      </w:r>
    </w:p>
    <w:p w14:paraId="42349436">
      <w:pPr>
        <w:rPr>
          <w:rFonts w:hint="eastAsia"/>
          <w:sz w:val="28"/>
          <w:szCs w:val="28"/>
        </w:rPr>
      </w:pPr>
      <w:r>
        <w:rPr>
          <w:rFonts w:hint="eastAsia"/>
          <w:sz w:val="28"/>
          <w:szCs w:val="28"/>
          <w:lang w:val="en-US" w:eastAsia="zh-CN"/>
        </w:rPr>
        <w:t>1、</w:t>
      </w:r>
      <w:r>
        <w:rPr>
          <w:rFonts w:hint="eastAsia"/>
          <w:sz w:val="28"/>
          <w:szCs w:val="28"/>
        </w:rPr>
        <w:t xml:space="preserve">容量:≥300ML </w:t>
      </w:r>
    </w:p>
    <w:p w14:paraId="56D0DFAE">
      <w:pPr>
        <w:rPr>
          <w:rFonts w:hint="eastAsia"/>
          <w:sz w:val="28"/>
          <w:szCs w:val="28"/>
        </w:rPr>
      </w:pPr>
      <w:r>
        <w:rPr>
          <w:rFonts w:hint="eastAsia"/>
          <w:sz w:val="28"/>
          <w:szCs w:val="28"/>
          <w:lang w:val="en-US" w:eastAsia="zh-CN"/>
        </w:rPr>
        <w:t>2、</w:t>
      </w:r>
      <w:r>
        <w:rPr>
          <w:rFonts w:hint="eastAsia"/>
          <w:sz w:val="28"/>
          <w:szCs w:val="28"/>
        </w:rPr>
        <w:t xml:space="preserve">空重:≤0.5KG </w:t>
      </w:r>
    </w:p>
    <w:p w14:paraId="2AA3AB95">
      <w:r>
        <w:rPr>
          <w:rFonts w:hint="eastAsia"/>
          <w:sz w:val="28"/>
          <w:szCs w:val="28"/>
          <w:lang w:val="en-US" w:eastAsia="zh-CN"/>
        </w:rPr>
        <w:t>3、</w:t>
      </w:r>
      <w:r>
        <w:rPr>
          <w:rFonts w:hint="eastAsia"/>
          <w:sz w:val="28"/>
          <w:szCs w:val="28"/>
        </w:rPr>
        <w:t>出口温度:</w:t>
      </w:r>
      <w:r>
        <w:rPr>
          <w:rFonts w:hint="eastAsia"/>
          <w:sz w:val="28"/>
          <w:szCs w:val="28"/>
          <w:lang w:eastAsia="zh-CN"/>
        </w:rPr>
        <w:t xml:space="preserve"> </w:t>
      </w:r>
      <w:r>
        <w:rPr>
          <w:rFonts w:hint="eastAsia"/>
          <w:sz w:val="28"/>
          <w:szCs w:val="28"/>
        </w:rPr>
        <w:t>≥</w:t>
      </w:r>
      <w:r>
        <w:rPr>
          <w:rFonts w:hint="eastAsia"/>
          <w:sz w:val="28"/>
          <w:szCs w:val="28"/>
          <w:lang w:eastAsia="zh-CN"/>
        </w:rPr>
        <w:t>-</w:t>
      </w:r>
      <w:r>
        <w:rPr>
          <w:rFonts w:hint="eastAsia"/>
          <w:sz w:val="28"/>
          <w:szCs w:val="28"/>
        </w:rPr>
        <w:t>196℃</w:t>
      </w:r>
    </w:p>
    <w:p w14:paraId="45E140FB">
      <w:pPr>
        <w:numPr>
          <w:numId w:val="0"/>
        </w:numPr>
      </w:pPr>
      <w:r>
        <w:drawing>
          <wp:inline distT="0" distB="0" distL="114300" distR="114300">
            <wp:extent cx="2574290" cy="1885315"/>
            <wp:effectExtent l="0" t="0" r="127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574290" cy="1885315"/>
                    </a:xfrm>
                    <a:prstGeom prst="rect">
                      <a:avLst/>
                    </a:prstGeom>
                    <a:noFill/>
                    <a:ln w="9525">
                      <a:noFill/>
                    </a:ln>
                  </pic:spPr>
                </pic:pic>
              </a:graphicData>
            </a:graphic>
          </wp:inline>
        </w:drawing>
      </w:r>
    </w:p>
    <w:p w14:paraId="1D09EE00">
      <w:pPr>
        <w:numPr>
          <w:numId w:val="0"/>
        </w:numPr>
      </w:pPr>
    </w:p>
    <w:p w14:paraId="09E8F86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sz w:val="28"/>
          <w:szCs w:val="28"/>
          <w:lang w:val="en-US" w:eastAsia="zh-CN"/>
        </w:rPr>
        <w:t>三、商务参数</w:t>
      </w:r>
      <w:r>
        <w:rPr>
          <w:rStyle w:val="7"/>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14:paraId="1CCF3C1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14:paraId="2F245418">
      <w:pPr>
        <w:keepNext w:val="0"/>
        <w:keepLines w:val="0"/>
        <w:pageBreakBefore w:val="0"/>
        <w:widowControl/>
        <w:numPr>
          <w:ilvl w:val="0"/>
          <w:numId w:val="0"/>
        </w:numPr>
        <w:kinsoku/>
        <w:wordWrap/>
        <w:overflowPunct/>
        <w:topLinePunct w:val="0"/>
        <w:autoSpaceDE/>
        <w:autoSpaceDN/>
        <w:bidi w:val="0"/>
        <w:adjustRightInd w:val="0"/>
        <w:snapToGrid w:val="0"/>
        <w:spacing w:after="0" w:line="400" w:lineRule="exact"/>
        <w:ind w:leftChars="0"/>
        <w:textAlignment w:val="auto"/>
        <w:rPr>
          <w:rFonts w:hint="eastAsia" w:ascii="思源黑体 CN Medium" w:hAnsi="思源黑体 CN Medium" w:eastAsia="思源黑体 CN Medium" w:cs="思源黑体 CN Medium"/>
          <w:sz w:val="21"/>
          <w:szCs w:val="21"/>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1年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1小时响应，响应后24小时上门服务。</w:t>
      </w:r>
    </w:p>
    <w:p w14:paraId="1CC250F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bookmarkStart w:id="0" w:name="_GoBack"/>
      <w:bookmarkEnd w:id="0"/>
    </w:p>
    <w:p w14:paraId="2D6D285F">
      <w:pPr>
        <w:numPr>
          <w:numId w:val="0"/>
        </w:num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CN Medium">
    <w:altName w:val="黑体"/>
    <w:panose1 w:val="020B0600000000000000"/>
    <w:charset w:val="86"/>
    <w:family w:val="auto"/>
    <w:pitch w:val="default"/>
    <w:sig w:usb0="00000000" w:usb1="00000000" w:usb2="00000016" w:usb3="00000000" w:csb0="6006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C84433"/>
    <w:multiLevelType w:val="singleLevel"/>
    <w:tmpl w:val="66C84433"/>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00000000"/>
    <w:rsid w:val="7C407B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NormalCharacter"/>
    <w:autoRedefine/>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282</Words>
  <Characters>299</Characters>
  <Lines>0</Lines>
  <Paragraphs>0</Paragraphs>
  <TotalTime>0</TotalTime>
  <ScaleCrop>false</ScaleCrop>
  <LinksUpToDate>false</LinksUpToDate>
  <CharactersWithSpaces>303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2024-08-23T16:07:00Z</dcterms:created>
  <dc:creator>iPad</dc:creator>
  <cp:lastModifiedBy>蓝色贝雷</cp:lastModifiedBy>
  <dcterms:modified xsi:type="dcterms:W3CDTF">2024-08-26T11:21:25Z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C828ADD36BC78CE95643C866FB262793_31</vt:lpwstr>
  </property>
</Properties>
</file>