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（心电监护仪医院公开挂网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心电监护仪</w:t>
      </w:r>
      <w:r>
        <w:rPr>
          <w:rFonts w:hint="eastAsia" w:asciiTheme="minorEastAsia" w:hAnsiTheme="minorEastAsia" w:eastAsiaTheme="minorEastAsia" w:cstheme="minorEastAsia"/>
          <w:bCs/>
          <w:color w:val="auto"/>
          <w:sz w:val="24"/>
          <w:szCs w:val="24"/>
          <w:lang w:val="en-US" w:eastAsia="zh-CN"/>
        </w:rPr>
        <w:t>项目进行医院公开挂网，将</w:t>
      </w:r>
      <w:bookmarkStart w:id="4" w:name="_GoBack"/>
      <w:bookmarkEnd w:id="4"/>
      <w:r>
        <w:rPr>
          <w:rFonts w:hint="eastAsia" w:asciiTheme="minorEastAsia" w:hAnsiTheme="minorEastAsia" w:eastAsiaTheme="minorEastAsia" w:cstheme="minorEastAsia"/>
          <w:bCs/>
          <w:color w:val="auto"/>
          <w:sz w:val="24"/>
          <w:szCs w:val="24"/>
          <w:lang w:val="en-US" w:eastAsia="zh-CN"/>
        </w:rPr>
        <w:t>事项公告如下：</w:t>
      </w:r>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心电监护仪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2"/>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4"/>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心电监护仪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15.68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A7473B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1、整机要求：</w:t>
      </w:r>
    </w:p>
    <w:p w14:paraId="4D6B1F3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1.1、一体化便携监护仪，整机无风扇设计≥10.1英寸彩色液晶触摸屏，分辨率高达1280*800像素或更高，≥8通道波形显示，配置提手,方便移动。</w:t>
      </w:r>
    </w:p>
    <w:p w14:paraId="28BE6D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1.2、配置无线发射功能，支持无线连接中央配置，可支持遥控器无线远程操作监护仪。</w:t>
      </w:r>
    </w:p>
    <w:p w14:paraId="09DB527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1.3、内置锂电池，插槽式设计，无需螺丝刀工具支持快速拆卸和安装。</w:t>
      </w:r>
    </w:p>
    <w:p w14:paraId="5E78193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1.4、安全规格：ECG, TEMP, IBP, SpO2 , NIBP监测参数抗电击程度为防除颤CF型</w:t>
      </w:r>
    </w:p>
    <w:p w14:paraId="21BD367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1.5、监护仪设计使用年限≥10年，按照国家相关要求标注在产品铭牌上并提供铭牌图片。</w:t>
      </w:r>
    </w:p>
    <w:p w14:paraId="602E2B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1.6、监护仪清洁维护支持的清洁剂≥49种，在厂家手册中清晰列举清洁剂的种类。</w:t>
      </w:r>
    </w:p>
    <w:p w14:paraId="4501BE8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2、技术性能：</w:t>
      </w:r>
    </w:p>
    <w:p w14:paraId="57AE149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2.1、配置3/5导心电，呼吸，无创血压，血氧饱和度，脉搏和双通道体温参数监测</w:t>
      </w:r>
    </w:p>
    <w:p w14:paraId="5B1C9FA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2.2、心电监护支持心率，ST段测量，心律失常分析，QT/QTc连续实时测量和对应报警功能（提供证明资料）</w:t>
      </w:r>
    </w:p>
    <w:p w14:paraId="5860882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2.3、支持≥27种心律失常分析,包括房颤分析，支持≥3通道心电波形同步分析， 可进行多导心电分析</w:t>
      </w:r>
    </w:p>
    <w:p w14:paraId="25748A6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2.4、可选配提供过去24小时心电概览报告查看与打印，包括心率统计结果，心律失常统计结果，ST统计和QT/QTc统计结果。</w:t>
      </w:r>
    </w:p>
    <w:p w14:paraId="04AF8D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2.5、提供SpO2,PR和PI参数的实时监测，适用于成人，小儿和新生儿。。</w:t>
      </w:r>
    </w:p>
    <w:p w14:paraId="0BE0462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2.6、无创血压监测提供手动，自动，连续，序列和整点5种测量模式</w:t>
      </w:r>
    </w:p>
    <w:p w14:paraId="59CA61A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2.7、具有图形化技术报警指示功能，帮助医护团队快速识别报警来源。</w:t>
      </w:r>
    </w:p>
    <w:p w14:paraId="0AC7706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2.8、支持监护仪进入夜间模式，隐私模式，演示模式和待机模式。</w:t>
      </w:r>
    </w:p>
    <w:p w14:paraId="5C97D8D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2.9、提供心肌缺血评估工具，可以快速查看ST值的变化。</w:t>
      </w:r>
    </w:p>
    <w:p w14:paraId="397DC5C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2.10支持根据病人的参数趋势变化，可自动推送HR/PR、 SpO2、 RR 等参数的报警限建议，提供产品界面或产品使用说明书截图等证明资料</w:t>
      </w:r>
    </w:p>
    <w:p w14:paraId="55D8E6C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2.11具备参数组合报警功能，可对患者同时多个参数变化给出统一报警提示，更好地反映病人状态，提供≥10个预设组合报警，并允许自定义≥10个组合报警（提供证明资料）</w:t>
      </w:r>
    </w:p>
    <w:p w14:paraId="22ECA0F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2.12、通过CE,FDA认证。</w:t>
      </w:r>
    </w:p>
    <w:p w14:paraId="31FFB1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2.13、中央监护系统支持升级同品牌输注泵，呼吸机等不同设备产品支持联网通信到中心监护系统。</w:t>
      </w:r>
    </w:p>
    <w:p w14:paraId="706A2745">
      <w:pPr>
        <w:numPr>
          <w:ilvl w:val="0"/>
          <w:numId w:val="0"/>
        </w:num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2.14、支持目前与科室现有中央监护站联网需求，支持同品牌遥测，生命体征监测仪、除颤监护仪,呼吸机，输注泵联通至中心监护系统，实现护士站的集中管理，同时具备连接医院信息系统实现临床数据信息化管理需求. （提供证明资料）</w:t>
      </w:r>
    </w:p>
    <w:p w14:paraId="78075D5F">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3C351173">
      <w:pPr>
        <w:spacing w:before="0" w:after="0" w:line="360" w:lineRule="auto"/>
        <w:ind w:left="420" w:right="0" w:firstLine="0"/>
        <w:jc w:val="left"/>
        <w:rPr>
          <w:rFonts w:hint="eastAsia" w:asciiTheme="minorEastAsia" w:hAnsiTheme="minorEastAsia" w:eastAsiaTheme="minorEastAsia" w:cstheme="minorEastAsia"/>
          <w:color w:val="auto"/>
          <w:spacing w:val="0"/>
          <w:position w:val="0"/>
          <w:sz w:val="24"/>
          <w:shd w:val="clear" w:fill="auto"/>
          <w:lang w:val="en-US" w:eastAsia="zh-CN"/>
        </w:rPr>
      </w:pPr>
      <w:r>
        <w:rPr>
          <w:rFonts w:hint="eastAsia" w:asciiTheme="minorEastAsia" w:hAnsiTheme="minorEastAsia" w:eastAsiaTheme="minorEastAsia" w:cstheme="minorEastAsia"/>
          <w:color w:val="auto"/>
          <w:spacing w:val="0"/>
          <w:position w:val="0"/>
          <w:sz w:val="24"/>
          <w:shd w:val="clear" w:fill="auto"/>
          <w:lang w:val="en-US" w:eastAsia="zh-CN"/>
        </w:rPr>
        <w:t>1、监护仪      10台</w:t>
      </w:r>
    </w:p>
    <w:p w14:paraId="0F89C10B">
      <w:pPr>
        <w:spacing w:before="0" w:after="0" w:line="360" w:lineRule="auto"/>
        <w:ind w:left="420" w:right="0" w:firstLine="0"/>
        <w:jc w:val="left"/>
        <w:rPr>
          <w:rFonts w:hint="eastAsia" w:asciiTheme="minorEastAsia" w:hAnsiTheme="minorEastAsia" w:eastAsiaTheme="minorEastAsia" w:cstheme="minorEastAsia"/>
          <w:color w:val="auto"/>
          <w:spacing w:val="0"/>
          <w:position w:val="0"/>
          <w:sz w:val="24"/>
          <w:shd w:val="clear" w:fill="auto"/>
          <w:lang w:val="en-US" w:eastAsia="zh-CN"/>
        </w:rPr>
      </w:pPr>
      <w:r>
        <w:rPr>
          <w:rFonts w:hint="eastAsia" w:asciiTheme="minorEastAsia" w:hAnsiTheme="minorEastAsia" w:eastAsiaTheme="minorEastAsia" w:cstheme="minorEastAsia"/>
          <w:color w:val="auto"/>
          <w:spacing w:val="0"/>
          <w:position w:val="0"/>
          <w:sz w:val="24"/>
          <w:shd w:val="clear" w:fill="auto"/>
          <w:lang w:val="en-US" w:eastAsia="zh-CN"/>
        </w:rPr>
        <w:t>2、中央监护站   1套</w:t>
      </w:r>
    </w:p>
    <w:p w14:paraId="52C2B606">
      <w:pPr>
        <w:rPr>
          <w:rFonts w:hint="default"/>
          <w:lang w:val="en-US" w:eastAsia="zh-CN"/>
        </w:rPr>
      </w:pPr>
    </w:p>
    <w:p w14:paraId="15EC7489">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0D2B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124E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F5A3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F6725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29CDE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6C101D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CE6DD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9DFB4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7E1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A5680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9B2B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42532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3571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2F6B9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心电监护仪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心电监护仪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79F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ED70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0E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447175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231DD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E2F41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01877A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34C925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0506C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F9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00F7D3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心电监护仪</w:t>
            </w:r>
          </w:p>
        </w:tc>
        <w:tc>
          <w:tcPr>
            <w:tcW w:w="1220" w:type="dxa"/>
            <w:noWrap w:val="0"/>
            <w:vAlign w:val="center"/>
          </w:tcPr>
          <w:p w14:paraId="3DEB87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73F0F4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032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972E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p>
        </w:tc>
        <w:tc>
          <w:tcPr>
            <w:tcW w:w="1654" w:type="dxa"/>
            <w:noWrap w:val="0"/>
            <w:vAlign w:val="top"/>
          </w:tcPr>
          <w:p w14:paraId="6E8299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4F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BB526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50EF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D9CC4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本合同设备无需与甲方使用的信息系统对接。</w:t>
      </w:r>
    </w:p>
    <w:p w14:paraId="3DB8C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2BF44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4005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B1BDC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5D37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42301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2046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14CB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6B8F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9AB8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15404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13E9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459B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C984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649E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27836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406FF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719B5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1BBF1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AF3F2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C5147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C47A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A8B924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FC34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646D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127B0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1B709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F56A6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54DF0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69824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33D02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28C3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DEB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91B80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5BC30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F9FBA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8F5AD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EA2A4A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AA711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6C3FAC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AAE22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8CE9AB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ACFBC0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5573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BB86E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013CE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A76B42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C2246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D2D7F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08FE8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66ED0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A7899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29BE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E57C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D6A838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DDAC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6F3948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83A9B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1D16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3953561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E0C1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2D07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48752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EDD6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F4C7B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50499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990285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4DAAD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7C9B26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2CCBFC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0DD1AF1">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5F259FD"/>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3984ABA"/>
    <w:rsid w:val="581A7C72"/>
    <w:rsid w:val="583A4BD7"/>
    <w:rsid w:val="59C74B1F"/>
    <w:rsid w:val="5D484535"/>
    <w:rsid w:val="611B6B1B"/>
    <w:rsid w:val="62C222C2"/>
    <w:rsid w:val="632D7C40"/>
    <w:rsid w:val="64133D6A"/>
    <w:rsid w:val="676A25AA"/>
    <w:rsid w:val="678E4F5D"/>
    <w:rsid w:val="680E122C"/>
    <w:rsid w:val="6A4E1D63"/>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8271</Words>
  <Characters>8708</Characters>
  <Lines>0</Lines>
  <Paragraphs>0</Paragraphs>
  <TotalTime>0</TotalTime>
  <ScaleCrop>false</ScaleCrop>
  <LinksUpToDate>false</LinksUpToDate>
  <CharactersWithSpaces>9653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2024-09-04T01:37:13Z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