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3"/>
        <w:snapToGrid w:val="0"/>
        <w:jc w:val="center"/>
        <w:rPr>
          <w:rFonts w:hint="eastAsia" w:ascii="Arial" w:hAnsi="Arial" w:eastAsia="方正小标宋简体" w:cs="Arial"/>
          <w:color w:val="auto"/>
          <w:sz w:val="72"/>
          <w:szCs w:val="72"/>
          <w:lang w:eastAsia="zh-CN"/>
        </w:rPr>
      </w:pPr>
      <w:bookmarkStart w:id="0" w:name="_Toc16523570"/>
    </w:p>
    <w:p w14:paraId="38648228">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3"/>
        <w:snapToGrid w:val="0"/>
        <w:jc w:val="center"/>
        <w:rPr>
          <w:rFonts w:ascii="Arial" w:hAnsi="Arial" w:eastAsia="方正小标宋简体" w:cs="Arial"/>
          <w:sz w:val="72"/>
          <w:szCs w:val="72"/>
        </w:rPr>
      </w:pPr>
    </w:p>
    <w:p w14:paraId="48AC3AC9">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3"/>
        <w:snapToGrid w:val="0"/>
        <w:jc w:val="center"/>
        <w:rPr>
          <w:rFonts w:ascii="Arial" w:hAnsi="Arial" w:eastAsia="方正小标宋简体" w:cs="Arial"/>
          <w:sz w:val="72"/>
          <w:szCs w:val="72"/>
        </w:rPr>
      </w:pPr>
    </w:p>
    <w:p w14:paraId="5AFE286C">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3"/>
        <w:snapToGrid w:val="0"/>
        <w:jc w:val="center"/>
        <w:rPr>
          <w:rFonts w:ascii="Arial" w:hAnsi="Arial" w:eastAsia="方正小标宋简体" w:cs="Arial"/>
          <w:sz w:val="72"/>
          <w:szCs w:val="72"/>
        </w:rPr>
      </w:pPr>
    </w:p>
    <w:p w14:paraId="705E1937">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3"/>
        <w:snapToGrid w:val="0"/>
        <w:jc w:val="center"/>
        <w:rPr>
          <w:rFonts w:ascii="Arial" w:hAnsi="Arial" w:eastAsia="方正小标宋简体" w:cs="Arial"/>
          <w:sz w:val="72"/>
          <w:szCs w:val="72"/>
        </w:rPr>
      </w:pPr>
    </w:p>
    <w:p w14:paraId="7E5286DA">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3"/>
        <w:snapToGrid w:val="0"/>
        <w:jc w:val="center"/>
        <w:rPr>
          <w:rFonts w:ascii="Arial" w:hAnsi="Arial" w:cs="Arial"/>
          <w:sz w:val="32"/>
          <w:szCs w:val="32"/>
        </w:rPr>
      </w:pPr>
    </w:p>
    <w:p w14:paraId="62F2469F">
      <w:pPr>
        <w:pStyle w:val="13"/>
        <w:snapToGrid w:val="0"/>
        <w:jc w:val="center"/>
        <w:rPr>
          <w:rFonts w:ascii="Arial" w:hAnsi="Arial" w:cs="Arial"/>
          <w:sz w:val="32"/>
          <w:szCs w:val="32"/>
        </w:rPr>
      </w:pPr>
    </w:p>
    <w:p w14:paraId="4BC89937">
      <w:pPr>
        <w:pStyle w:val="13"/>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（高频肛肠治疗仪医院公开挂网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高频肛肠治疗仪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高频肛肠治疗仪</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4"/>
        <w:rPr>
          <w:rFonts w:hint="eastAsia"/>
          <w:lang w:val="en-US" w:eastAsia="zh-CN"/>
        </w:rPr>
      </w:pPr>
    </w:p>
    <w:p w14:paraId="5F32D497">
      <w:pPr>
        <w:pStyle w:val="14"/>
        <w:jc w:val="both"/>
        <w:rPr>
          <w:rFonts w:hint="default"/>
          <w:lang w:val="en-US" w:eastAsia="zh-CN"/>
        </w:rPr>
      </w:pPr>
    </w:p>
    <w:p w14:paraId="635E3C4F">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4"/>
        <w:rPr>
          <w:rFonts w:hint="eastAsia" w:ascii="宋体" w:hAnsi="宋体" w:cs="宋体"/>
          <w:b/>
          <w:bCs/>
          <w:color w:val="auto"/>
          <w:sz w:val="44"/>
          <w:szCs w:val="44"/>
          <w:lang w:val="en-US" w:eastAsia="zh-CN"/>
        </w:rPr>
      </w:pPr>
    </w:p>
    <w:p w14:paraId="07F2E394">
      <w:pPr>
        <w:pStyle w:val="8"/>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2"/>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高频肛肠治疗仪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30E2BBD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BDE5FA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(一）、主要技术性能：</w:t>
      </w:r>
    </w:p>
    <w:p w14:paraId="3B5B439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1.适用于对外科、肛肠科等的临床检查、治疗观察和病案管理，与光学内窥镜及监视器配合使用，将内窥镜采集的光学信号转化为电子信号，传输至监视器进行成像并可对显示图像进行处理、传输、存储。</w:t>
      </w:r>
    </w:p>
    <w:p w14:paraId="4BC66B5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2.具有内窥镜摄像系统软件证书(提供证书)。</w:t>
      </w:r>
    </w:p>
    <w:p w14:paraId="42D239C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3.通过EMC电磁兼容检测（需提供检测报告）。</w:t>
      </w:r>
    </w:p>
    <w:p w14:paraId="1BD0D78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4.工作制：连续运行</w:t>
      </w:r>
    </w:p>
    <w:p w14:paraId="75189CC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5.设备的额定电压和频率：AC 220V,50Hz；</w:t>
      </w:r>
    </w:p>
    <w:p w14:paraId="2AB6864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6.输入功率：≤260VA</w:t>
      </w:r>
    </w:p>
    <w:p w14:paraId="7061BE0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7.脚踏开关：IPX8</w:t>
      </w:r>
    </w:p>
    <w:p w14:paraId="48FD966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8.在工作条件下，摄像系统整机噪音应不大于55dB。</w:t>
      </w:r>
    </w:p>
    <w:p w14:paraId="7C9349D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9.高强度耐腐蚀铝合金台车。具有升降功能。</w:t>
      </w:r>
    </w:p>
    <w:p w14:paraId="14A9482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10.双显示屏同步高清实时显示。</w:t>
      </w:r>
    </w:p>
    <w:p w14:paraId="7306337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11.超静音自锁脚轮。</w:t>
      </w:r>
    </w:p>
    <w:p w14:paraId="5C46D67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(二）、影像采集系统参数（双检查系统）</w:t>
      </w:r>
    </w:p>
    <w:p w14:paraId="0272960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1.数字高清手柄摄像机：自带光源，自动对焦、自动白平衡。</w:t>
      </w:r>
    </w:p>
    <w:p w14:paraId="67B9EA0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 水平分辨率大于800线，垂直分辨率大于800线，允差为-20%，上限不计。（需提供检测报告）</w:t>
      </w:r>
    </w:p>
    <w:p w14:paraId="2DBD279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 USB数据输出</w:t>
      </w:r>
    </w:p>
    <w:p w14:paraId="354D085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2.数字高清内窥镜摄像机：自带冷光源，自动对焦、自动白平衡。</w:t>
      </w:r>
    </w:p>
    <w:p w14:paraId="51B1892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 水平分辨率大于1100线，垂直分辨率大于1000线，允差为-20%，上限不计。（需提供检测报告）</w:t>
      </w:r>
    </w:p>
    <w:p w14:paraId="0F9E8FE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2.2 HDMI数据传输</w:t>
      </w:r>
    </w:p>
    <w:p w14:paraId="129B2D5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2.3 冷光源性能（需提供检测报告）</w:t>
      </w:r>
    </w:p>
    <w:p w14:paraId="2C7A910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1）显色指数不小于90。</w:t>
      </w:r>
    </w:p>
    <w:p w14:paraId="561FB0F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2）色温5000K-7000K范围内。</w:t>
      </w:r>
    </w:p>
    <w:p w14:paraId="2B24379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3）红绿蓝光的辐通量比：</w:t>
      </w:r>
    </w:p>
    <w:p w14:paraId="073C1D4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以515nm~545nm波长范围的绿光辐通量φeg为基准，红绿蓝光的辐通量比：波长范围为630nm~660nm的红光辐通量φer与φeg的比值为：0.95,波长范围为435nm~465nm的蓝光辐通量φeb与φeg的比值为：1.4，允差±20%。</w:t>
      </w:r>
    </w:p>
    <w:p w14:paraId="061526D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4）红外截止特性：300nm~1700nm波长范围内的辐通量和光通量比值应不大于6mW/lm。</w:t>
      </w:r>
    </w:p>
    <w:p w14:paraId="75F4C69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2.4可更换镜头焦距：焦距为：25mm，允差为：±20%；</w:t>
      </w:r>
    </w:p>
    <w:p w14:paraId="7552D04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2.5内窥镜摄像机的随机噪声信噪比为30dB，允差为-20%，上限不计。</w:t>
      </w:r>
    </w:p>
    <w:p w14:paraId="180460E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2.6接口尺寸 物镜适配器兼容目镜罩接口直径为Φ32mm（允差为±1mm）的内窥镜。</w:t>
      </w:r>
    </w:p>
    <w:p w14:paraId="10F543E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（三）、内窥镜摄像系统软件：</w:t>
      </w:r>
    </w:p>
    <w:p w14:paraId="402B2BB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3.1基本功能</w:t>
      </w:r>
    </w:p>
    <w:p w14:paraId="439B696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1）具有图像的实时动态显示、图像采集和存储功能。</w:t>
      </w:r>
    </w:p>
    <w:p w14:paraId="1BC5DB4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2）画面冻结：系统具有画面冻结功能，通过软件上部菜单栏开启或关闭画面冻结。</w:t>
      </w:r>
    </w:p>
    <w:p w14:paraId="1B9319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3）用户档案： 可通过用户菜单进行用户档案的新建、保存、选择和删除。 </w:t>
      </w:r>
    </w:p>
    <w:p w14:paraId="1EF0A8F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4）打印功能：具备打印功能。</w:t>
      </w:r>
    </w:p>
    <w:p w14:paraId="62FC55D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3.2 图像处理功能  </w:t>
      </w:r>
    </w:p>
    <w:p w14:paraId="1FA20E5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1）亮度调节： 软件可进行图像亮度的调节，级别越高，亮度越高。 </w:t>
      </w:r>
    </w:p>
    <w:p w14:paraId="6733828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2）对比度调节：软件可进行图像对比度的调节，级别越高，对比度越高。 </w:t>
      </w:r>
    </w:p>
    <w:p w14:paraId="075781C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3）镜像：软件可实现图片的上下左右的镜像效果。 </w:t>
      </w:r>
    </w:p>
    <w:p w14:paraId="46EE6D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4）图像增强：软件可实现图片增强效果。 </w:t>
      </w:r>
    </w:p>
    <w:p w14:paraId="548DC3F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5）图像清晰：软件可实现图片的图像清晰效果。 </w:t>
      </w:r>
    </w:p>
    <w:p w14:paraId="7C24EB7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6）图像测量：软件可进行图像测量。</w:t>
      </w:r>
    </w:p>
    <w:p w14:paraId="102576E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3.3软件安全保护</w:t>
      </w:r>
    </w:p>
    <w:p w14:paraId="5E16E90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设备通过软件狗对患者档案进行保护，软件当且仅当在使用软件狗的状况下用户才能获得本系统开启、操作、数据档案管理等权限。</w:t>
      </w:r>
    </w:p>
    <w:p w14:paraId="6EDFA2D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(四)、高频电刀1套</w:t>
      </w:r>
    </w:p>
    <w:p w14:paraId="706A27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手术治疗各种内外痔、混合痔、肛裂、直肠息肉、脓肿、肛乳头增生。</w:t>
      </w:r>
    </w:p>
    <w:p w14:paraId="63A48D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bidi="ar-SA"/>
        </w:rPr>
        <w:t>（五）耗材限价：</w:t>
      </w:r>
      <w:r>
        <w:rPr>
          <w:rFonts w:hint="eastAsia" w:ascii="宋体" w:hAnsi="宋体" w:cs="宋体"/>
          <w:color w:val="auto"/>
          <w:sz w:val="24"/>
          <w:szCs w:val="24"/>
          <w:lang w:val="en-US" w:eastAsia="zh-CN"/>
        </w:rPr>
        <w:t>不得高于下表限价，具体价格由评审委员会负责现场谈判</w:t>
      </w:r>
    </w:p>
    <w:p w14:paraId="0EA79F8B">
      <w:pPr>
        <w:numPr>
          <w:numId w:val="0"/>
        </w:numPr>
        <w:spacing w:line="360" w:lineRule="auto"/>
        <w:rPr>
          <w:rFonts w:hint="eastAsia" w:asciiTheme="minorEastAsia" w:hAnsiTheme="minorEastAsia" w:eastAsiaTheme="minorEastAsia" w:cstheme="minorEastAsia"/>
          <w:bCs/>
          <w:color w:val="auto"/>
          <w:kern w:val="0"/>
          <w:sz w:val="24"/>
          <w:szCs w:val="24"/>
          <w:lang w:val="en-US" w:eastAsia="zh-CN" w:bidi="ar-SA"/>
        </w:rPr>
      </w:pPr>
    </w:p>
    <w:tbl>
      <w:tblPr>
        <w:tblW w:w="72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103"/>
        <w:gridCol w:w="5118"/>
      </w:tblGrid>
      <w:tr w14:paraId="75D1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103" w:type="dxa"/>
            <w:tcBorders>
              <w:top w:val="single" w:color="000000" w:sz="4" w:space="0"/>
              <w:left w:val="single" w:color="000000" w:sz="4" w:space="0"/>
              <w:bottom w:val="single" w:color="000000" w:sz="4" w:space="0"/>
              <w:right w:val="single" w:color="000000" w:sz="4" w:space="0"/>
            </w:tcBorders>
            <w:shd w:val="clear"/>
            <w:vAlign w:val="center"/>
          </w:tcPr>
          <w:p w14:paraId="1E906511">
            <w:pPr>
              <w:numPr>
                <w:ilvl w:val="0"/>
                <w:numId w:val="0"/>
              </w:numPr>
              <w:spacing w:line="360" w:lineRule="auto"/>
              <w:jc w:val="center"/>
              <w:rPr>
                <w:rFonts w:hint="eastAsia"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产品名称</w:t>
            </w:r>
          </w:p>
        </w:tc>
        <w:tc>
          <w:tcPr>
            <w:tcW w:w="5118" w:type="dxa"/>
            <w:tcBorders>
              <w:top w:val="single" w:color="000000" w:sz="4" w:space="0"/>
              <w:left w:val="single" w:color="000000" w:sz="4" w:space="0"/>
              <w:bottom w:val="single" w:color="000000" w:sz="4" w:space="0"/>
              <w:right w:val="single" w:color="000000" w:sz="4" w:space="0"/>
            </w:tcBorders>
            <w:shd w:val="clear"/>
            <w:vAlign w:val="center"/>
          </w:tcPr>
          <w:p w14:paraId="572B1659">
            <w:pPr>
              <w:numPr>
                <w:ilvl w:val="0"/>
                <w:numId w:val="0"/>
              </w:num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最高限价</w:t>
            </w:r>
          </w:p>
        </w:tc>
      </w:tr>
      <w:tr w14:paraId="14AE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03" w:type="dxa"/>
            <w:tcBorders>
              <w:top w:val="single" w:color="000000" w:sz="4" w:space="0"/>
              <w:left w:val="single" w:color="000000" w:sz="4" w:space="0"/>
              <w:bottom w:val="single" w:color="000000" w:sz="4" w:space="0"/>
              <w:right w:val="single" w:color="000000" w:sz="4" w:space="0"/>
            </w:tcBorders>
            <w:shd w:val="clear"/>
            <w:vAlign w:val="center"/>
          </w:tcPr>
          <w:p w14:paraId="6EDFFF91">
            <w:pPr>
              <w:numPr>
                <w:ilvl w:val="0"/>
                <w:numId w:val="0"/>
              </w:num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窥肛器</w:t>
            </w:r>
          </w:p>
        </w:tc>
        <w:tc>
          <w:tcPr>
            <w:tcW w:w="5118" w:type="dxa"/>
            <w:tcBorders>
              <w:top w:val="single" w:color="000000" w:sz="4" w:space="0"/>
              <w:left w:val="single" w:color="000000" w:sz="4" w:space="0"/>
              <w:bottom w:val="single" w:color="000000" w:sz="4" w:space="0"/>
              <w:right w:val="single" w:color="000000" w:sz="4" w:space="0"/>
            </w:tcBorders>
            <w:shd w:val="clear"/>
            <w:vAlign w:val="center"/>
          </w:tcPr>
          <w:p w14:paraId="19A28E0E">
            <w:pPr>
              <w:numPr>
                <w:ilvl w:val="0"/>
                <w:numId w:val="0"/>
              </w:numPr>
              <w:spacing w:line="360" w:lineRule="auto"/>
              <w:ind w:firstLine="480" w:firstLineChars="200"/>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w:t>
            </w:r>
            <w:r>
              <w:rPr>
                <w:rFonts w:hint="default" w:asciiTheme="minorEastAsia" w:hAnsiTheme="minorEastAsia" w:eastAsiaTheme="minorEastAsia" w:cstheme="minorEastAsia"/>
                <w:bCs/>
                <w:color w:val="auto"/>
                <w:kern w:val="0"/>
                <w:sz w:val="24"/>
                <w:szCs w:val="24"/>
                <w:lang w:val="en-US" w:eastAsia="zh-CN" w:bidi="ar-SA"/>
              </w:rPr>
              <w:t>4</w:t>
            </w:r>
            <w:r>
              <w:rPr>
                <w:rFonts w:hint="eastAsia" w:asciiTheme="minorEastAsia" w:hAnsiTheme="minorEastAsia" w:eastAsiaTheme="minorEastAsia" w:cstheme="minorEastAsia"/>
                <w:bCs/>
                <w:color w:val="auto"/>
                <w:kern w:val="0"/>
                <w:sz w:val="24"/>
                <w:szCs w:val="24"/>
                <w:lang w:val="en-US" w:eastAsia="zh-CN" w:bidi="ar-SA"/>
              </w:rPr>
              <w:t>2元/个，且≤（省平台中标价×70%）</w:t>
            </w:r>
          </w:p>
        </w:tc>
      </w:tr>
    </w:tbl>
    <w:p w14:paraId="3549138C">
      <w:pPr>
        <w:numPr>
          <w:numId w:val="0"/>
        </w:numPr>
        <w:spacing w:line="360" w:lineRule="auto"/>
        <w:rPr>
          <w:rFonts w:hint="default" w:asciiTheme="minorEastAsia" w:hAnsiTheme="minorEastAsia" w:eastAsiaTheme="minorEastAsia" w:cstheme="minorEastAsia"/>
          <w:bCs/>
          <w:color w:val="auto"/>
          <w:kern w:val="0"/>
          <w:sz w:val="24"/>
          <w:szCs w:val="24"/>
          <w:lang w:val="en-US" w:eastAsia="zh-CN" w:bidi="ar-SA"/>
        </w:rPr>
      </w:pPr>
    </w:p>
    <w:p w14:paraId="78075D5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778"/>
        <w:gridCol w:w="1928"/>
      </w:tblGrid>
      <w:tr w14:paraId="4229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87" w:type="dxa"/>
            <w:vAlign w:val="center"/>
          </w:tcPr>
          <w:p w14:paraId="78FD2A5D">
            <w:pPr>
              <w:ind w:left="0" w:leftChars="0" w:firstLine="0" w:firstLineChars="0"/>
              <w:jc w:val="center"/>
              <w:rPr>
                <w:rFonts w:hint="eastAsia"/>
                <w:vertAlign w:val="baseline"/>
                <w:lang w:val="en-US" w:eastAsia="zh-CN"/>
              </w:rPr>
            </w:pPr>
            <w:r>
              <w:rPr>
                <w:rFonts w:hint="eastAsia"/>
                <w:vertAlign w:val="baseline"/>
                <w:lang w:val="en-US" w:eastAsia="zh-CN"/>
              </w:rPr>
              <w:t>序号</w:t>
            </w:r>
          </w:p>
        </w:tc>
        <w:tc>
          <w:tcPr>
            <w:tcW w:w="2778" w:type="dxa"/>
            <w:vAlign w:val="center"/>
          </w:tcPr>
          <w:p w14:paraId="57049635">
            <w:pPr>
              <w:ind w:firstLine="1050" w:firstLineChars="500"/>
              <w:jc w:val="center"/>
              <w:rPr>
                <w:rFonts w:hint="eastAsia"/>
                <w:vertAlign w:val="baseline"/>
                <w:lang w:val="en-US" w:eastAsia="zh-CN"/>
              </w:rPr>
            </w:pPr>
            <w:r>
              <w:rPr>
                <w:rFonts w:hint="eastAsia"/>
                <w:vertAlign w:val="baseline"/>
                <w:lang w:val="en-US" w:eastAsia="zh-CN"/>
              </w:rPr>
              <w:t>名称</w:t>
            </w:r>
          </w:p>
        </w:tc>
        <w:tc>
          <w:tcPr>
            <w:tcW w:w="1928" w:type="dxa"/>
            <w:vAlign w:val="center"/>
          </w:tcPr>
          <w:p w14:paraId="0B9F8A44">
            <w:pPr>
              <w:ind w:left="0" w:leftChars="0" w:firstLine="0" w:firstLineChars="0"/>
              <w:jc w:val="center"/>
              <w:rPr>
                <w:rFonts w:hint="eastAsia"/>
                <w:vertAlign w:val="baseline"/>
                <w:lang w:val="en-US" w:eastAsia="zh-CN"/>
              </w:rPr>
            </w:pPr>
            <w:r>
              <w:rPr>
                <w:rFonts w:hint="eastAsia"/>
                <w:vertAlign w:val="baseline"/>
                <w:lang w:val="en-US" w:eastAsia="zh-CN"/>
              </w:rPr>
              <w:t>数量</w:t>
            </w:r>
          </w:p>
        </w:tc>
      </w:tr>
      <w:tr w14:paraId="6CCE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87" w:type="dxa"/>
            <w:vAlign w:val="center"/>
          </w:tcPr>
          <w:p w14:paraId="55875F0D">
            <w:pPr>
              <w:jc w:val="center"/>
              <w:rPr>
                <w:rFonts w:hint="default"/>
                <w:vertAlign w:val="baseline"/>
                <w:lang w:val="en-US" w:eastAsia="zh-CN"/>
              </w:rPr>
            </w:pPr>
            <w:r>
              <w:rPr>
                <w:rFonts w:hint="eastAsia"/>
                <w:vertAlign w:val="baseline"/>
                <w:lang w:val="en-US" w:eastAsia="zh-CN"/>
              </w:rPr>
              <w:t>1</w:t>
            </w:r>
          </w:p>
        </w:tc>
        <w:tc>
          <w:tcPr>
            <w:tcW w:w="2778" w:type="dxa"/>
            <w:vAlign w:val="center"/>
          </w:tcPr>
          <w:p w14:paraId="7688E4E3">
            <w:pPr>
              <w:ind w:left="0" w:leftChars="0" w:firstLine="0" w:firstLineChars="0"/>
              <w:jc w:val="center"/>
              <w:rPr>
                <w:rFonts w:hint="eastAsia"/>
                <w:vertAlign w:val="baseline"/>
                <w:lang w:val="en-US" w:eastAsia="zh-CN"/>
              </w:rPr>
            </w:pPr>
            <w:r>
              <w:rPr>
                <w:rFonts w:hint="eastAsia"/>
                <w:sz w:val="24"/>
              </w:rPr>
              <w:t>台车</w:t>
            </w:r>
          </w:p>
        </w:tc>
        <w:tc>
          <w:tcPr>
            <w:tcW w:w="1928" w:type="dxa"/>
            <w:vAlign w:val="center"/>
          </w:tcPr>
          <w:p w14:paraId="61EE556A">
            <w:pPr>
              <w:jc w:val="center"/>
              <w:rPr>
                <w:rFonts w:hint="default"/>
                <w:vertAlign w:val="baseline"/>
                <w:lang w:val="en-US" w:eastAsia="zh-CN"/>
              </w:rPr>
            </w:pPr>
            <w:r>
              <w:rPr>
                <w:rFonts w:hint="eastAsia"/>
                <w:vertAlign w:val="baseline"/>
                <w:lang w:val="en-US" w:eastAsia="zh-CN"/>
              </w:rPr>
              <w:t>1台</w:t>
            </w:r>
          </w:p>
        </w:tc>
      </w:tr>
      <w:tr w14:paraId="7A6F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87" w:type="dxa"/>
            <w:vAlign w:val="center"/>
          </w:tcPr>
          <w:p w14:paraId="488CA2F2">
            <w:pPr>
              <w:jc w:val="center"/>
              <w:rPr>
                <w:rFonts w:hint="default"/>
                <w:vertAlign w:val="baseline"/>
                <w:lang w:val="en-US" w:eastAsia="zh-CN"/>
              </w:rPr>
            </w:pPr>
            <w:r>
              <w:rPr>
                <w:rFonts w:hint="eastAsia"/>
                <w:vertAlign w:val="baseline"/>
                <w:lang w:val="en-US" w:eastAsia="zh-CN"/>
              </w:rPr>
              <w:t>2</w:t>
            </w:r>
          </w:p>
        </w:tc>
        <w:tc>
          <w:tcPr>
            <w:tcW w:w="2778" w:type="dxa"/>
            <w:vAlign w:val="center"/>
          </w:tcPr>
          <w:p w14:paraId="324FED85">
            <w:pPr>
              <w:ind w:left="0" w:leftChars="0" w:firstLine="0" w:firstLineChars="0"/>
              <w:jc w:val="center"/>
              <w:rPr>
                <w:rFonts w:hint="eastAsia"/>
                <w:vertAlign w:val="baseline"/>
                <w:lang w:val="en-US" w:eastAsia="zh-CN"/>
              </w:rPr>
            </w:pPr>
            <w:r>
              <w:rPr>
                <w:rFonts w:hint="eastAsia"/>
                <w:sz w:val="24"/>
                <w:lang w:eastAsia="zh-CN"/>
              </w:rPr>
              <w:t>电脑</w:t>
            </w:r>
            <w:r>
              <w:rPr>
                <w:rFonts w:hint="eastAsia"/>
                <w:sz w:val="24"/>
              </w:rPr>
              <w:t>主机</w:t>
            </w:r>
          </w:p>
        </w:tc>
        <w:tc>
          <w:tcPr>
            <w:tcW w:w="1928" w:type="dxa"/>
            <w:vAlign w:val="center"/>
          </w:tcPr>
          <w:p w14:paraId="56B78B76">
            <w:pPr>
              <w:jc w:val="center"/>
              <w:rPr>
                <w:rFonts w:hint="default"/>
                <w:vertAlign w:val="baseline"/>
                <w:lang w:val="en-US" w:eastAsia="zh-CN"/>
              </w:rPr>
            </w:pPr>
            <w:r>
              <w:rPr>
                <w:rFonts w:hint="eastAsia"/>
                <w:vertAlign w:val="baseline"/>
                <w:lang w:val="en-US" w:eastAsia="zh-CN"/>
              </w:rPr>
              <w:t>1台</w:t>
            </w:r>
          </w:p>
        </w:tc>
      </w:tr>
      <w:tr w14:paraId="2F36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87" w:type="dxa"/>
            <w:vAlign w:val="center"/>
          </w:tcPr>
          <w:p w14:paraId="2C775404">
            <w:pPr>
              <w:jc w:val="center"/>
              <w:rPr>
                <w:rFonts w:hint="default"/>
                <w:vertAlign w:val="baseline"/>
                <w:lang w:val="en-US" w:eastAsia="zh-CN"/>
              </w:rPr>
            </w:pPr>
            <w:r>
              <w:rPr>
                <w:rFonts w:hint="eastAsia"/>
                <w:vertAlign w:val="baseline"/>
                <w:lang w:val="en-US" w:eastAsia="zh-CN"/>
              </w:rPr>
              <w:t>3</w:t>
            </w:r>
          </w:p>
        </w:tc>
        <w:tc>
          <w:tcPr>
            <w:tcW w:w="2778" w:type="dxa"/>
            <w:vAlign w:val="center"/>
          </w:tcPr>
          <w:p w14:paraId="52C4AE07">
            <w:pPr>
              <w:ind w:left="0" w:leftChars="0" w:firstLine="0" w:firstLineChars="0"/>
              <w:jc w:val="center"/>
              <w:rPr>
                <w:rFonts w:hint="eastAsia"/>
                <w:vertAlign w:val="baseline"/>
                <w:lang w:val="en-US" w:eastAsia="zh-CN"/>
              </w:rPr>
            </w:pPr>
            <w:r>
              <w:rPr>
                <w:rFonts w:hint="eastAsia"/>
                <w:sz w:val="24"/>
              </w:rPr>
              <w:t>显示器</w:t>
            </w:r>
          </w:p>
        </w:tc>
        <w:tc>
          <w:tcPr>
            <w:tcW w:w="1928" w:type="dxa"/>
            <w:vAlign w:val="center"/>
          </w:tcPr>
          <w:p w14:paraId="7F242589">
            <w:pPr>
              <w:jc w:val="center"/>
              <w:rPr>
                <w:rFonts w:hint="default"/>
                <w:vertAlign w:val="baseline"/>
                <w:lang w:val="en-US" w:eastAsia="zh-CN"/>
              </w:rPr>
            </w:pPr>
            <w:r>
              <w:rPr>
                <w:rFonts w:hint="eastAsia"/>
                <w:vertAlign w:val="baseline"/>
                <w:lang w:val="en-US" w:eastAsia="zh-CN"/>
              </w:rPr>
              <w:t>2台</w:t>
            </w:r>
          </w:p>
        </w:tc>
      </w:tr>
      <w:tr w14:paraId="513F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87" w:type="dxa"/>
            <w:vAlign w:val="center"/>
          </w:tcPr>
          <w:p w14:paraId="74B4B2FF">
            <w:pPr>
              <w:jc w:val="center"/>
              <w:rPr>
                <w:rFonts w:hint="default"/>
                <w:vertAlign w:val="baseline"/>
                <w:lang w:val="en-US" w:eastAsia="zh-CN"/>
              </w:rPr>
            </w:pPr>
            <w:r>
              <w:rPr>
                <w:rFonts w:hint="eastAsia"/>
                <w:vertAlign w:val="baseline"/>
                <w:lang w:val="en-US" w:eastAsia="zh-CN"/>
              </w:rPr>
              <w:t>4</w:t>
            </w:r>
          </w:p>
        </w:tc>
        <w:tc>
          <w:tcPr>
            <w:tcW w:w="2778" w:type="dxa"/>
            <w:vAlign w:val="center"/>
          </w:tcPr>
          <w:p w14:paraId="6C899853">
            <w:pPr>
              <w:ind w:left="0" w:leftChars="0" w:firstLine="0" w:firstLineChars="0"/>
              <w:jc w:val="center"/>
              <w:rPr>
                <w:rFonts w:hint="eastAsia"/>
                <w:vertAlign w:val="baseline"/>
                <w:lang w:val="en-US" w:eastAsia="zh-CN"/>
              </w:rPr>
            </w:pPr>
            <w:r>
              <w:rPr>
                <w:rFonts w:hint="eastAsia" w:hAnsi="宋体" w:cs="宋体"/>
                <w:sz w:val="24"/>
              </w:rPr>
              <w:t>图像处理器</w:t>
            </w:r>
          </w:p>
        </w:tc>
        <w:tc>
          <w:tcPr>
            <w:tcW w:w="1928" w:type="dxa"/>
            <w:vAlign w:val="center"/>
          </w:tcPr>
          <w:p w14:paraId="7637BF02">
            <w:pPr>
              <w:jc w:val="center"/>
              <w:rPr>
                <w:rFonts w:hint="default"/>
                <w:vertAlign w:val="baseline"/>
                <w:lang w:val="en-US" w:eastAsia="zh-CN"/>
              </w:rPr>
            </w:pPr>
            <w:r>
              <w:rPr>
                <w:rFonts w:hint="eastAsia"/>
                <w:vertAlign w:val="baseline"/>
                <w:lang w:val="en-US" w:eastAsia="zh-CN"/>
              </w:rPr>
              <w:t>1台</w:t>
            </w:r>
          </w:p>
        </w:tc>
      </w:tr>
      <w:tr w14:paraId="303C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36449A9E">
            <w:pPr>
              <w:jc w:val="center"/>
              <w:rPr>
                <w:rFonts w:hint="default"/>
                <w:vertAlign w:val="baseline"/>
                <w:lang w:val="en-US" w:eastAsia="zh-CN"/>
              </w:rPr>
            </w:pPr>
            <w:r>
              <w:rPr>
                <w:rFonts w:hint="eastAsia"/>
                <w:vertAlign w:val="baseline"/>
                <w:lang w:val="en-US" w:eastAsia="zh-CN"/>
              </w:rPr>
              <w:t>5</w:t>
            </w:r>
          </w:p>
        </w:tc>
        <w:tc>
          <w:tcPr>
            <w:tcW w:w="2778" w:type="dxa"/>
            <w:vAlign w:val="center"/>
          </w:tcPr>
          <w:p w14:paraId="526A12EB">
            <w:pPr>
              <w:ind w:left="0" w:leftChars="0" w:firstLine="0" w:firstLineChars="0"/>
              <w:jc w:val="center"/>
              <w:rPr>
                <w:rFonts w:hint="eastAsia" w:ascii="宋体" w:hAnsi="宋体" w:cs="宋体"/>
                <w:color w:val="000000"/>
                <w:kern w:val="0"/>
                <w:sz w:val="24"/>
              </w:rPr>
            </w:pPr>
            <w:r>
              <w:rPr>
                <w:rFonts w:hint="eastAsia" w:hAnsi="宋体" w:cs="宋体"/>
                <w:sz w:val="24"/>
              </w:rPr>
              <w:t>手柄摄像机</w:t>
            </w:r>
          </w:p>
        </w:tc>
        <w:tc>
          <w:tcPr>
            <w:tcW w:w="1928" w:type="dxa"/>
            <w:vAlign w:val="center"/>
          </w:tcPr>
          <w:p w14:paraId="6192B6D6">
            <w:pPr>
              <w:jc w:val="center"/>
              <w:rPr>
                <w:rFonts w:hint="default"/>
                <w:vertAlign w:val="baseline"/>
                <w:lang w:val="en-US" w:eastAsia="zh-CN"/>
              </w:rPr>
            </w:pPr>
            <w:r>
              <w:rPr>
                <w:rFonts w:hint="eastAsia"/>
                <w:vertAlign w:val="baseline"/>
                <w:lang w:val="en-US" w:eastAsia="zh-CN"/>
              </w:rPr>
              <w:t>1个</w:t>
            </w:r>
          </w:p>
        </w:tc>
      </w:tr>
      <w:tr w14:paraId="15BE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4ECB0F3F">
            <w:pPr>
              <w:jc w:val="center"/>
              <w:rPr>
                <w:rFonts w:hint="default"/>
                <w:vertAlign w:val="baseline"/>
                <w:lang w:val="en-US" w:eastAsia="zh-CN"/>
              </w:rPr>
            </w:pPr>
            <w:r>
              <w:rPr>
                <w:rFonts w:hint="eastAsia"/>
                <w:vertAlign w:val="baseline"/>
                <w:lang w:val="en-US" w:eastAsia="zh-CN"/>
              </w:rPr>
              <w:t>6</w:t>
            </w:r>
          </w:p>
        </w:tc>
        <w:tc>
          <w:tcPr>
            <w:tcW w:w="2778" w:type="dxa"/>
            <w:vAlign w:val="center"/>
          </w:tcPr>
          <w:p w14:paraId="6E947066">
            <w:pPr>
              <w:ind w:left="0" w:leftChars="0" w:firstLine="0" w:firstLineChars="0"/>
              <w:jc w:val="center"/>
              <w:rPr>
                <w:rFonts w:hint="eastAsia" w:hAnsi="宋体" w:cs="宋体"/>
                <w:sz w:val="24"/>
              </w:rPr>
            </w:pPr>
            <w:r>
              <w:rPr>
                <w:rFonts w:hint="eastAsia" w:hAnsi="宋体" w:cs="宋体"/>
                <w:sz w:val="24"/>
              </w:rPr>
              <w:t>内窥镜摄像机</w:t>
            </w:r>
          </w:p>
        </w:tc>
        <w:tc>
          <w:tcPr>
            <w:tcW w:w="1928" w:type="dxa"/>
            <w:vAlign w:val="center"/>
          </w:tcPr>
          <w:p w14:paraId="55510FE3">
            <w:pPr>
              <w:jc w:val="center"/>
              <w:rPr>
                <w:rFonts w:hint="default"/>
                <w:vertAlign w:val="baseline"/>
                <w:lang w:val="en-US" w:eastAsia="zh-CN"/>
              </w:rPr>
            </w:pPr>
            <w:r>
              <w:rPr>
                <w:rFonts w:hint="eastAsia"/>
                <w:vertAlign w:val="baseline"/>
                <w:lang w:val="en-US" w:eastAsia="zh-CN"/>
              </w:rPr>
              <w:t>1个</w:t>
            </w:r>
          </w:p>
        </w:tc>
      </w:tr>
      <w:tr w14:paraId="0D21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04F743FA">
            <w:pPr>
              <w:jc w:val="center"/>
              <w:rPr>
                <w:rFonts w:hint="eastAsia" w:ascii="Times New Roman" w:hAnsi="Times New Roman" w:eastAsia="宋体" w:cs="宋体"/>
                <w:kern w:val="2"/>
                <w:sz w:val="28"/>
                <w:vertAlign w:val="baseline"/>
                <w:lang w:val="en-US" w:eastAsia="zh-CN" w:bidi="ar-SA"/>
              </w:rPr>
            </w:pPr>
            <w:r>
              <w:rPr>
                <w:rFonts w:hint="eastAsia"/>
                <w:vertAlign w:val="baseline"/>
                <w:lang w:val="en-US" w:eastAsia="zh-CN"/>
              </w:rPr>
              <w:t>7</w:t>
            </w:r>
          </w:p>
        </w:tc>
        <w:tc>
          <w:tcPr>
            <w:tcW w:w="2778" w:type="dxa"/>
            <w:vAlign w:val="center"/>
          </w:tcPr>
          <w:p w14:paraId="56C81790">
            <w:pPr>
              <w:ind w:left="0" w:leftChars="0" w:firstLine="0" w:firstLineChars="0"/>
              <w:jc w:val="center"/>
              <w:rPr>
                <w:rFonts w:hint="eastAsia" w:ascii="Times New Roman" w:hAnsi="宋体" w:eastAsia="宋体" w:cs="宋体"/>
                <w:kern w:val="2"/>
                <w:sz w:val="24"/>
                <w:lang w:val="en-US" w:eastAsia="zh-CN" w:bidi="ar-SA"/>
              </w:rPr>
            </w:pPr>
            <w:r>
              <w:rPr>
                <w:rFonts w:hint="eastAsia"/>
                <w:sz w:val="24"/>
              </w:rPr>
              <w:t>脚踏开关</w:t>
            </w:r>
          </w:p>
        </w:tc>
        <w:tc>
          <w:tcPr>
            <w:tcW w:w="1928" w:type="dxa"/>
            <w:vAlign w:val="center"/>
          </w:tcPr>
          <w:p w14:paraId="557806D4">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1个</w:t>
            </w:r>
          </w:p>
        </w:tc>
      </w:tr>
      <w:tr w14:paraId="5CD8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6687E6D7">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8</w:t>
            </w:r>
          </w:p>
        </w:tc>
        <w:tc>
          <w:tcPr>
            <w:tcW w:w="2778" w:type="dxa"/>
            <w:vAlign w:val="center"/>
          </w:tcPr>
          <w:p w14:paraId="0EC379B3">
            <w:pPr>
              <w:ind w:left="0" w:leftChars="0" w:firstLine="0" w:firstLineChars="0"/>
              <w:jc w:val="center"/>
              <w:rPr>
                <w:rFonts w:hint="eastAsia" w:ascii="Times New Roman" w:hAnsi="宋体" w:eastAsia="宋体" w:cs="宋体"/>
                <w:kern w:val="2"/>
                <w:sz w:val="24"/>
                <w:lang w:val="en-US" w:eastAsia="zh-CN" w:bidi="ar-SA"/>
              </w:rPr>
            </w:pPr>
            <w:r>
              <w:rPr>
                <w:rFonts w:hint="eastAsia"/>
                <w:sz w:val="24"/>
              </w:rPr>
              <w:t>光纤导线及附件</w:t>
            </w:r>
          </w:p>
        </w:tc>
        <w:tc>
          <w:tcPr>
            <w:tcW w:w="1928" w:type="dxa"/>
            <w:vAlign w:val="center"/>
          </w:tcPr>
          <w:p w14:paraId="1B28EC09">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1套</w:t>
            </w:r>
          </w:p>
        </w:tc>
      </w:tr>
      <w:tr w14:paraId="1C6E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0659DBF2">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9</w:t>
            </w:r>
          </w:p>
        </w:tc>
        <w:tc>
          <w:tcPr>
            <w:tcW w:w="2778" w:type="dxa"/>
            <w:vAlign w:val="center"/>
          </w:tcPr>
          <w:p w14:paraId="57644859">
            <w:pPr>
              <w:ind w:left="0" w:leftChars="0" w:firstLine="0" w:firstLineChars="0"/>
              <w:jc w:val="center"/>
              <w:rPr>
                <w:rFonts w:hint="eastAsia" w:ascii="Times New Roman" w:hAnsi="宋体" w:eastAsia="宋体" w:cs="宋体"/>
                <w:kern w:val="2"/>
                <w:sz w:val="24"/>
                <w:lang w:val="en-US" w:eastAsia="zh-CN" w:bidi="ar-SA"/>
              </w:rPr>
            </w:pPr>
            <w:r>
              <w:rPr>
                <w:rFonts w:hint="eastAsia"/>
                <w:sz w:val="24"/>
              </w:rPr>
              <w:t>电源线</w:t>
            </w:r>
          </w:p>
        </w:tc>
        <w:tc>
          <w:tcPr>
            <w:tcW w:w="1928" w:type="dxa"/>
            <w:vAlign w:val="center"/>
          </w:tcPr>
          <w:p w14:paraId="62182685">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1根</w:t>
            </w:r>
          </w:p>
        </w:tc>
      </w:tr>
      <w:tr w14:paraId="1DCB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1F3B0B76">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10</w:t>
            </w:r>
          </w:p>
        </w:tc>
        <w:tc>
          <w:tcPr>
            <w:tcW w:w="2778" w:type="dxa"/>
            <w:vAlign w:val="center"/>
          </w:tcPr>
          <w:p w14:paraId="58C9B451">
            <w:pPr>
              <w:ind w:left="0" w:leftChars="0" w:firstLine="0" w:firstLineChars="0"/>
              <w:jc w:val="center"/>
              <w:rPr>
                <w:rFonts w:hint="eastAsia" w:ascii="Times New Roman" w:hAnsi="Times New Roman" w:eastAsia="宋体" w:cs="宋体"/>
                <w:kern w:val="2"/>
                <w:sz w:val="24"/>
                <w:lang w:val="en-US" w:eastAsia="zh-CN" w:bidi="ar-SA"/>
              </w:rPr>
            </w:pPr>
            <w:r>
              <w:rPr>
                <w:rFonts w:hint="eastAsia"/>
                <w:sz w:val="24"/>
              </w:rPr>
              <w:t>软件狗</w:t>
            </w:r>
          </w:p>
        </w:tc>
        <w:tc>
          <w:tcPr>
            <w:tcW w:w="1928" w:type="dxa"/>
            <w:vAlign w:val="center"/>
          </w:tcPr>
          <w:p w14:paraId="12B80FB4">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1个</w:t>
            </w:r>
          </w:p>
        </w:tc>
      </w:tr>
      <w:tr w14:paraId="2331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2B0BFB88">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11</w:t>
            </w:r>
          </w:p>
        </w:tc>
        <w:tc>
          <w:tcPr>
            <w:tcW w:w="2778" w:type="dxa"/>
            <w:vAlign w:val="center"/>
          </w:tcPr>
          <w:p w14:paraId="1A1BB203">
            <w:pPr>
              <w:ind w:left="0" w:leftChars="0" w:firstLine="0" w:firstLineChars="0"/>
              <w:jc w:val="center"/>
              <w:rPr>
                <w:rFonts w:hint="eastAsia" w:ascii="Times New Roman" w:hAnsi="Times New Roman" w:eastAsia="宋体" w:cs="宋体"/>
                <w:kern w:val="2"/>
                <w:sz w:val="24"/>
                <w:lang w:val="en-US" w:eastAsia="zh-CN" w:bidi="ar-SA"/>
              </w:rPr>
            </w:pPr>
            <w:r>
              <w:rPr>
                <w:rFonts w:hint="eastAsia"/>
                <w:sz w:val="24"/>
              </w:rPr>
              <w:t>熔断器（F2AL250V）</w:t>
            </w:r>
          </w:p>
        </w:tc>
        <w:tc>
          <w:tcPr>
            <w:tcW w:w="1928" w:type="dxa"/>
            <w:vAlign w:val="center"/>
          </w:tcPr>
          <w:p w14:paraId="067EAC69">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4个</w:t>
            </w:r>
          </w:p>
        </w:tc>
      </w:tr>
      <w:tr w14:paraId="455A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3E86CF83">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12</w:t>
            </w:r>
          </w:p>
        </w:tc>
        <w:tc>
          <w:tcPr>
            <w:tcW w:w="2778" w:type="dxa"/>
            <w:vAlign w:val="center"/>
          </w:tcPr>
          <w:p w14:paraId="5E2008D0">
            <w:pPr>
              <w:ind w:left="0" w:leftChars="0" w:firstLine="0" w:firstLineChars="0"/>
              <w:jc w:val="center"/>
              <w:rPr>
                <w:rFonts w:hint="eastAsia" w:ascii="Times New Roman" w:hAnsi="Times New Roman" w:eastAsia="宋体" w:cs="宋体"/>
                <w:kern w:val="2"/>
                <w:sz w:val="24"/>
                <w:lang w:val="en-US" w:eastAsia="zh-CN" w:bidi="ar-SA"/>
              </w:rPr>
            </w:pPr>
            <w:r>
              <w:rPr>
                <w:rFonts w:hint="eastAsia"/>
                <w:sz w:val="24"/>
              </w:rPr>
              <w:t>高清采集卡</w:t>
            </w:r>
          </w:p>
        </w:tc>
        <w:tc>
          <w:tcPr>
            <w:tcW w:w="1928" w:type="dxa"/>
            <w:vAlign w:val="center"/>
          </w:tcPr>
          <w:p w14:paraId="7C2D6CB4">
            <w:pPr>
              <w:jc w:val="center"/>
              <w:rPr>
                <w:rFonts w:hint="eastAsia" w:ascii="Times New Roman" w:hAnsi="Times New Roman" w:eastAsia="宋体" w:cs="宋体"/>
                <w:kern w:val="2"/>
                <w:sz w:val="28"/>
                <w:vertAlign w:val="baseline"/>
                <w:lang w:val="en-US" w:eastAsia="zh-CN" w:bidi="ar-SA"/>
              </w:rPr>
            </w:pPr>
            <w:r>
              <w:rPr>
                <w:rFonts w:hint="eastAsia"/>
                <w:vertAlign w:val="baseline"/>
                <w:lang w:val="en-US" w:eastAsia="zh-CN"/>
              </w:rPr>
              <w:t>1个</w:t>
            </w:r>
          </w:p>
        </w:tc>
      </w:tr>
      <w:tr w14:paraId="5B30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7F17BCA9">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13</w:t>
            </w:r>
          </w:p>
        </w:tc>
        <w:tc>
          <w:tcPr>
            <w:tcW w:w="2778" w:type="dxa"/>
            <w:vAlign w:val="center"/>
          </w:tcPr>
          <w:p w14:paraId="640944B5">
            <w:pPr>
              <w:ind w:left="0" w:leftChars="0" w:firstLine="0" w:firstLineChars="0"/>
              <w:jc w:val="center"/>
              <w:rPr>
                <w:rFonts w:hint="eastAsia" w:ascii="Times New Roman" w:hAnsi="Times New Roman" w:eastAsia="宋体" w:cs="宋体"/>
                <w:kern w:val="2"/>
                <w:sz w:val="24"/>
                <w:lang w:val="en-US" w:eastAsia="zh-CN" w:bidi="ar-SA"/>
              </w:rPr>
            </w:pPr>
            <w:r>
              <w:rPr>
                <w:rFonts w:hint="eastAsia"/>
                <w:sz w:val="24"/>
              </w:rPr>
              <w:t>合格证</w:t>
            </w:r>
          </w:p>
        </w:tc>
        <w:tc>
          <w:tcPr>
            <w:tcW w:w="1928" w:type="dxa"/>
            <w:vAlign w:val="center"/>
          </w:tcPr>
          <w:p w14:paraId="6C96EFE9">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1张</w:t>
            </w:r>
          </w:p>
        </w:tc>
      </w:tr>
      <w:tr w14:paraId="4157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67951C34">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14</w:t>
            </w:r>
          </w:p>
        </w:tc>
        <w:tc>
          <w:tcPr>
            <w:tcW w:w="2778" w:type="dxa"/>
            <w:vAlign w:val="center"/>
          </w:tcPr>
          <w:p w14:paraId="17A05ADC">
            <w:pPr>
              <w:ind w:left="0" w:leftChars="0" w:firstLine="0" w:firstLineChars="0"/>
              <w:jc w:val="center"/>
              <w:rPr>
                <w:rFonts w:hint="eastAsia" w:ascii="Times New Roman" w:hAnsi="Times New Roman" w:eastAsia="宋体" w:cs="宋体"/>
                <w:kern w:val="2"/>
                <w:sz w:val="24"/>
                <w:lang w:val="en-US" w:eastAsia="zh-CN" w:bidi="ar-SA"/>
              </w:rPr>
            </w:pPr>
            <w:r>
              <w:rPr>
                <w:rFonts w:hint="eastAsia"/>
                <w:sz w:val="24"/>
              </w:rPr>
              <w:t>说明书</w:t>
            </w:r>
          </w:p>
        </w:tc>
        <w:tc>
          <w:tcPr>
            <w:tcW w:w="1928" w:type="dxa"/>
            <w:vAlign w:val="center"/>
          </w:tcPr>
          <w:p w14:paraId="27A53341">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1本</w:t>
            </w:r>
          </w:p>
        </w:tc>
      </w:tr>
      <w:tr w14:paraId="7F54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7B33FFC9">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15</w:t>
            </w:r>
          </w:p>
        </w:tc>
        <w:tc>
          <w:tcPr>
            <w:tcW w:w="2778" w:type="dxa"/>
            <w:vAlign w:val="center"/>
          </w:tcPr>
          <w:p w14:paraId="36D9DA30">
            <w:pPr>
              <w:ind w:left="0" w:leftChars="0" w:firstLine="0" w:firstLineChars="0"/>
              <w:jc w:val="center"/>
              <w:rPr>
                <w:rFonts w:hint="eastAsia" w:ascii="Times New Roman" w:hAnsi="Times New Roman" w:eastAsia="宋体" w:cs="宋体"/>
                <w:kern w:val="2"/>
                <w:sz w:val="24"/>
                <w:lang w:val="en-US" w:eastAsia="zh-CN" w:bidi="ar-SA"/>
              </w:rPr>
            </w:pPr>
            <w:r>
              <w:rPr>
                <w:rFonts w:hint="eastAsia"/>
                <w:sz w:val="24"/>
                <w:lang w:eastAsia="zh-CN"/>
              </w:rPr>
              <w:t>打印机</w:t>
            </w:r>
          </w:p>
        </w:tc>
        <w:tc>
          <w:tcPr>
            <w:tcW w:w="1928" w:type="dxa"/>
            <w:vAlign w:val="center"/>
          </w:tcPr>
          <w:p w14:paraId="6B4EA117">
            <w:pPr>
              <w:jc w:val="center"/>
              <w:rPr>
                <w:rFonts w:hint="default" w:ascii="Times New Roman" w:hAnsi="Times New Roman" w:eastAsia="宋体" w:cs="宋体"/>
                <w:kern w:val="2"/>
                <w:sz w:val="28"/>
                <w:vertAlign w:val="baseline"/>
                <w:lang w:val="en-US" w:eastAsia="zh-CN" w:bidi="ar-SA"/>
              </w:rPr>
            </w:pPr>
            <w:r>
              <w:rPr>
                <w:rFonts w:hint="eastAsia"/>
                <w:vertAlign w:val="baseline"/>
                <w:lang w:val="en-US" w:eastAsia="zh-CN"/>
              </w:rPr>
              <w:t>1台</w:t>
            </w:r>
          </w:p>
        </w:tc>
      </w:tr>
      <w:tr w14:paraId="2A79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7" w:type="dxa"/>
            <w:vAlign w:val="center"/>
          </w:tcPr>
          <w:p w14:paraId="5EF5CF09">
            <w:pPr>
              <w:jc w:val="center"/>
              <w:rPr>
                <w:rFonts w:hint="default"/>
                <w:vertAlign w:val="baseline"/>
                <w:lang w:val="en-US" w:eastAsia="zh-CN"/>
              </w:rPr>
            </w:pPr>
            <w:r>
              <w:rPr>
                <w:rFonts w:hint="eastAsia"/>
                <w:vertAlign w:val="baseline"/>
                <w:lang w:val="en-US" w:eastAsia="zh-CN"/>
              </w:rPr>
              <w:t>16</w:t>
            </w:r>
          </w:p>
        </w:tc>
        <w:tc>
          <w:tcPr>
            <w:tcW w:w="2778" w:type="dxa"/>
            <w:vAlign w:val="center"/>
          </w:tcPr>
          <w:p w14:paraId="38670399">
            <w:pPr>
              <w:ind w:left="0" w:leftChars="0" w:firstLine="0" w:firstLineChars="0"/>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高频电刀</w:t>
            </w:r>
          </w:p>
        </w:tc>
        <w:tc>
          <w:tcPr>
            <w:tcW w:w="1928" w:type="dxa"/>
            <w:vAlign w:val="center"/>
          </w:tcPr>
          <w:p w14:paraId="2380E744">
            <w:pPr>
              <w:jc w:val="center"/>
              <w:rPr>
                <w:rFonts w:hint="default"/>
                <w:vertAlign w:val="baseline"/>
                <w:lang w:val="en-US" w:eastAsia="zh-CN"/>
              </w:rPr>
            </w:pPr>
            <w:r>
              <w:rPr>
                <w:rFonts w:hint="eastAsia"/>
                <w:vertAlign w:val="baseline"/>
                <w:lang w:val="en-US" w:eastAsia="zh-CN"/>
              </w:rPr>
              <w:t>1套</w:t>
            </w:r>
          </w:p>
        </w:tc>
      </w:tr>
    </w:tbl>
    <w:p w14:paraId="7161B92A">
      <w:pPr>
        <w:rPr>
          <w:rFonts w:hint="default"/>
          <w:lang w:val="en-US" w:eastAsia="zh-CN"/>
        </w:rPr>
      </w:pP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CE758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0325114">
      <w:pPr>
        <w:keepNext w:val="0"/>
        <w:keepLines w:val="0"/>
        <w:pageBreakBefore w:val="0"/>
        <w:widowControl w:val="0"/>
        <w:kinsoku/>
        <w:wordWrap/>
        <w:overflowPunct/>
        <w:topLinePunct w:val="0"/>
        <w:autoSpaceDE/>
        <w:autoSpaceDN/>
        <w:bidi w:val="0"/>
        <w:adjustRightInd/>
        <w:snapToGrid/>
        <w:spacing w:line="480" w:lineRule="exact"/>
        <w:ind w:firstLine="6720" w:firstLineChars="28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auto"/>
          <w:sz w:val="24"/>
          <w:szCs w:val="24"/>
          <w:lang w:val="en-US" w:eastAsia="zh-CN"/>
        </w:rPr>
        <w:t>合同编号：</w:t>
      </w:r>
    </w:p>
    <w:p w14:paraId="78FCAC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医疗设备及专机专用耗材采购合同</w:t>
      </w:r>
    </w:p>
    <w:p w14:paraId="041217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14:paraId="617DE03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14:paraId="3497078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14:paraId="72126CB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14:paraId="21A53E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14:paraId="083BE61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14:paraId="3CD8F1A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14:paraId="1E253BC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14:paraId="451703F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14:paraId="26FE377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14:paraId="37E7FA8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14:paraId="05DBF689">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14:paraId="505ECD6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2E1D119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14:paraId="469C095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医院公开挂网</w:t>
      </w:r>
      <w:r>
        <w:rPr>
          <w:rFonts w:hint="eastAsia" w:ascii="宋体" w:hAnsi="宋体" w:eastAsia="宋体" w:cs="宋体"/>
          <w:color w:val="auto"/>
          <w:sz w:val="24"/>
          <w:szCs w:val="24"/>
          <w:u w:val="none"/>
          <w:lang w:val="en-US" w:eastAsia="zh-CN"/>
        </w:rPr>
        <w:t>方式</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高频肛肠治疗仪及专机专用耗材</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高频肛肠治疗仪及专机专用耗材</w:t>
      </w:r>
      <w:r>
        <w:rPr>
          <w:rFonts w:hint="eastAsia" w:ascii="宋体" w:hAnsi="宋体" w:eastAsia="宋体" w:cs="宋体"/>
          <w:color w:val="auto"/>
          <w:sz w:val="24"/>
          <w:szCs w:val="24"/>
          <w:lang w:val="en-US" w:eastAsia="zh-CN"/>
        </w:rPr>
        <w:t>事宜平等、自愿、公平、诚信协商，达成一致，特订立本合同，以资共同遵守。</w:t>
      </w:r>
    </w:p>
    <w:p w14:paraId="5A3251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 xml:space="preserve">第一条  </w:t>
      </w:r>
      <w:r>
        <w:rPr>
          <w:rFonts w:hint="eastAsia" w:ascii="宋体" w:hAnsi="宋体" w:eastAsia="宋体" w:cs="宋体"/>
          <w:b/>
          <w:bCs/>
          <w:color w:val="auto"/>
          <w:sz w:val="24"/>
          <w:szCs w:val="24"/>
          <w:lang w:val="en-US" w:eastAsia="zh-CN"/>
        </w:rPr>
        <w:t>采购内容</w:t>
      </w:r>
    </w:p>
    <w:p w14:paraId="65475489">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2"/>
          <w:sz w:val="24"/>
          <w:szCs w:val="24"/>
          <w:lang w:val="en-US" w:eastAsia="zh-CN" w:bidi="ar-SA"/>
        </w:rPr>
        <w:t>1.1</w:t>
      </w:r>
      <w:r>
        <w:rPr>
          <w:rFonts w:hint="eastAsia" w:ascii="宋体" w:hAnsi="宋体" w:eastAsia="宋体" w:cs="宋体"/>
          <w:b/>
          <w:bCs/>
          <w:color w:val="auto"/>
          <w:sz w:val="24"/>
          <w:szCs w:val="24"/>
          <w:lang w:val="en-US" w:eastAsia="zh-CN"/>
        </w:rPr>
        <w:t xml:space="preserve"> 采购设备</w:t>
      </w:r>
    </w:p>
    <w:p w14:paraId="3ADC26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设备名称、品牌、型号、价格</w:t>
      </w:r>
    </w:p>
    <w:tbl>
      <w:tblPr>
        <w:tblStyle w:val="9"/>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2F47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top"/>
          </w:tcPr>
          <w:p w14:paraId="4054608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设备</w:t>
            </w:r>
            <w:r>
              <w:rPr>
                <w:rFonts w:hint="eastAsia" w:ascii="宋体" w:hAnsi="宋体" w:eastAsia="宋体" w:cs="宋体"/>
                <w:color w:val="auto"/>
                <w:kern w:val="0"/>
                <w:sz w:val="24"/>
                <w:szCs w:val="24"/>
              </w:rPr>
              <w:t>名称</w:t>
            </w:r>
          </w:p>
        </w:tc>
        <w:tc>
          <w:tcPr>
            <w:tcW w:w="1320" w:type="dxa"/>
            <w:vAlign w:val="top"/>
          </w:tcPr>
          <w:p w14:paraId="2E17BBF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品牌</w:t>
            </w:r>
          </w:p>
        </w:tc>
        <w:tc>
          <w:tcPr>
            <w:tcW w:w="1367" w:type="dxa"/>
            <w:vAlign w:val="top"/>
          </w:tcPr>
          <w:p w14:paraId="698CAED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型号</w:t>
            </w:r>
          </w:p>
        </w:tc>
        <w:tc>
          <w:tcPr>
            <w:tcW w:w="1320" w:type="dxa"/>
            <w:vAlign w:val="top"/>
          </w:tcPr>
          <w:p w14:paraId="1FDEEE4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单价（元）</w:t>
            </w:r>
          </w:p>
        </w:tc>
        <w:tc>
          <w:tcPr>
            <w:tcW w:w="1377" w:type="dxa"/>
            <w:vAlign w:val="top"/>
          </w:tcPr>
          <w:p w14:paraId="06E47D2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388" w:type="dxa"/>
            <w:vAlign w:val="top"/>
          </w:tcPr>
          <w:p w14:paraId="482C34E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金额（元）</w:t>
            </w:r>
          </w:p>
        </w:tc>
      </w:tr>
      <w:tr w14:paraId="6B0A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352270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高频肛肠治疗仪</w:t>
            </w:r>
          </w:p>
        </w:tc>
        <w:tc>
          <w:tcPr>
            <w:tcW w:w="1320" w:type="dxa"/>
            <w:vAlign w:val="center"/>
          </w:tcPr>
          <w:p w14:paraId="09C8A6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lang w:val="en-US" w:eastAsia="zh-CN"/>
              </w:rPr>
            </w:pPr>
          </w:p>
        </w:tc>
        <w:tc>
          <w:tcPr>
            <w:tcW w:w="1367" w:type="dxa"/>
            <w:vAlign w:val="center"/>
          </w:tcPr>
          <w:p w14:paraId="6D7E9D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lang w:val="en-US" w:eastAsia="zh-CN"/>
              </w:rPr>
            </w:pPr>
          </w:p>
        </w:tc>
        <w:tc>
          <w:tcPr>
            <w:tcW w:w="1320" w:type="dxa"/>
            <w:vAlign w:val="center"/>
          </w:tcPr>
          <w:p w14:paraId="414261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lang w:val="en-US" w:eastAsia="zh-CN"/>
              </w:rPr>
            </w:pPr>
          </w:p>
        </w:tc>
        <w:tc>
          <w:tcPr>
            <w:tcW w:w="1377" w:type="dxa"/>
            <w:vAlign w:val="center"/>
          </w:tcPr>
          <w:p w14:paraId="2BD6A0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1台</w:t>
            </w:r>
          </w:p>
        </w:tc>
        <w:tc>
          <w:tcPr>
            <w:tcW w:w="1388" w:type="dxa"/>
            <w:vAlign w:val="center"/>
          </w:tcPr>
          <w:p w14:paraId="49ADE5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lang w:val="en-US" w:eastAsia="zh-CN"/>
              </w:rPr>
            </w:pPr>
          </w:p>
        </w:tc>
      </w:tr>
      <w:tr w14:paraId="1FB9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vAlign w:val="top"/>
          </w:tcPr>
          <w:p w14:paraId="7FDDDE4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合计</w:t>
            </w:r>
            <w:r>
              <w:rPr>
                <w:rFonts w:hint="eastAsia" w:ascii="宋体" w:hAnsi="宋体" w:eastAsia="宋体" w:cs="宋体"/>
                <w:color w:val="auto"/>
                <w:kern w:val="0"/>
                <w:sz w:val="24"/>
                <w:szCs w:val="24"/>
                <w:lang w:eastAsia="zh-CN"/>
              </w:rPr>
              <w:t>价款</w:t>
            </w:r>
            <w:r>
              <w:rPr>
                <w:rFonts w:hint="eastAsia" w:ascii="宋体" w:hAnsi="宋体" w:eastAsia="宋体" w:cs="宋体"/>
                <w:color w:val="auto"/>
                <w:kern w:val="0"/>
                <w:sz w:val="24"/>
                <w:szCs w:val="24"/>
              </w:rPr>
              <w:t>金额（大写）：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zh-CN"/>
              </w:rPr>
              <w:t>元</w:t>
            </w:r>
            <w:r>
              <w:rPr>
                <w:rFonts w:hint="eastAsia" w:ascii="宋体" w:hAnsi="宋体" w:eastAsia="宋体" w:cs="宋体"/>
                <w:color w:val="auto"/>
                <w:kern w:val="0"/>
                <w:sz w:val="24"/>
                <w:szCs w:val="24"/>
                <w:lang w:val="en-US" w:eastAsia="zh-CN"/>
              </w:rPr>
              <w:t xml:space="preserve">整      </w:t>
            </w:r>
            <w:r>
              <w:rPr>
                <w:rFonts w:hint="eastAsia" w:ascii="宋体" w:hAnsi="宋体" w:eastAsia="宋体" w:cs="宋体"/>
                <w:color w:val="auto"/>
                <w:kern w:val="0"/>
                <w:sz w:val="24"/>
                <w:szCs w:val="24"/>
              </w:rPr>
              <w:t>人民币（小写）：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元</w:t>
            </w:r>
          </w:p>
        </w:tc>
      </w:tr>
    </w:tbl>
    <w:p w14:paraId="3A4AAA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14:paraId="6943BD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p>
    <w:p w14:paraId="0AB9B8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p>
    <w:p w14:paraId="76DCE8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p>
    <w:p w14:paraId="7B2169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本合同设备约定价格为固定价格，不因物价、市场波动变更，该约定价格包括且不限于</w:t>
      </w:r>
      <w:r>
        <w:rPr>
          <w:rFonts w:hint="eastAsia" w:ascii="宋体" w:hAnsi="宋体" w:eastAsia="宋体" w:cs="宋体"/>
          <w:color w:val="auto"/>
          <w:sz w:val="24"/>
          <w:szCs w:val="24"/>
          <w:highlight w:val="none"/>
          <w:lang w:val="en-US" w:eastAsia="zh-CN"/>
        </w:rPr>
        <w:t>设计费、材料费、人工费、安装费、包装费、运输费、装卸费、调试费、接口费、检测费、检验费、税费、保险费、售后服务费、附随服务费等在内所有费用</w:t>
      </w:r>
      <w:r>
        <w:rPr>
          <w:rFonts w:hint="eastAsia" w:ascii="宋体" w:hAnsi="宋体" w:eastAsia="宋体" w:cs="宋体"/>
          <w:color w:val="auto"/>
          <w:sz w:val="24"/>
          <w:szCs w:val="24"/>
          <w:lang w:val="en-US" w:eastAsia="zh-CN"/>
        </w:rPr>
        <w:t>。</w:t>
      </w:r>
    </w:p>
    <w:p w14:paraId="702B00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1.1.3 </w:t>
      </w:r>
      <w:r>
        <w:rPr>
          <w:rFonts w:hint="eastAsia" w:ascii="宋体" w:hAnsi="宋体" w:cs="宋体"/>
          <w:color w:val="auto"/>
          <w:sz w:val="24"/>
          <w:szCs w:val="24"/>
          <w:highlight w:val="none"/>
        </w:rPr>
        <w:t>本合同设备</w:t>
      </w:r>
      <w:r>
        <w:rPr>
          <w:rFonts w:hint="eastAsia" w:ascii="宋体" w:hAnsi="宋体" w:cs="宋体"/>
          <w:color w:val="auto"/>
          <w:sz w:val="24"/>
          <w:szCs w:val="24"/>
          <w:highlight w:val="none"/>
          <w:lang w:eastAsia="zh-CN"/>
        </w:rPr>
        <w:t>无需</w:t>
      </w:r>
      <w:r>
        <w:rPr>
          <w:rFonts w:hint="eastAsia" w:ascii="宋体" w:hAnsi="宋体" w:cs="宋体"/>
          <w:color w:val="auto"/>
          <w:sz w:val="24"/>
          <w:szCs w:val="24"/>
          <w:highlight w:val="none"/>
        </w:rPr>
        <w:t>与甲方</w:t>
      </w:r>
      <w:r>
        <w:rPr>
          <w:rFonts w:hint="eastAsia" w:ascii="宋体" w:hAnsi="宋体" w:cs="宋体"/>
          <w:color w:val="auto"/>
          <w:sz w:val="24"/>
          <w:szCs w:val="24"/>
          <w:highlight w:val="none"/>
          <w:lang w:eastAsia="zh-CN"/>
        </w:rPr>
        <w:t>使用的</w:t>
      </w:r>
      <w:r>
        <w:rPr>
          <w:rFonts w:hint="eastAsia" w:ascii="宋体" w:hAnsi="宋体" w:cs="宋体"/>
          <w:color w:val="auto"/>
          <w:sz w:val="24"/>
          <w:szCs w:val="24"/>
          <w:highlight w:val="none"/>
        </w:rPr>
        <w:t>信息系统</w:t>
      </w:r>
      <w:r>
        <w:rPr>
          <w:rFonts w:hint="eastAsia" w:ascii="宋体" w:hAnsi="宋体" w:cs="宋体"/>
          <w:color w:val="auto"/>
          <w:sz w:val="24"/>
          <w:szCs w:val="24"/>
          <w:highlight w:val="none"/>
          <w:lang w:eastAsia="zh-CN"/>
        </w:rPr>
        <w:t>对接。</w:t>
      </w:r>
    </w:p>
    <w:p w14:paraId="2E815F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 设备专机专用耗材供应</w:t>
      </w:r>
    </w:p>
    <w:p w14:paraId="5EEFCE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耗材名称、规格型号、编号、单价</w:t>
      </w:r>
    </w:p>
    <w:tbl>
      <w:tblPr>
        <w:tblStyle w:val="9"/>
        <w:tblW w:w="8895" w:type="dxa"/>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71"/>
        <w:gridCol w:w="2614"/>
        <w:gridCol w:w="1665"/>
        <w:gridCol w:w="1545"/>
      </w:tblGrid>
      <w:tr w14:paraId="5BA5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A7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专机专用耗材名称</w:t>
            </w:r>
          </w:p>
        </w:tc>
        <w:tc>
          <w:tcPr>
            <w:tcW w:w="2614" w:type="dxa"/>
            <w:tcBorders>
              <w:top w:val="single" w:color="auto" w:sz="4" w:space="0"/>
              <w:left w:val="single" w:color="000000" w:sz="4" w:space="0"/>
              <w:bottom w:val="single" w:color="000000" w:sz="4" w:space="0"/>
              <w:right w:val="single" w:color="auto" w:sz="4" w:space="0"/>
            </w:tcBorders>
            <w:shd w:val="clear" w:color="auto" w:fill="auto"/>
            <w:vAlign w:val="center"/>
          </w:tcPr>
          <w:p w14:paraId="1AF2E0A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规格型号</w:t>
            </w:r>
          </w:p>
        </w:tc>
        <w:tc>
          <w:tcPr>
            <w:tcW w:w="1665" w:type="dxa"/>
            <w:tcBorders>
              <w:top w:val="single" w:color="auto" w:sz="4" w:space="0"/>
              <w:left w:val="single" w:color="auto" w:sz="4" w:space="0"/>
              <w:bottom w:val="single" w:color="000000" w:sz="4" w:space="0"/>
              <w:right w:val="single" w:color="000000" w:sz="4" w:space="0"/>
            </w:tcBorders>
            <w:shd w:val="clear" w:color="auto" w:fill="auto"/>
            <w:vAlign w:val="center"/>
          </w:tcPr>
          <w:p w14:paraId="57C46A1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组件编号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BFF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单价（</w:t>
            </w:r>
            <w:r>
              <w:rPr>
                <w:rFonts w:hint="eastAsia" w:asciiTheme="minorEastAsia" w:hAnsiTheme="minorEastAsia" w:cstheme="minorEastAsia"/>
                <w:b/>
                <w:bCs/>
                <w:color w:val="auto"/>
                <w:kern w:val="0"/>
                <w:sz w:val="24"/>
                <w:szCs w:val="24"/>
                <w:lang w:val="en-US" w:eastAsia="zh-CN"/>
              </w:rPr>
              <w:t>元</w:t>
            </w:r>
            <w:r>
              <w:rPr>
                <w:rFonts w:hint="eastAsia" w:asciiTheme="minorEastAsia" w:hAnsiTheme="minorEastAsia" w:eastAsiaTheme="minorEastAsia" w:cstheme="minorEastAsia"/>
                <w:b/>
                <w:bCs/>
                <w:color w:val="auto"/>
                <w:kern w:val="0"/>
                <w:sz w:val="24"/>
                <w:szCs w:val="24"/>
                <w:lang w:val="en-US" w:eastAsia="zh-CN"/>
              </w:rPr>
              <w:t>/</w:t>
            </w:r>
            <w:r>
              <w:rPr>
                <w:rFonts w:hint="eastAsia" w:asciiTheme="minorEastAsia" w:hAnsiTheme="minorEastAsia" w:cstheme="minorEastAsia"/>
                <w:b/>
                <w:bCs/>
                <w:color w:val="auto"/>
                <w:kern w:val="0"/>
                <w:sz w:val="24"/>
                <w:szCs w:val="24"/>
                <w:lang w:val="en-US" w:eastAsia="zh-CN"/>
              </w:rPr>
              <w:t>套</w:t>
            </w:r>
            <w:r>
              <w:rPr>
                <w:rFonts w:hint="eastAsia" w:asciiTheme="minorEastAsia" w:hAnsiTheme="minorEastAsia" w:eastAsiaTheme="minorEastAsia" w:cstheme="minorEastAsia"/>
                <w:b/>
                <w:bCs/>
                <w:color w:val="auto"/>
                <w:kern w:val="0"/>
                <w:sz w:val="24"/>
                <w:szCs w:val="24"/>
                <w:lang w:val="en-US" w:eastAsia="zh-CN"/>
              </w:rPr>
              <w:t>）</w:t>
            </w:r>
          </w:p>
        </w:tc>
      </w:tr>
      <w:tr w14:paraId="586C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EE23">
            <w:pPr>
              <w:keepNext w:val="0"/>
              <w:keepLines w:val="0"/>
              <w:widowControl/>
              <w:suppressLineNumbers w:val="0"/>
              <w:jc w:val="center"/>
              <w:textAlignment w:val="center"/>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i w:val="0"/>
                <w:iCs w:val="0"/>
                <w:color w:val="auto"/>
                <w:kern w:val="0"/>
                <w:sz w:val="24"/>
                <w:szCs w:val="24"/>
                <w:u w:val="none"/>
                <w:lang w:val="en-US" w:eastAsia="zh-CN" w:bidi="ar"/>
              </w:rPr>
              <w:t>窥肛器</w:t>
            </w:r>
          </w:p>
        </w:tc>
        <w:tc>
          <w:tcPr>
            <w:tcW w:w="2614" w:type="dxa"/>
            <w:tcBorders>
              <w:top w:val="single" w:color="000000" w:sz="4" w:space="0"/>
              <w:left w:val="single" w:color="000000" w:sz="4" w:space="0"/>
              <w:bottom w:val="single" w:color="000000" w:sz="4" w:space="0"/>
              <w:right w:val="single" w:color="auto" w:sz="4" w:space="0"/>
            </w:tcBorders>
            <w:shd w:val="clear" w:color="auto" w:fill="auto"/>
            <w:vAlign w:val="center"/>
          </w:tcPr>
          <w:p w14:paraId="7BFB5240">
            <w:pPr>
              <w:keepNext w:val="0"/>
              <w:keepLines w:val="0"/>
              <w:widowControl/>
              <w:suppressLineNumbers w:val="0"/>
              <w:jc w:val="center"/>
              <w:textAlignment w:val="center"/>
              <w:rPr>
                <w:rFonts w:hint="eastAsia" w:asciiTheme="majorEastAsia" w:hAnsiTheme="majorEastAsia" w:eastAsiaTheme="majorEastAsia" w:cstheme="majorEastAsia"/>
                <w:b w:val="0"/>
                <w:bCs w:val="0"/>
                <w:color w:val="auto"/>
                <w:sz w:val="24"/>
                <w:szCs w:val="24"/>
                <w:lang w:val="en-US" w:eastAsia="zh-CN"/>
              </w:rPr>
            </w:pPr>
          </w:p>
        </w:tc>
        <w:tc>
          <w:tcPr>
            <w:tcW w:w="1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2FE9C2A1">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auto"/>
                <w:kern w:val="2"/>
                <w:sz w:val="24"/>
                <w:szCs w:val="24"/>
                <w:u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7A1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i w:val="0"/>
                <w:iCs w:val="0"/>
                <w:color w:val="auto"/>
                <w:sz w:val="24"/>
                <w:szCs w:val="24"/>
                <w:u w:val="none"/>
              </w:rPr>
            </w:pPr>
          </w:p>
        </w:tc>
      </w:tr>
    </w:tbl>
    <w:p w14:paraId="7D95062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 xml:space="preserve">.2  </w:t>
      </w:r>
      <w:r>
        <w:rPr>
          <w:rFonts w:hint="eastAsia" w:ascii="宋体" w:hAnsi="宋体" w:eastAsia="宋体" w:cs="宋体"/>
          <w:color w:val="auto"/>
          <w:sz w:val="24"/>
          <w:szCs w:val="24"/>
          <w:lang w:val="en-US" w:eastAsia="zh-CN"/>
        </w:rPr>
        <w:t>本合同专机专用耗材供货期限为</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lang w:val="en-US" w:eastAsia="zh-CN"/>
        </w:rPr>
        <w:t>年，自本合同设备经总体验收合格之日起算；供应期限内，如甲方停止使用</w:t>
      </w:r>
      <w:r>
        <w:rPr>
          <w:rFonts w:hint="eastAsia" w:ascii="宋体" w:hAnsi="宋体" w:eastAsia="宋体" w:cs="宋体"/>
          <w:color w:val="auto"/>
          <w:kern w:val="0"/>
          <w:sz w:val="24"/>
          <w:szCs w:val="24"/>
          <w:lang w:eastAsia="zh-CN"/>
        </w:rPr>
        <w:t>高频肛肠治疗仪</w:t>
      </w:r>
      <w:r>
        <w:rPr>
          <w:rFonts w:hint="eastAsia" w:ascii="宋体" w:hAnsi="宋体" w:eastAsia="宋体" w:cs="宋体"/>
          <w:color w:val="auto"/>
          <w:kern w:val="0"/>
          <w:sz w:val="24"/>
          <w:szCs w:val="24"/>
          <w:lang w:val="en-US" w:eastAsia="zh-CN"/>
        </w:rPr>
        <w:t>设备，</w:t>
      </w:r>
      <w:r>
        <w:rPr>
          <w:rFonts w:hint="eastAsia" w:ascii="宋体" w:hAnsi="宋体" w:eastAsia="宋体" w:cs="宋体"/>
          <w:color w:val="auto"/>
          <w:sz w:val="24"/>
          <w:szCs w:val="24"/>
          <w:lang w:val="en-US" w:eastAsia="zh-CN"/>
        </w:rPr>
        <w:t>专机</w:t>
      </w:r>
      <w:r>
        <w:rPr>
          <w:rFonts w:hint="eastAsia" w:ascii="宋体" w:hAnsi="宋体" w:eastAsia="宋体" w:cs="宋体"/>
          <w:color w:val="auto"/>
          <w:kern w:val="0"/>
          <w:sz w:val="24"/>
          <w:szCs w:val="24"/>
          <w:lang w:val="en-US" w:eastAsia="zh-CN"/>
        </w:rPr>
        <w:t>专用耗材供应自动终止。</w:t>
      </w:r>
    </w:p>
    <w:p w14:paraId="2C38A94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本合同耗材约定价格包括但不限于材料费、运输费、包装费、装卸费、搬运费、附随服务费、税费、保险费等。</w:t>
      </w:r>
    </w:p>
    <w:p w14:paraId="6E73B3F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auto"/>
          <w:sz w:val="24"/>
          <w:szCs w:val="24"/>
          <w:highlight w:val="none"/>
          <w:u w:val="single"/>
          <w:lang w:val="en-US" w:eastAsia="zh-CN"/>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auto"/>
          <w:sz w:val="24"/>
          <w:szCs w:val="24"/>
          <w:highlight w:val="none"/>
          <w:u w:val="single"/>
          <w:lang w:val="en-US" w:eastAsia="zh-CN"/>
        </w:rPr>
        <w:t>。本合同约定的医用耗材集采后，甲方库存中剩余耗材均按新的集采价格进行结算。</w:t>
      </w:r>
    </w:p>
    <w:p w14:paraId="7A9C2E3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 如无政府政策性或交易平台调价，甲方接受乙方对本合同约定价格进行下调，自乙方发出价格下调通知之日起，甲方发送的书面订单一律按下调后的价格执行。</w:t>
      </w:r>
    </w:p>
    <w:p w14:paraId="16D531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49F276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 xml:space="preserve">第二条  </w:t>
      </w:r>
      <w:r>
        <w:rPr>
          <w:rFonts w:hint="default" w:ascii="宋体" w:hAnsi="宋体" w:eastAsia="宋体" w:cs="宋体"/>
          <w:b/>
          <w:bCs/>
          <w:color w:val="auto"/>
          <w:sz w:val="24"/>
          <w:szCs w:val="24"/>
          <w:lang w:val="en-US" w:eastAsia="zh-CN"/>
        </w:rPr>
        <w:t>交货时间、地点、运输及装卸</w:t>
      </w:r>
    </w:p>
    <w:p w14:paraId="62C51F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2.1  设备</w:t>
      </w:r>
      <w:r>
        <w:rPr>
          <w:rFonts w:hint="default" w:ascii="宋体" w:hAnsi="宋体" w:eastAsia="宋体" w:cs="宋体"/>
          <w:b/>
          <w:bCs/>
          <w:color w:val="auto"/>
          <w:sz w:val="24"/>
          <w:szCs w:val="24"/>
          <w:lang w:val="en-US" w:eastAsia="zh-CN"/>
        </w:rPr>
        <w:t>交货时间地点、运输及装卸</w:t>
      </w:r>
    </w:p>
    <w:p w14:paraId="38F8A4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w:t>
      </w:r>
      <w:r>
        <w:rPr>
          <w:rFonts w:hint="default" w:ascii="宋体" w:hAnsi="宋体" w:eastAsia="宋体" w:cs="宋体"/>
          <w:color w:val="auto"/>
          <w:sz w:val="24"/>
          <w:szCs w:val="24"/>
          <w:lang w:val="en-US" w:eastAsia="zh-CN"/>
        </w:rPr>
        <w:t>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w:t>
      </w:r>
      <w:r>
        <w:rPr>
          <w:rFonts w:hint="eastAsia" w:ascii="宋体" w:hAnsi="宋体" w:eastAsia="宋体" w:cs="宋体"/>
          <w:color w:val="auto"/>
          <w:sz w:val="24"/>
          <w:szCs w:val="24"/>
          <w:lang w:val="en-US" w:eastAsia="zh-CN"/>
        </w:rPr>
        <w:t>并在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14:paraId="2C6AFB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.1.2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14:paraId="3DC39E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2.1.3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14:paraId="570FCB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 设备专机专用耗材交货时间地点、运输及装卸</w:t>
      </w:r>
    </w:p>
    <w:p w14:paraId="1BE7E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 交货时间：乙方自甲方发送专机专用耗材书面订单之日起5日内，按书面订单要求将耗材送至甲方指定地点，非工作日、节假日正常执行。</w:t>
      </w:r>
    </w:p>
    <w:p w14:paraId="6D8687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 交货地点：娄底市中心医院设备科仓库，指定收货人：娄底市中心医院设备科仓库管理员。</w:t>
      </w:r>
    </w:p>
    <w:p w14:paraId="0B59CC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2.2.3 由乙方自备交通运输工具将耗材运至合同约定地点，并负责耗材装卸的人工及费用。</w:t>
      </w:r>
    </w:p>
    <w:p w14:paraId="1E9EB5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第三条 质量标准、质量验收、包装要求</w:t>
      </w:r>
    </w:p>
    <w:p w14:paraId="06EEFA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3.1  设备质量标准、质量验收、包装要求</w:t>
      </w:r>
    </w:p>
    <w:p w14:paraId="5B56D3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乙方提供设备的质量、安装应符合或优于国家标准；如响应文件中的技术参数和质量标准高于国家标准，则设备的技术参数和质量标准以响应文件为准。</w:t>
      </w:r>
    </w:p>
    <w:p w14:paraId="24E237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3.1.2 设备质量验收：以本合同约定标准按以下方式进行验收： </w:t>
      </w:r>
    </w:p>
    <w:p w14:paraId="14B424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14:paraId="6255AF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14:paraId="45C0421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D766ED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3.1.3 包装要求：乙方提供的设备必须为原厂包装，外包装到货时应保证完好无损，否则甲方有权拒绝收货，由此造成的延期交货违约责任和一切经济损失全部由乙方承担。</w:t>
      </w:r>
    </w:p>
    <w:p w14:paraId="116B73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 专机专用耗材质量标准、质量验收、包装要求</w:t>
      </w:r>
    </w:p>
    <w:p w14:paraId="306FC4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7E108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甲方有权拒收。乙方应在甲方拒收之日起</w:t>
      </w:r>
      <w:r>
        <w:rPr>
          <w:rFonts w:hint="eastAsia" w:ascii="宋体" w:hAnsi="宋体" w:eastAsia="宋体" w:cs="宋体"/>
          <w:color w:val="auto"/>
          <w:sz w:val="24"/>
          <w:szCs w:val="24"/>
          <w:u w:val="single"/>
          <w:lang w:val="en-US" w:eastAsia="zh-CN"/>
        </w:rPr>
        <w:t xml:space="preserve"> 3</w:t>
      </w:r>
      <w:r>
        <w:rPr>
          <w:rFonts w:hint="eastAsia" w:ascii="宋体" w:hAnsi="宋体" w:eastAsia="宋体" w:cs="宋体"/>
          <w:color w:val="auto"/>
          <w:sz w:val="24"/>
          <w:szCs w:val="24"/>
          <w:lang w:val="en-US" w:eastAsia="zh-CN"/>
        </w:rPr>
        <w:t>日内，向甲方更换合格的医用耗材。</w:t>
      </w:r>
    </w:p>
    <w:p w14:paraId="398C1D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耗材效期要求：乙方提供的耗材效期须在12个月以上，如乙方提供的医用耗材效期少于12个月的，甲方有权拒收，乙方应在甲方拒收之日起</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lang w:val="en-US" w:eastAsia="zh-CN"/>
        </w:rPr>
        <w:t>日内，向甲方更换符合效期要求的医用耗材。</w:t>
      </w:r>
    </w:p>
    <w:p w14:paraId="7D430B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 包装要求：医用耗材包装须与交易平台上中标（挂网）医用耗材的信息一致，包装为原产包装且应完全无损，如甲方对包装有特殊要求时，乙方应按甲方订单要求包装。</w:t>
      </w:r>
    </w:p>
    <w:p w14:paraId="3F0E65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14:paraId="5119CC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14:paraId="7C56D1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14:paraId="118DBF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14:paraId="37E73C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14:paraId="2AAE81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14:paraId="6C112EB9">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5.1 设备售后服务</w:t>
      </w:r>
    </w:p>
    <w:p w14:paraId="322DBBD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 本合同设备质保期为</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年，自甲方在总体验收报告单上签字确认合格之日起算。</w:t>
      </w:r>
    </w:p>
    <w:p w14:paraId="688761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5.1.2  </w:t>
      </w:r>
      <w:r>
        <w:rPr>
          <w:rFonts w:hint="eastAsia" w:ascii="宋体" w:hAnsi="宋体" w:eastAsia="宋体" w:cs="宋体"/>
          <w:color w:val="auto"/>
          <w:sz w:val="24"/>
        </w:rPr>
        <w:t>乙方在质保期内免费提供</w:t>
      </w: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rPr>
        <w:t>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color w:val="auto"/>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lang w:val="en-US" w:eastAsia="zh-CN"/>
        </w:rPr>
        <w:t>小时内响应，响应后</w:t>
      </w:r>
      <w:r>
        <w:rPr>
          <w:rFonts w:hint="eastAsia" w:ascii="宋体" w:hAnsi="宋体" w:eastAsia="宋体" w:cs="宋体"/>
          <w:color w:val="auto"/>
          <w:sz w:val="24"/>
          <w:szCs w:val="24"/>
          <w:u w:val="single"/>
          <w:lang w:val="en-US" w:eastAsia="zh-CN"/>
        </w:rPr>
        <w:t>24</w:t>
      </w:r>
      <w:r>
        <w:rPr>
          <w:rFonts w:hint="eastAsia" w:ascii="宋体" w:hAnsi="宋体" w:eastAsia="宋体" w:cs="宋体"/>
          <w:color w:val="auto"/>
          <w:sz w:val="24"/>
          <w:szCs w:val="24"/>
          <w:lang w:val="en-US" w:eastAsia="zh-CN"/>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2F92D9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5.1.3  质保期内，乙方每年至少对设备进行一次巡检并向甲方提交巡检记录。</w:t>
      </w:r>
    </w:p>
    <w:p w14:paraId="293794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5.1.4  质保期届满后，如设备出现问题，乙方应在接到甲方通知（包括电话通知）24小时响应，响应后4小时上门服务，相关费用由甲方承担。</w:t>
      </w:r>
    </w:p>
    <w:p w14:paraId="179BFD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5.2 耗材售后服务</w:t>
      </w:r>
    </w:p>
    <w:p w14:paraId="509F50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5.2.1 在乙方提供耗材的标识标注的有效期内，如出现质量问题，乙方应在接到甲方通知（包括电话通知）后1小时内响应，响应后24小时内赶到甲方提供更换服务，相关费用由乙方承担。</w:t>
      </w:r>
    </w:p>
    <w:p w14:paraId="641241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5.2.2 乙方提供的耗材应为符合国家质量标准的合格产品且所有证件、手续合法齐全，如因产品质量原因或手续不齐不合法或未按要求储存、运输（冷链）、包装等给甲方造成损失和不良影响全部由乙方负责。</w:t>
      </w:r>
    </w:p>
    <w:p w14:paraId="2C762AF5">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w:t>
      </w:r>
      <w:r>
        <w:rPr>
          <w:rFonts w:hint="eastAsia" w:ascii="宋体" w:hAnsi="宋体" w:eastAsia="宋体" w:cs="宋体"/>
          <w:color w:val="auto"/>
          <w:sz w:val="24"/>
          <w:szCs w:val="24"/>
          <w:lang w:val="en-US" w:eastAsia="zh-CN"/>
        </w:rPr>
        <w:t>本合同</w:t>
      </w:r>
      <w:r>
        <w:rPr>
          <w:rFonts w:hint="eastAsia" w:ascii="宋体" w:hAnsi="宋体" w:eastAsia="宋体" w:cs="宋体"/>
          <w:color w:val="auto"/>
          <w:sz w:val="24"/>
          <w:szCs w:val="24"/>
        </w:rPr>
        <w:t>售后服务事宜，如人员</w:t>
      </w:r>
      <w:r>
        <w:rPr>
          <w:rFonts w:hint="eastAsia" w:ascii="宋体" w:hAnsi="宋体" w:eastAsia="宋体" w:cs="宋体"/>
          <w:color w:val="auto"/>
          <w:sz w:val="24"/>
          <w:szCs w:val="24"/>
          <w:lang w:val="en-US" w:eastAsia="zh-CN"/>
        </w:rPr>
        <w:t>及联系电话</w:t>
      </w:r>
      <w:r>
        <w:rPr>
          <w:rFonts w:hint="eastAsia" w:ascii="宋体" w:hAnsi="宋体" w:eastAsia="宋体" w:cs="宋体"/>
          <w:color w:val="auto"/>
          <w:sz w:val="24"/>
          <w:szCs w:val="24"/>
        </w:rPr>
        <w:t>发生变动，应及时通知甲方。</w:t>
      </w:r>
    </w:p>
    <w:p w14:paraId="640E37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14:paraId="1FE8AA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6.1  设备结算</w:t>
      </w:r>
    </w:p>
    <w:p w14:paraId="0DC7F1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6.1.1 </w:t>
      </w:r>
      <w:r>
        <w:rPr>
          <w:rFonts w:hint="eastAsia" w:ascii="宋体" w:hAnsi="宋体" w:eastAsia="宋体" w:cs="宋体"/>
          <w:color w:val="auto"/>
          <w:sz w:val="24"/>
          <w:szCs w:val="24"/>
          <w:highlight w:val="none"/>
          <w:lang w:val="en-US" w:eastAsia="zh-CN"/>
        </w:rPr>
        <w:t>甲方在设备总体验收报告单上签字确认合格之日起4个月内，向乙方支付设备结算价款的90%；余款10%，甲方在质保期届满且不存在需被扣除情形之日起10个工作日内，免息支付给乙方。</w:t>
      </w:r>
    </w:p>
    <w:p w14:paraId="609711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6.1.2 乙方应在甲方首次支付设备货款前，</w:t>
      </w:r>
      <w:r>
        <w:rPr>
          <w:rFonts w:hint="eastAsia" w:ascii="宋体" w:hAnsi="宋体" w:eastAsia="宋体" w:cs="宋体"/>
          <w:color w:val="auto"/>
          <w:sz w:val="24"/>
          <w:szCs w:val="24"/>
          <w:highlight w:val="none"/>
          <w:lang w:val="en-US" w:eastAsia="zh-CN"/>
        </w:rPr>
        <w:t>向甲方提供以乙方</w:t>
      </w:r>
      <w:r>
        <w:rPr>
          <w:rFonts w:hint="eastAsia" w:ascii="宋体" w:hAnsi="宋体" w:eastAsia="宋体" w:cs="宋体"/>
          <w:color w:val="auto"/>
          <w:sz w:val="24"/>
          <w:szCs w:val="24"/>
          <w:lang w:val="en-US" w:eastAsia="zh-CN"/>
        </w:rPr>
        <w:t>自己名义开具的与设备结算价款对应的增值税普通发票，</w:t>
      </w:r>
      <w:r>
        <w:rPr>
          <w:rFonts w:hint="eastAsia" w:ascii="宋体" w:hAnsi="宋体" w:eastAsia="宋体" w:cs="宋体"/>
          <w:color w:val="auto"/>
          <w:sz w:val="24"/>
          <w:szCs w:val="24"/>
          <w:highlight w:val="none"/>
          <w:lang w:val="en-US" w:eastAsia="zh-CN"/>
        </w:rPr>
        <w:t>如乙方未及时提供发票，甲方有权顺延付款，由此产生的责任均由乙方自行承担</w:t>
      </w:r>
      <w:r>
        <w:rPr>
          <w:rFonts w:hint="eastAsia" w:ascii="宋体" w:hAnsi="宋体" w:eastAsia="宋体" w:cs="宋体"/>
          <w:color w:val="auto"/>
          <w:sz w:val="24"/>
          <w:szCs w:val="24"/>
          <w:lang w:val="en-US" w:eastAsia="zh-CN"/>
        </w:rPr>
        <w:t>。</w:t>
      </w:r>
    </w:p>
    <w:p w14:paraId="2A526B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 乙方开具的发票金额应与设备总体验收报告单内容一致，甲方不支付超出设备总体验收报告单内容以外的任何费用。</w:t>
      </w:r>
    </w:p>
    <w:p w14:paraId="66A563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6.2  耗材结算：</w:t>
      </w:r>
    </w:p>
    <w:p w14:paraId="028BF0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耗材结算价款</w:t>
      </w:r>
      <w:r>
        <w:rPr>
          <w:rFonts w:hint="default" w:ascii="宋体" w:hAnsi="宋体" w:eastAsia="宋体" w:cs="宋体"/>
          <w:color w:val="auto"/>
          <w:sz w:val="24"/>
          <w:szCs w:val="24"/>
          <w:lang w:val="en-US" w:eastAsia="zh-CN"/>
        </w:rPr>
        <w:t>根据</w:t>
      </w:r>
      <w:r>
        <w:rPr>
          <w:rFonts w:hint="eastAsia" w:ascii="宋体" w:hAnsi="宋体" w:eastAsia="宋体" w:cs="宋体"/>
          <w:color w:val="auto"/>
          <w:sz w:val="24"/>
          <w:szCs w:val="24"/>
          <w:lang w:val="en-US" w:eastAsia="zh-CN"/>
        </w:rPr>
        <w:t>甲方的</w:t>
      </w:r>
      <w:r>
        <w:rPr>
          <w:rFonts w:hint="default" w:ascii="宋体" w:hAnsi="宋体" w:eastAsia="宋体" w:cs="宋体"/>
          <w:color w:val="auto"/>
          <w:sz w:val="24"/>
          <w:szCs w:val="24"/>
          <w:lang w:val="en-US" w:eastAsia="zh-CN"/>
        </w:rPr>
        <w:t>书面订单、经甲方签字确认的乙方送货单按</w:t>
      </w:r>
      <w:r>
        <w:rPr>
          <w:rFonts w:hint="eastAsia" w:ascii="宋体" w:hAnsi="宋体" w:eastAsia="宋体" w:cs="宋体"/>
          <w:color w:val="auto"/>
          <w:sz w:val="24"/>
          <w:szCs w:val="24"/>
          <w:u w:val="single"/>
          <w:lang w:val="en-US" w:eastAsia="zh-CN"/>
        </w:rPr>
        <w:t xml:space="preserve"> 月 </w:t>
      </w:r>
      <w:r>
        <w:rPr>
          <w:rFonts w:hint="eastAsia" w:ascii="宋体" w:hAnsi="宋体" w:eastAsia="宋体" w:cs="宋体"/>
          <w:color w:val="auto"/>
          <w:sz w:val="24"/>
          <w:szCs w:val="24"/>
          <w:lang w:val="en-US" w:eastAsia="zh-CN"/>
        </w:rPr>
        <w:t>据实</w:t>
      </w:r>
      <w:r>
        <w:rPr>
          <w:rFonts w:hint="default" w:ascii="宋体" w:hAnsi="宋体" w:eastAsia="宋体" w:cs="宋体"/>
          <w:color w:val="auto"/>
          <w:sz w:val="24"/>
          <w:szCs w:val="24"/>
          <w:lang w:val="en-US" w:eastAsia="zh-CN"/>
        </w:rPr>
        <w:t>结算</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乙方应向甲方提供以乙方名义开具的与</w:t>
      </w:r>
      <w:r>
        <w:rPr>
          <w:rFonts w:hint="eastAsia" w:ascii="宋体" w:hAnsi="宋体" w:eastAsia="宋体" w:cs="宋体"/>
          <w:color w:val="auto"/>
          <w:sz w:val="24"/>
          <w:szCs w:val="24"/>
          <w:lang w:val="en-US" w:eastAsia="zh-CN"/>
        </w:rPr>
        <w:t>该批次</w:t>
      </w:r>
      <w:r>
        <w:rPr>
          <w:rFonts w:hint="default" w:ascii="宋体" w:hAnsi="宋体" w:eastAsia="宋体" w:cs="宋体"/>
          <w:color w:val="auto"/>
          <w:sz w:val="24"/>
          <w:szCs w:val="24"/>
          <w:lang w:val="en-US" w:eastAsia="zh-CN"/>
        </w:rPr>
        <w:t>结算金额对应的增值税普通发票；如乙方未能及时提供符合约定的发票，甲方有权顺延付款期限</w:t>
      </w:r>
      <w:r>
        <w:rPr>
          <w:rFonts w:hint="eastAsia" w:ascii="宋体" w:hAnsi="宋体" w:eastAsia="宋体" w:cs="宋体"/>
          <w:color w:val="auto"/>
          <w:sz w:val="24"/>
          <w:szCs w:val="24"/>
          <w:lang w:val="en-US" w:eastAsia="zh-CN"/>
        </w:rPr>
        <w:t>，由此产生的责任均由乙方自行承担</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甲方自收到乙方发票且财务入账后180日内（如遇特殊情况顺延）向乙方支付该批次结算价款</w:t>
      </w:r>
      <w:r>
        <w:rPr>
          <w:rFonts w:hint="default" w:ascii="宋体" w:hAnsi="宋体" w:eastAsia="宋体" w:cs="宋体"/>
          <w:color w:val="auto"/>
          <w:sz w:val="24"/>
          <w:szCs w:val="24"/>
          <w:lang w:val="en-US" w:eastAsia="zh-CN"/>
        </w:rPr>
        <w:t>。</w:t>
      </w:r>
    </w:p>
    <w:p w14:paraId="74C3A7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乙方委派</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与甲方办理结算手续。</w:t>
      </w:r>
    </w:p>
    <w:p w14:paraId="6EA31F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甲方通过银行转账方式向乙方指定银行账户支付设备和耗材结算价款，乙方指定账户：</w:t>
      </w:r>
    </w:p>
    <w:p w14:paraId="576D64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14:paraId="0B2A49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auto"/>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auto"/>
          <w:sz w:val="24"/>
          <w:szCs w:val="24"/>
          <w:u w:val="none"/>
          <w:lang w:val="en-US" w:eastAsia="zh-CN"/>
        </w:rPr>
        <w:t xml:space="preserve">       </w:t>
      </w:r>
    </w:p>
    <w:p w14:paraId="56AFD0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auto"/>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auto"/>
          <w:sz w:val="28"/>
          <w:szCs w:val="28"/>
          <w:u w:val="none"/>
          <w:lang w:val="en-US" w:eastAsia="zh-CN"/>
        </w:rPr>
        <w:t xml:space="preserve"> </w:t>
      </w:r>
      <w:r>
        <w:rPr>
          <w:rFonts w:hint="eastAsia" w:ascii="宋体" w:hAnsi="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auto"/>
          <w:sz w:val="28"/>
          <w:szCs w:val="28"/>
          <w:u w:val="none"/>
          <w:lang w:val="en-US" w:eastAsia="zh-CN"/>
        </w:rPr>
        <w:t xml:space="preserve">   </w:t>
      </w:r>
    </w:p>
    <w:p w14:paraId="662911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14:paraId="0D6A97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14:paraId="6E0099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设备毁损、丢失的风险自甲方在设备总体验收报告单上签字确认合格后转移给甲方；医用耗材毁损、灭失的风险自甲方在供货单上签字验收之日起转移给甲方。</w:t>
      </w:r>
    </w:p>
    <w:p w14:paraId="091461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如耗材在有效期内出现质量问题，给甲方、乙方或第三方人身、财产造成的所有损失，均由乙方负责处理和承担全部法律责任、经济赔偿。</w:t>
      </w:r>
    </w:p>
    <w:p w14:paraId="62B0B4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乙方确保本合同约定设备及耗材的权利均无瑕疵，包括所有权及知识产权等权利，否则由乙方承担全部法律责任和经济赔偿。</w:t>
      </w:r>
    </w:p>
    <w:p w14:paraId="28D3D3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廉洁条款</w:t>
      </w:r>
    </w:p>
    <w:p w14:paraId="296307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8.1 乙方应严格遵守国家相关法律法规，涉及合同的有关业务活动必须坚持公开、公平、公正、诚信原则，不得为获取不正当利益，损害国家、集体和甲方利益。</w:t>
      </w:r>
    </w:p>
    <w:p w14:paraId="400364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b/>
          <w:bCs/>
          <w:color w:val="auto"/>
          <w:sz w:val="24"/>
          <w:szCs w:val="24"/>
          <w:u w:val="single"/>
          <w:lang w:val="en-US" w:eastAsia="zh-CN"/>
        </w:rPr>
      </w:pPr>
      <w:r>
        <w:rPr>
          <w:rFonts w:hint="default" w:ascii="宋体" w:hAnsi="宋体" w:eastAsia="宋体" w:cs="宋体"/>
          <w:b/>
          <w:bCs/>
          <w:color w:val="auto"/>
          <w:sz w:val="24"/>
          <w:szCs w:val="24"/>
          <w:lang w:val="en-US" w:eastAsia="zh-CN"/>
        </w:rPr>
        <w:t xml:space="preserve">8.2 </w:t>
      </w:r>
      <w:r>
        <w:rPr>
          <w:rFonts w:hint="default" w:ascii="宋体" w:hAnsi="宋体" w:eastAsia="宋体" w:cs="宋体"/>
          <w:b/>
          <w:bCs/>
          <w:color w:val="auto"/>
          <w:sz w:val="24"/>
          <w:szCs w:val="24"/>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E11AED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第九条 保密条款</w:t>
      </w:r>
    </w:p>
    <w:p w14:paraId="5E462FF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9.1 本合同订立、履行、变更等产生的研究、商讨、交流等信息，履行本合同获悉的甲方商业秘密、运营信息、工作人员信息、患陪个人信息等，均属保密信息。</w:t>
      </w:r>
    </w:p>
    <w:p w14:paraId="3CEC29C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9.2 乙方应对保密信息应当采取有效手段严格保密，不得用于非本合同之目的或向第三方泄露。如政府部门、法院或其他有权部门要求乙方提供保密信息，乙方应当立即向甲方通报。</w:t>
      </w:r>
    </w:p>
    <w:p w14:paraId="1ECB009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9.3 因乙方未履行本合同保密义务造成甲方或第三方损失的，由乙方承担全部赔偿责任。</w:t>
      </w:r>
    </w:p>
    <w:p w14:paraId="40A37DA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9.4 本合同保密条款在合同被认定无效、被撤销或终止、解除后仍然有效。</w:t>
      </w:r>
    </w:p>
    <w:p w14:paraId="75144FE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第十条 </w:t>
      </w:r>
      <w:r>
        <w:rPr>
          <w:rFonts w:hint="default" w:ascii="宋体" w:hAnsi="宋体" w:eastAsia="宋体" w:cs="宋体"/>
          <w:b/>
          <w:bCs/>
          <w:color w:val="auto"/>
          <w:sz w:val="24"/>
          <w:highlight w:val="none"/>
          <w:lang w:val="en-US" w:eastAsia="zh-CN"/>
        </w:rPr>
        <w:t>通知</w:t>
      </w:r>
      <w:r>
        <w:rPr>
          <w:rFonts w:hint="eastAsia" w:ascii="宋体" w:hAnsi="宋体" w:eastAsia="宋体" w:cs="宋体"/>
          <w:b/>
          <w:bCs/>
          <w:color w:val="auto"/>
          <w:sz w:val="24"/>
          <w:highlight w:val="none"/>
          <w:lang w:val="en-US" w:eastAsia="zh-CN"/>
        </w:rPr>
        <w:t>与送达</w:t>
      </w:r>
    </w:p>
    <w:p w14:paraId="644F608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10.1 甲乙双方同意，与本合同有关的任何文书，应以书面方式按照本合同约定发送，书面方式包括手机短信、微信、书面函件、电子邮件等形式。</w:t>
      </w:r>
    </w:p>
    <w:p w14:paraId="5E76823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10.2 双方确认的文书（包括未来可能发生的诉讼或仲裁活动中法院或仲裁机构的送达法律文书）送达地址：</w:t>
      </w:r>
    </w:p>
    <w:p w14:paraId="163ED4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10.2.1 </w:t>
      </w:r>
      <w:r>
        <w:rPr>
          <w:rFonts w:hint="default" w:ascii="宋体" w:hAnsi="宋体" w:eastAsia="宋体" w:cs="宋体"/>
          <w:b w:val="0"/>
          <w:bCs w:val="0"/>
          <w:color w:val="auto"/>
          <w:sz w:val="24"/>
          <w:highlight w:val="none"/>
          <w:lang w:val="en-US" w:eastAsia="zh-CN"/>
        </w:rPr>
        <w:t>甲方的联系地址：</w:t>
      </w:r>
      <w:r>
        <w:rPr>
          <w:rFonts w:hint="eastAsia" w:ascii="宋体" w:hAnsi="宋体" w:eastAsia="宋体" w:cs="宋体"/>
          <w:b w:val="0"/>
          <w:bCs w:val="0"/>
          <w:color w:val="auto"/>
          <w:sz w:val="24"/>
          <w:highlight w:val="none"/>
          <w:u w:val="single"/>
          <w:lang w:val="en-US" w:eastAsia="zh-CN"/>
        </w:rPr>
        <w:t>娄底市娄星区</w:t>
      </w:r>
      <w:r>
        <w:rPr>
          <w:rFonts w:hint="default" w:ascii="宋体" w:hAnsi="宋体" w:eastAsia="宋体" w:cs="宋体"/>
          <w:b w:val="0"/>
          <w:bCs w:val="0"/>
          <w:color w:val="auto"/>
          <w:sz w:val="24"/>
          <w:highlight w:val="none"/>
          <w:u w:val="single"/>
          <w:lang w:val="en-US" w:eastAsia="zh-CN"/>
        </w:rPr>
        <w:t>长青中街51号</w:t>
      </w:r>
      <w:r>
        <w:rPr>
          <w:rFonts w:hint="eastAsia" w:ascii="宋体" w:hAnsi="宋体" w:eastAsia="宋体" w:cs="宋体"/>
          <w:color w:val="auto"/>
          <w:sz w:val="24"/>
          <w:szCs w:val="24"/>
          <w:highlight w:val="none"/>
          <w:u w:val="single"/>
          <w:lang w:val="en-US" w:eastAsia="zh-CN"/>
        </w:rPr>
        <w:t>娄底市中心医院设备科</w:t>
      </w:r>
      <w:r>
        <w:rPr>
          <w:rFonts w:hint="default" w:ascii="宋体" w:hAnsi="宋体" w:eastAsia="宋体" w:cs="宋体"/>
          <w:b w:val="0"/>
          <w:bCs w:val="0"/>
          <w:color w:val="auto"/>
          <w:sz w:val="24"/>
          <w:highlight w:val="none"/>
          <w:lang w:val="en-US" w:eastAsia="zh-CN"/>
        </w:rPr>
        <w:t>，联系人：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朱振宇</w:t>
      </w:r>
      <w:r>
        <w:rPr>
          <w:rFonts w:hint="default" w:ascii="宋体" w:hAnsi="宋体" w:eastAsia="宋体" w:cs="宋体"/>
          <w:b w:val="0"/>
          <w:bCs w:val="0"/>
          <w:color w:val="auto"/>
          <w:sz w:val="24"/>
          <w:highlight w:val="none"/>
          <w:lang w:val="en-US" w:eastAsia="zh-CN"/>
        </w:rPr>
        <w:t>，联系电话：</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15673845559</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，邮箱地址</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 xml:space="preserve">7248283@qq.com </w:t>
      </w:r>
      <w:r>
        <w:rPr>
          <w:rFonts w:hint="eastAsia" w:ascii="宋体" w:hAnsi="宋体" w:eastAsia="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或微信号</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color w:val="auto"/>
          <w:sz w:val="24"/>
          <w:szCs w:val="24"/>
          <w:highlight w:val="none"/>
          <w:u w:val="single"/>
          <w:lang w:val="en-US" w:eastAsia="zh-CN"/>
        </w:rPr>
        <w:t>15673845559</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w:t>
      </w:r>
    </w:p>
    <w:p w14:paraId="2B1AE89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10.2.2 </w:t>
      </w:r>
      <w:r>
        <w:rPr>
          <w:rFonts w:hint="default" w:ascii="宋体" w:hAnsi="宋体" w:eastAsia="宋体" w:cs="宋体"/>
          <w:b w:val="0"/>
          <w:bCs w:val="0"/>
          <w:color w:val="auto"/>
          <w:sz w:val="24"/>
          <w:highlight w:val="none"/>
          <w:lang w:val="en-US" w:eastAsia="zh-CN"/>
        </w:rPr>
        <w:t>乙方的联系地址：</w:t>
      </w:r>
      <w:r>
        <w:rPr>
          <w:rFonts w:hint="default"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 xml:space="preserve"> ，联系人：</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 联系电话：</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，邮箱地址</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或微信号</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w:t>
      </w:r>
    </w:p>
    <w:p w14:paraId="73E48F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85AB57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125CDC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第十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条</w:t>
      </w:r>
      <w:r>
        <w:rPr>
          <w:rFonts w:hint="eastAsia" w:ascii="宋体" w:hAnsi="宋体" w:eastAsia="宋体" w:cs="宋体"/>
          <w:b/>
          <w:bCs/>
          <w:color w:val="auto"/>
          <w:sz w:val="24"/>
          <w:highlight w:val="none"/>
          <w:lang w:val="en-US" w:eastAsia="zh-CN"/>
        </w:rPr>
        <w:t xml:space="preserve"> 合同的变更、解除</w:t>
      </w:r>
    </w:p>
    <w:p w14:paraId="190DC65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 本合同经双方协商一致后可以变更，双方应另行签订补充协议。</w:t>
      </w:r>
    </w:p>
    <w:p w14:paraId="6CA9505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11.2 </w:t>
      </w:r>
      <w:r>
        <w:rPr>
          <w:rFonts w:hint="eastAsia" w:ascii="宋体" w:hAnsi="宋体" w:eastAsia="宋体" w:cs="宋体"/>
          <w:color w:val="auto"/>
          <w:sz w:val="24"/>
          <w:highlight w:val="none"/>
        </w:rPr>
        <w:t>乙方出现以下违约情形之一的，甲方有权拒绝支付任何价款并解除合同：</w:t>
      </w:r>
    </w:p>
    <w:p w14:paraId="0937B1D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乙方逾期</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日仍不能供货</w:t>
      </w:r>
      <w:r>
        <w:rPr>
          <w:rFonts w:hint="eastAsia" w:ascii="宋体" w:hAnsi="宋体" w:eastAsia="宋体" w:cs="宋体"/>
          <w:color w:val="auto"/>
          <w:sz w:val="24"/>
          <w:highlight w:val="none"/>
          <w:lang w:eastAsia="zh-CN"/>
        </w:rPr>
        <w:t>。</w:t>
      </w:r>
    </w:p>
    <w:p w14:paraId="2A627CB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 乙方提供的设备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耗材</w:t>
      </w:r>
      <w:r>
        <w:rPr>
          <w:rFonts w:hint="eastAsia" w:ascii="宋体" w:hAnsi="宋体" w:eastAsia="宋体" w:cs="宋体"/>
          <w:color w:val="auto"/>
          <w:sz w:val="24"/>
          <w:highlight w:val="none"/>
        </w:rPr>
        <w:t>质量不符合国家标准、本合同标准或响应文件约定标准</w:t>
      </w:r>
      <w:r>
        <w:rPr>
          <w:rFonts w:hint="eastAsia" w:ascii="宋体" w:hAnsi="宋体" w:eastAsia="宋体" w:cs="宋体"/>
          <w:color w:val="auto"/>
          <w:sz w:val="24"/>
          <w:highlight w:val="none"/>
          <w:lang w:eastAsia="zh-CN"/>
        </w:rPr>
        <w:t>。</w:t>
      </w:r>
    </w:p>
    <w:p w14:paraId="563737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08358B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 乙方供应的耗材被生产厂家取消配送权的；或乙方不配合耗材管理工作的，如不配合耗材HRP系统信息录入、赋码等、不配合耗材SPD配送管理、未向SPD配送公司交纳配送服务费等。</w:t>
      </w:r>
    </w:p>
    <w:p w14:paraId="7D87B5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11.2.5 乙方违反甲方制度的，或乙方经甲方供应商管理考核为不合格供应商的。</w:t>
      </w:r>
    </w:p>
    <w:p w14:paraId="0E1B0A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11.2.6 乙方未经甲方设备科发出书面订单采购私自向甲方科室配送的。</w:t>
      </w:r>
    </w:p>
    <w:p w14:paraId="600139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11.2.7 乙方将订单转包、分包给第三方。</w:t>
      </w:r>
    </w:p>
    <w:p w14:paraId="6312F9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11.2.8 乙方在本合同履行期间因违法行为被追究刑事责任的，或被予以吊销营业执照、取消资质等行政处罚，或乙方被接管、资金被冻结的。</w:t>
      </w:r>
    </w:p>
    <w:p w14:paraId="5D9522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11.2.9 其他根本违约的情形。</w:t>
      </w:r>
    </w:p>
    <w:p w14:paraId="5912895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eastAsia="zh-CN"/>
        </w:rPr>
        <w:t>十</w:t>
      </w: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条 违约责任</w:t>
      </w:r>
    </w:p>
    <w:p w14:paraId="49B9E17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甲方因</w:t>
      </w:r>
      <w:r>
        <w:rPr>
          <w:rFonts w:hint="eastAsia" w:ascii="宋体" w:hAnsi="宋体" w:eastAsia="宋体" w:cs="宋体"/>
          <w:color w:val="auto"/>
          <w:sz w:val="24"/>
          <w:highlight w:val="none"/>
          <w:lang w:val="en-US" w:eastAsia="zh-CN"/>
        </w:rPr>
        <w:t>11.2情形提前终止本合同或剔除部分采购内容均无须承担违约责任，乙方不得因此要求甲方予以任何经济赔偿或补偿。</w:t>
      </w:r>
    </w:p>
    <w:p w14:paraId="727E4CC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 xml:space="preserve">.2 </w:t>
      </w:r>
      <w:r>
        <w:rPr>
          <w:rFonts w:hint="eastAsia" w:ascii="宋体" w:hAnsi="宋体" w:eastAsia="宋体" w:cs="宋体"/>
          <w:color w:val="auto"/>
          <w:sz w:val="24"/>
          <w:szCs w:val="24"/>
          <w:lang w:val="en-US" w:eastAsia="zh-CN"/>
        </w:rPr>
        <w:t>如乙方未在本合同约定时间内将验收合格的设备交付给甲方使用，除应赔偿甲方因此造成的损失外，每逾期一日，按本合同约定设备总价款的千分之一向甲方支付违约金。</w:t>
      </w:r>
    </w:p>
    <w:p w14:paraId="515BC6C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 xml:space="preserve">.3 </w:t>
      </w:r>
      <w:r>
        <w:rPr>
          <w:rFonts w:hint="eastAsia" w:ascii="宋体" w:hAnsi="宋体" w:eastAsia="宋体" w:cs="宋体"/>
          <w:color w:val="auto"/>
          <w:sz w:val="24"/>
          <w:szCs w:val="24"/>
          <w:lang w:val="en-US" w:eastAsia="zh-CN"/>
        </w:rPr>
        <w:t>如乙方未在本合同约定时间内将验收合格的耗材交付给甲方使用，除应赔偿甲方因此造成的损失外，每逾期一日，按该批次耗材结算金额的百分之五向甲方支付违约金。</w:t>
      </w:r>
    </w:p>
    <w:p w14:paraId="611118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12.4  如乙方单方解除合同或甲方因乙方原因解除合同，乙方</w:t>
      </w:r>
      <w:r>
        <w:rPr>
          <w:rFonts w:hint="eastAsia" w:ascii="宋体" w:hAnsi="宋体" w:eastAsia="宋体" w:cs="宋体"/>
          <w:color w:val="FF0000"/>
          <w:sz w:val="24"/>
          <w:szCs w:val="24"/>
          <w:lang w:val="en-US" w:eastAsia="zh-CN"/>
        </w:rPr>
        <w:t>除</w:t>
      </w:r>
      <w:r>
        <w:rPr>
          <w:rFonts w:hint="eastAsia" w:ascii="宋体" w:hAnsi="宋体" w:eastAsia="宋体" w:cs="宋体"/>
          <w:color w:val="auto"/>
          <w:sz w:val="24"/>
          <w:szCs w:val="24"/>
          <w:lang w:val="en-US" w:eastAsia="zh-CN"/>
        </w:rPr>
        <w:t>赔偿甲方</w:t>
      </w:r>
      <w:r>
        <w:rPr>
          <w:rFonts w:hint="eastAsia" w:ascii="宋体" w:hAnsi="宋体" w:eastAsia="宋体" w:cs="宋体"/>
          <w:color w:val="FF0000"/>
          <w:sz w:val="24"/>
          <w:szCs w:val="24"/>
          <w:lang w:val="en-US" w:eastAsia="zh-CN"/>
        </w:rPr>
        <w:t>由此</w:t>
      </w:r>
      <w:r>
        <w:rPr>
          <w:rFonts w:hint="eastAsia" w:ascii="宋体" w:hAnsi="宋体" w:eastAsia="宋体" w:cs="宋体"/>
          <w:color w:val="auto"/>
          <w:sz w:val="24"/>
          <w:szCs w:val="24"/>
          <w:lang w:val="en-US" w:eastAsia="zh-CN"/>
        </w:rPr>
        <w:t>造成的全部经济损失外</w:t>
      </w:r>
      <w:r>
        <w:rPr>
          <w:rFonts w:hint="eastAsia" w:ascii="宋体" w:hAnsi="宋体" w:eastAsia="宋体" w:cs="宋体"/>
          <w:color w:val="FF0000"/>
          <w:sz w:val="24"/>
          <w:szCs w:val="24"/>
          <w:lang w:val="en-US" w:eastAsia="zh-CN"/>
        </w:rPr>
        <w:t>，</w:t>
      </w:r>
      <w:r>
        <w:rPr>
          <w:rFonts w:hint="eastAsia" w:ascii="宋体" w:hAnsi="宋体" w:eastAsia="宋体" w:cs="宋体"/>
          <w:color w:val="auto"/>
          <w:sz w:val="24"/>
          <w:szCs w:val="24"/>
          <w:lang w:val="en-US" w:eastAsia="zh-CN"/>
        </w:rPr>
        <w:t>还应向甲方支付违约金</w:t>
      </w:r>
      <w:bookmarkStart w:id="4" w:name="_GoBack"/>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none"/>
          <w:lang w:val="en-US" w:eastAsia="zh-CN"/>
        </w:rPr>
        <w:t>元</w:t>
      </w:r>
      <w:bookmarkEnd w:id="4"/>
      <w:r>
        <w:rPr>
          <w:rFonts w:hint="eastAsia" w:ascii="宋体" w:hAnsi="宋体" w:eastAsia="宋体" w:cs="宋体"/>
          <w:color w:val="auto"/>
          <w:sz w:val="24"/>
          <w:szCs w:val="24"/>
          <w:lang w:val="en-US" w:eastAsia="zh-CN"/>
        </w:rPr>
        <w:t>。</w:t>
      </w:r>
    </w:p>
    <w:p w14:paraId="2743AC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0905006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lang w:val="en-US" w:eastAsia="zh-CN"/>
        </w:rPr>
        <w:t>12.5 依据本合同约定乙方应支付给甲方的违约金，甲方有权在应支付给乙方的任意价款中直接予以扣除，如扣除部分不足，乙方应在接到甲方通知后3日内补足。</w:t>
      </w:r>
    </w:p>
    <w:p w14:paraId="793FF2D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第</w:t>
      </w:r>
      <w:r>
        <w:rPr>
          <w:rFonts w:hint="eastAsia" w:ascii="宋体" w:hAnsi="宋体" w:cs="宋体"/>
          <w:b/>
          <w:bCs/>
          <w:color w:val="auto"/>
          <w:sz w:val="24"/>
          <w:highlight w:val="none"/>
          <w:lang w:val="en-US" w:eastAsia="zh-CN"/>
        </w:rPr>
        <w:t>十三</w:t>
      </w:r>
      <w:r>
        <w:rPr>
          <w:rFonts w:hint="eastAsia" w:ascii="宋体" w:hAnsi="宋体" w:eastAsia="宋体" w:cs="宋体"/>
          <w:b/>
          <w:bCs/>
          <w:color w:val="auto"/>
          <w:sz w:val="24"/>
          <w:highlight w:val="none"/>
        </w:rPr>
        <w:t>条 争议解决</w:t>
      </w:r>
    </w:p>
    <w:p w14:paraId="6B990C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13.1 本合同适用中华人民共和国法律，并按其解释。</w:t>
      </w:r>
    </w:p>
    <w:p w14:paraId="0B0CC4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highlight w:val="none"/>
          <w:lang w:val="en-US" w:eastAsia="zh-CN"/>
        </w:rPr>
        <w:t xml:space="preserve">13.2 </w:t>
      </w:r>
      <w:r>
        <w:rPr>
          <w:rFonts w:hint="eastAsia" w:ascii="宋体" w:hAnsi="宋体" w:eastAsia="宋体" w:cs="宋体"/>
          <w:color w:val="auto"/>
          <w:sz w:val="24"/>
          <w:highlight w:val="none"/>
        </w:rPr>
        <w:t>如双方在履行本合同过程中发生争议，双方应先协商解决，协商解决不成的，任一方均可向甲方所在地有管辖权的人民法院提起诉讼解决。</w:t>
      </w:r>
    </w:p>
    <w:p w14:paraId="79A1CDE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highlight w:val="none"/>
        </w:rPr>
        <w:t>第十</w:t>
      </w:r>
      <w:r>
        <w:rPr>
          <w:rFonts w:hint="eastAsia" w:ascii="宋体" w:hAnsi="宋体" w:cs="宋体"/>
          <w:b/>
          <w:bCs/>
          <w:color w:val="auto"/>
          <w:sz w:val="24"/>
          <w:highlight w:val="none"/>
          <w:lang w:val="en-US" w:eastAsia="zh-CN"/>
        </w:rPr>
        <w:t>四</w:t>
      </w:r>
      <w:r>
        <w:rPr>
          <w:rFonts w:hint="eastAsia" w:ascii="宋体" w:hAnsi="宋体" w:eastAsia="宋体" w:cs="宋体"/>
          <w:b/>
          <w:bCs/>
          <w:color w:val="auto"/>
          <w:sz w:val="24"/>
          <w:highlight w:val="none"/>
        </w:rPr>
        <w:t>条 附则</w:t>
      </w:r>
    </w:p>
    <w:p w14:paraId="2CB381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 本合同组成文件和优先解释顺序：</w:t>
      </w:r>
      <w:r>
        <w:rPr>
          <w:rFonts w:hint="eastAsia" w:ascii="宋体" w:hAnsi="宋体" w:eastAsia="宋体" w:cs="宋体"/>
          <w:color w:val="auto"/>
          <w:sz w:val="24"/>
          <w:highlight w:val="none"/>
          <w:lang w:eastAsia="zh-CN"/>
        </w:rPr>
        <w:t>乙方在履行本合同中作出的书面承诺；</w:t>
      </w:r>
      <w:r>
        <w:rPr>
          <w:rFonts w:hint="eastAsia" w:ascii="宋体" w:hAnsi="宋体" w:eastAsia="宋体" w:cs="宋体"/>
          <w:color w:val="auto"/>
          <w:sz w:val="24"/>
          <w:szCs w:val="24"/>
          <w:highlight w:val="none"/>
          <w:lang w:val="en-US" w:eastAsia="zh-CN"/>
        </w:rPr>
        <w:t>本合同补充协议；本合同及附件</w:t>
      </w:r>
      <w:r>
        <w:rPr>
          <w:rFonts w:hint="eastAsia" w:ascii="宋体" w:hAnsi="宋体" w:eastAsia="宋体" w:cs="宋体"/>
          <w:color w:val="FF0000"/>
          <w:sz w:val="24"/>
          <w:szCs w:val="24"/>
          <w:highlight w:val="none"/>
          <w:lang w:val="en-US" w:eastAsia="zh-CN"/>
        </w:rPr>
        <w:t>《娄底市中心医院医疗器械供应商考核管理制度》</w:t>
      </w:r>
      <w:r>
        <w:rPr>
          <w:rFonts w:hint="eastAsia" w:ascii="宋体" w:hAnsi="宋体" w:eastAsia="宋体" w:cs="宋体"/>
          <w:color w:val="auto"/>
          <w:sz w:val="24"/>
          <w:szCs w:val="24"/>
          <w:highlight w:val="none"/>
          <w:lang w:val="en-US" w:eastAsia="zh-CN"/>
        </w:rPr>
        <w:t>；议价结果公示；响应文件；采购文件；其他与本合同有关的资料。</w:t>
      </w:r>
    </w:p>
    <w:p w14:paraId="186BD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14.2 </w:t>
      </w:r>
      <w:r>
        <w:rPr>
          <w:rFonts w:hint="eastAsia" w:ascii="宋体" w:hAnsi="宋体" w:eastAsia="宋体" w:cs="宋体"/>
          <w:color w:val="auto"/>
          <w:sz w:val="24"/>
          <w:highlight w:val="none"/>
        </w:rPr>
        <w:t>本合同一式伍份，甲方执肆份、乙方执壹份，自双方签字并盖章</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rPr>
        <w:t>生效。</w:t>
      </w:r>
    </w:p>
    <w:p w14:paraId="09B8E4C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BF5C80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14:paraId="529D69D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4C3086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14:paraId="7FF9B82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14:paraId="22DB4C6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14:paraId="3D71179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15E90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14:paraId="56C3A15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0BAFAC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DEBB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6"/>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5"/>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1FC85010">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510721AA">
      <w:pPr>
        <w:pStyle w:val="15"/>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6"/>
        <w:rPr>
          <w:color w:val="auto"/>
        </w:rPr>
      </w:pPr>
    </w:p>
    <w:p w14:paraId="73D1C885">
      <w:pPr>
        <w:pStyle w:val="15"/>
        <w:rPr>
          <w:rFonts w:hint="eastAsia"/>
          <w:lang w:eastAsia="zh-CN"/>
        </w:rPr>
      </w:pPr>
    </w:p>
    <w:p w14:paraId="03C04AD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红豆小标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9966C9"/>
    <w:rsid w:val="04653F41"/>
    <w:rsid w:val="04B72FC8"/>
    <w:rsid w:val="05AA7263"/>
    <w:rsid w:val="06E91EC4"/>
    <w:rsid w:val="086F75C9"/>
    <w:rsid w:val="0A3F4F3C"/>
    <w:rsid w:val="0E331420"/>
    <w:rsid w:val="0E497FFD"/>
    <w:rsid w:val="0EDD1643"/>
    <w:rsid w:val="0FB9029C"/>
    <w:rsid w:val="10914EF9"/>
    <w:rsid w:val="12080B62"/>
    <w:rsid w:val="12994AC5"/>
    <w:rsid w:val="129F447F"/>
    <w:rsid w:val="12C86253"/>
    <w:rsid w:val="14581137"/>
    <w:rsid w:val="15060AC8"/>
    <w:rsid w:val="15675A4C"/>
    <w:rsid w:val="15F259FD"/>
    <w:rsid w:val="17F91BB8"/>
    <w:rsid w:val="1AF56B46"/>
    <w:rsid w:val="1E79119D"/>
    <w:rsid w:val="1F334F58"/>
    <w:rsid w:val="1F796B24"/>
    <w:rsid w:val="1FE73549"/>
    <w:rsid w:val="2038045E"/>
    <w:rsid w:val="20B41DA7"/>
    <w:rsid w:val="23263CBF"/>
    <w:rsid w:val="272B6E6C"/>
    <w:rsid w:val="27CF2BB7"/>
    <w:rsid w:val="28E81B29"/>
    <w:rsid w:val="29B45A41"/>
    <w:rsid w:val="2C0A2E19"/>
    <w:rsid w:val="2C7642D0"/>
    <w:rsid w:val="2DD77C64"/>
    <w:rsid w:val="2DDA1E78"/>
    <w:rsid w:val="2DE00B8C"/>
    <w:rsid w:val="2EAC037F"/>
    <w:rsid w:val="2EB67A5C"/>
    <w:rsid w:val="302741D2"/>
    <w:rsid w:val="308B184D"/>
    <w:rsid w:val="31FE3F40"/>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3984ABA"/>
    <w:rsid w:val="54413B33"/>
    <w:rsid w:val="581A7C72"/>
    <w:rsid w:val="583A4BD7"/>
    <w:rsid w:val="59C74B1F"/>
    <w:rsid w:val="5C705263"/>
    <w:rsid w:val="5D484535"/>
    <w:rsid w:val="5F8A052F"/>
    <w:rsid w:val="611B6B1B"/>
    <w:rsid w:val="62337787"/>
    <w:rsid w:val="62C222C2"/>
    <w:rsid w:val="632D7C40"/>
    <w:rsid w:val="64133D6A"/>
    <w:rsid w:val="676A25AA"/>
    <w:rsid w:val="678E4F5D"/>
    <w:rsid w:val="680E122C"/>
    <w:rsid w:val="6A4E1D63"/>
    <w:rsid w:val="6DE375E4"/>
    <w:rsid w:val="6E8E5287"/>
    <w:rsid w:val="6FBE332C"/>
    <w:rsid w:val="71554367"/>
    <w:rsid w:val="71584067"/>
    <w:rsid w:val="735201FF"/>
    <w:rsid w:val="737B50A4"/>
    <w:rsid w:val="73F40E72"/>
    <w:rsid w:val="74566F5C"/>
    <w:rsid w:val="749629E7"/>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8"/>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8269</Words>
  <Characters>8706</Characters>
  <Lines>0</Lines>
  <Paragraphs>0</Paragraphs>
  <TotalTime>1</TotalTime>
  <ScaleCrop>false</ScaleCrop>
  <LinksUpToDate>false</LinksUpToDate>
  <CharactersWithSpaces>9651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2024-09-04T02:32:57Z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