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（多功能医用创口冲洗床等一批医院公开挂网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多功能医用创口冲洗床等一批</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多功能医用创口冲洗床等一批</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多功能医用创口冲洗床</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18</w:t>
            </w:r>
          </w:p>
        </w:tc>
      </w:tr>
      <w:tr w14:paraId="186CFF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9052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26AA8DC">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多功能医用创口冲洗壁挂机（含冲洗池）</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A2F6E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43EBF9">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2</w:t>
            </w:r>
          </w:p>
        </w:tc>
      </w:tr>
      <w:tr w14:paraId="52FA24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6B9B9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EB36AC2">
            <w:pPr>
              <w:jc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多功能医用创口冲洗壁挂机（含冲洗池）</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D8F05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370D5EB">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1.5</w:t>
            </w:r>
          </w:p>
        </w:tc>
      </w:tr>
      <w:tr w14:paraId="138DC2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9B7C3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8BB5F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85122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D2765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21.5</w:t>
            </w:r>
          </w:p>
        </w:tc>
      </w:tr>
    </w:tbl>
    <w:p w14:paraId="35B2792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875C6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一、多功能医用创口冲洗床（1台） </w:t>
      </w:r>
    </w:p>
    <w:p w14:paraId="4AC4F4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（一）、功能指标</w:t>
      </w:r>
    </w:p>
    <w:p w14:paraId="6502826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1、具备清水冲洗功能：使用压力可调的清水冲洗伤口，且冲洗时液流会有间歇式脉冲效果。</w:t>
      </w:r>
    </w:p>
    <w:p w14:paraId="23B96C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2、具备清水冲洗加热功能：使用清水冲洗伤口时，可实现清水加热功能，且冲洗时液流会有间歇式脉冲效果。</w:t>
      </w:r>
    </w:p>
    <w:p w14:paraId="373B862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3、具备清洗液冲洗功能：使用清洗液冲洗喷洒伤口，且冲洗时液流会有间歇式脉冲效果。</w:t>
      </w:r>
    </w:p>
    <w:p w14:paraId="74F5F1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4、具备精细冲洗功能：可使用一次性静脉输液管作为无菌冲洗的冲洗管路。</w:t>
      </w:r>
    </w:p>
    <w:p w14:paraId="34F4ABD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5、具备气动冲洗功能：使用气体加速液体的方式实现小流量下的冲洗。</w:t>
      </w:r>
    </w:p>
    <w:p w14:paraId="587B08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6、具备交替冲洗功能：清水冲洗和清洗液冲洗及无菌冲洗在预设的程序下自动交替冲洗。</w:t>
      </w:r>
    </w:p>
    <w:p w14:paraId="70003C0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7、喷头具有可调功能：使用可调式喷头，可实现冲洗过程中冲洗面积的调节。</w:t>
      </w:r>
    </w:p>
    <w:p w14:paraId="3466D7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8、具备打印功能：能打印创口冲洗记录单。</w:t>
      </w:r>
    </w:p>
    <w:p w14:paraId="2E29B64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9、具备语音提示功能：可语音提示冲洗状态。</w:t>
      </w:r>
    </w:p>
    <w:p w14:paraId="274C0D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10、交替冲洗手柄上有启动键/暂停键、档位加键、档位减键，方便医护操作。</w:t>
      </w:r>
    </w:p>
    <w:p w14:paraId="009225A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（二）、性能指标</w:t>
      </w:r>
    </w:p>
    <w:p w14:paraId="70997B1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1、清水冲洗性能指标：清水流量在350 ml/min～1000 ml/min范围内可调，流量调节精度±200ml/min。清水最大流量时扬程≥1600mm,清水最小流量时,扬程≥100mm。清水出水温升≥20℃。清水温度可在26 ℃～36 ℃范围内可调，调节精度±3 ℃。</w:t>
      </w:r>
    </w:p>
    <w:p w14:paraId="5CCBE71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2、清洗液冲洗性能指标：清洗液流量≥100 ml/min，清洗液扬程≥800mm。精细冲洗流量在20 ml/min～60 ml/min范围内可调，流量调节精度±20ml/min。精细冲洗最大流量时扬程≥1600mm,精细冲洗最小流量时扬程≥100mm。</w:t>
      </w:r>
    </w:p>
    <w:p w14:paraId="6F58C1E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3、气动冲洗性能指标：气动冲洗流量在20 ml/min～60 ml/min范围内可调，流量调节精度±20ml/min。气动冲洗最大流量时扬程≥1600mm,气动冲洗最小流量时扬程≥100mm。气动冲洗气体压强≥100kpa。</w:t>
      </w:r>
    </w:p>
    <w:p w14:paraId="55DA16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   （三）、产品为床式：长≥180cm，宽≥78cm，高≥60cm（长宽高），患者冲洗时可躺可坐。</w:t>
      </w:r>
    </w:p>
    <w:p w14:paraId="0BED5A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5230C0B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二、多功能医用创口冲洗壁挂机（含冲洗池）1套</w:t>
      </w:r>
    </w:p>
    <w:p w14:paraId="7C6149B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1、具备清水冲洗功能：使用压力可调的清水冲洗伤口，且冲洗时液流会有间歇式脉冲效果。</w:t>
      </w:r>
    </w:p>
    <w:p w14:paraId="7D47AB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2、具备清水冲洗加热功能：使用清水冲洗伤口时，可实现清水加热功能。</w:t>
      </w:r>
    </w:p>
    <w:p w14:paraId="22D690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3、清水冲洗性能指标：清水流量在350 ml/min～1000 ml/min范围内可调，流量调节精度±200ml/min。清水最大流量时扬程≥1600mm,清水最小流量时,扬程≥100mm。清水出水温升≥20℃。清水温度可在26 ℃～36 ℃范围内可调，调节精度±3 ℃。</w:t>
      </w:r>
    </w:p>
    <w:p w14:paraId="0775990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4、具备清洗液冲洗功能：使用清洗液冲洗喷洒伤口，且冲洗时液流会有间歇式脉冲效果。清洗液流量≥100 ml/min。清洗液扬程≥800mm。</w:t>
      </w:r>
    </w:p>
    <w:p w14:paraId="416789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5、具备交替冲洗功能：清水冲洗和清洗液冲洗在预设的程序下自动交替冲洗。</w:t>
      </w:r>
    </w:p>
    <w:p w14:paraId="313B316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6、具备可调功能：使用可调式喷头，可实现冲洗过程中冲洗面积的调节。</w:t>
      </w:r>
    </w:p>
    <w:p w14:paraId="680FC56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7、具备打印功能：可打印创口冲洗记录单。</w:t>
      </w:r>
    </w:p>
    <w:p w14:paraId="411F8C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8、可显示和设置冲洗流量及清水冲洗温度，可显示及设置工作模式，显示当前模式的时间。</w:t>
      </w:r>
    </w:p>
    <w:p w14:paraId="3BBB61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9、手柄上有流量调节按键和暂停冲洗按键，方便医护操作。</w:t>
      </w:r>
    </w:p>
    <w:p w14:paraId="4A58A6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10、产品为壁挂式，产品尺寸53cmx25cmx75cm（长宽高）±3cm。</w:t>
      </w:r>
    </w:p>
    <w:p w14:paraId="7F9D1F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11、配冲洗池1个：材质为高功能合成树脂，表面为耐腐蚀烤漆，具有高低两个冲洗池，实现自动集污排污，尺寸120cmx80cmx60cm（长宽高）±3cm。</w:t>
      </w:r>
    </w:p>
    <w:p w14:paraId="3F7CE8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2DE82B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三、多功能医用创口冲洗壁挂机（含冲洗池）1套</w:t>
      </w:r>
    </w:p>
    <w:p w14:paraId="29BE8F9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1、具备清水冲洗功能：使用压力可调的清水冲洗伤口。</w:t>
      </w:r>
    </w:p>
    <w:p w14:paraId="5172D45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2、具备清水冲洗加热功能：使用清水冲洗伤口时，可实现清水加热功能。</w:t>
      </w:r>
    </w:p>
    <w:p w14:paraId="1439BC8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3、清水冲洗性能指标：清水流量在350 ml/min～1000 ml/min范围内可调，流量调节精度±200ml/min。清水最大流量时扬程≥1600mm,清水最小流量时,扬程≥100mm。清水出水温升≥20℃。清水温度可在26 ℃～36 ℃范围内可调，调节精度±3 ℃。</w:t>
      </w:r>
    </w:p>
    <w:p w14:paraId="0438EEB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4、具备清洗液冲洗功能：可使用清洗液冲洗喷洒伤口。清洗液流量≥100 ml/min。清洗液扬程≥800mm。</w:t>
      </w:r>
    </w:p>
    <w:p w14:paraId="22D6382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5、具备交替冲洗功能：清水冲洗和清洗液冲洗在预设的程序下自动交替冲洗。</w:t>
      </w:r>
    </w:p>
    <w:p w14:paraId="0B3B318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6、喷头可调功能：使用可调式喷头，可实现冲洗过程中冲洗面积的调节。</w:t>
      </w:r>
    </w:p>
    <w:p w14:paraId="1D53876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7、打印功能：可打印创口冲洗记录单。</w:t>
      </w:r>
    </w:p>
    <w:p w14:paraId="6CA48C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8、可显示和设置冲洗流量及清水冲洗温度；可显示及设置工作模式，显示当前模式的时间；</w:t>
      </w:r>
    </w:p>
    <w:p w14:paraId="72EE19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9、产品为壁挂式，产品尺寸36cmx15cmx50cm（长宽高）±3cm。</w:t>
      </w:r>
    </w:p>
    <w:p w14:paraId="3F58941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10、配冲洗池1个：材质为高功能合成树脂，表面为耐腐蚀烤漆，具有高低两个冲洗池，实现自动集污排污，尺寸120cmx80cmx60cm（长宽高）±3cm。</w:t>
      </w:r>
    </w:p>
    <w:p w14:paraId="2C89918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29D9EC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四、无菌液体敷料</w:t>
      </w:r>
    </w:p>
    <w:p w14:paraId="35BA32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适用于：用于创口、擦伤、切割伤非慢性创面的护理。</w:t>
      </w:r>
    </w:p>
    <w:p w14:paraId="2E4F984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1、产品规格：每袋容量≥250ML/袋且冲洗时长不低于15分钟</w:t>
      </w:r>
    </w:p>
    <w:p w14:paraId="733143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2、酸碱度：溶液pH值应在8.0~9.0之间。</w:t>
      </w:r>
    </w:p>
    <w:p w14:paraId="71DB635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3、产品经过湿热灭菌后无菌提供。</w:t>
      </w:r>
      <w:bookmarkStart w:id="4" w:name="_GoBack"/>
      <w:bookmarkEnd w:id="4"/>
    </w:p>
    <w:p w14:paraId="2CA1FE0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4、产品含有表面活性剂成分。</w:t>
      </w:r>
    </w:p>
    <w:p w14:paraId="55B45BC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5、相对密度为1.01±1%。</w:t>
      </w:r>
    </w:p>
    <w:p w14:paraId="370DC7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6、产品为无色至淡黄色透明液体，无悬浮物，无自然分层。</w:t>
      </w:r>
    </w:p>
    <w:p w14:paraId="7BC7020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7、溶液重金属总含量不大于1μg/mL。</w:t>
      </w:r>
    </w:p>
    <w:p w14:paraId="4878A9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8、在创口表面可形成一层保护膜。</w:t>
      </w:r>
    </w:p>
    <w:p w14:paraId="7279215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9、无菌液体敷料最高限价≤96元/袋，每袋规格保证冲洗十五分钟，具体价格由评标委员会现场谈判。</w:t>
      </w:r>
    </w:p>
    <w:p w14:paraId="793CBE1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jc w:val="right"/>
        <w:textAlignment w:val="auto"/>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33A7DA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多功能医用创口冲洗床等一批</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多功能医用创口冲洗床等一批</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设备名称、品牌、型号、价格</w:t>
      </w:r>
    </w:p>
    <w:tbl>
      <w:tblPr>
        <w:tblStyle w:val="10"/>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shd w:val="clear" w:color="auto" w:fill="auto"/>
            <w:vAlign w:val="center"/>
          </w:tcPr>
          <w:p w14:paraId="243DDE05">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多功能医用创口冲洗床</w:t>
            </w:r>
          </w:p>
        </w:tc>
        <w:tc>
          <w:tcPr>
            <w:tcW w:w="1500"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shd w:val="clear" w:color="auto" w:fill="auto"/>
            <w:vAlign w:val="center"/>
          </w:tcPr>
          <w:p w14:paraId="09D20715">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1台</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0A61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shd w:val="clear" w:color="auto" w:fill="auto"/>
            <w:vAlign w:val="center"/>
          </w:tcPr>
          <w:p w14:paraId="0E5C1202">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多功能医用创口冲洗壁挂机（含冲洗池）</w:t>
            </w:r>
          </w:p>
        </w:tc>
        <w:tc>
          <w:tcPr>
            <w:tcW w:w="1500" w:type="dxa"/>
            <w:vAlign w:val="center"/>
          </w:tcPr>
          <w:p w14:paraId="6D8582AD">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2EF98CBD">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253EFD8A">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shd w:val="clear" w:color="auto" w:fill="auto"/>
            <w:vAlign w:val="center"/>
          </w:tcPr>
          <w:p w14:paraId="2C93CEA2">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1套</w:t>
            </w:r>
          </w:p>
        </w:tc>
        <w:tc>
          <w:tcPr>
            <w:tcW w:w="1388" w:type="dxa"/>
            <w:vAlign w:val="center"/>
          </w:tcPr>
          <w:p w14:paraId="0E60162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6326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shd w:val="clear" w:color="auto" w:fill="auto"/>
            <w:vAlign w:val="center"/>
          </w:tcPr>
          <w:p w14:paraId="5FAD6612">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多功能医用创口冲洗壁挂机（含冲洗池）</w:t>
            </w:r>
          </w:p>
        </w:tc>
        <w:tc>
          <w:tcPr>
            <w:tcW w:w="1500" w:type="dxa"/>
            <w:vAlign w:val="center"/>
          </w:tcPr>
          <w:p w14:paraId="2C7771E3">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6EDFCA50">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2DEE29BE">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shd w:val="clear" w:color="auto" w:fill="auto"/>
            <w:vAlign w:val="center"/>
          </w:tcPr>
          <w:p w14:paraId="039A3944">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1套</w:t>
            </w:r>
          </w:p>
        </w:tc>
        <w:tc>
          <w:tcPr>
            <w:tcW w:w="1388" w:type="dxa"/>
            <w:vAlign w:val="center"/>
          </w:tcPr>
          <w:p w14:paraId="79147C06">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本合同设备无需与甲方使用的信息系统对接。</w:t>
      </w:r>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spacing w:beforeLines="0" w:afterLines="0"/>
              <w:jc w:val="both"/>
              <w:rPr>
                <w:rFonts w:hint="eastAsia" w:ascii="宋体" w:hAnsi="宋体" w:eastAsiaTheme="minorEastAsia" w:cstheme="minorBidi"/>
                <w:color w:val="000000"/>
                <w:kern w:val="2"/>
                <w:sz w:val="18"/>
                <w:szCs w:val="18"/>
                <w:lang w:val="en-US" w:eastAsia="zh-CN" w:bidi="ar-SA"/>
              </w:rPr>
            </w:pPr>
            <w:r>
              <w:rPr>
                <w:rFonts w:hint="eastAsia"/>
                <w:sz w:val="24"/>
                <w:szCs w:val="32"/>
                <w:lang w:val="en-US" w:eastAsia="zh-CN"/>
              </w:rPr>
              <w:t>无菌液体敷料</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val="en-US" w:eastAsia="zh-CN"/>
          <w14:textFill>
            <w14:solidFill>
              <w14:schemeClr w14:val="tx1"/>
            </w14:solidFill>
          </w14:textFill>
        </w:rPr>
        <w:t>多功能医用创口冲洗床等一批</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lang w:val="en-US" w:eastAsia="zh-CN"/>
          <w14:textFill>
            <w14:solidFill>
              <w14:schemeClr w14:val="tx1"/>
            </w14:solidFill>
          </w14:textFill>
        </w:rPr>
        <w:t>邓时敏</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 xml:space="preserve"> 伍</w:t>
      </w:r>
      <w:r>
        <w:rPr>
          <w:rFonts w:hint="eastAsia" w:ascii="宋体" w:hAnsi="宋体" w:eastAsia="宋体" w:cs="宋体"/>
          <w:color w:val="000000" w:themeColor="text1"/>
          <w:sz w:val="24"/>
          <w14:textFill>
            <w14:solidFill>
              <w14:schemeClr w14:val="tx1"/>
            </w14:solidFill>
          </w14:textFill>
        </w:rPr>
        <w:t>份，甲方执肆份、乙方执壹份，自双方签字并盖章后生效。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9"/>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5147420F">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4428741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FC56FF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E7C2D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2FBD52EC"/>
    <w:rsid w:val="302741D2"/>
    <w:rsid w:val="308B184D"/>
    <w:rsid w:val="309C1E01"/>
    <w:rsid w:val="30BB11DD"/>
    <w:rsid w:val="31F17CD1"/>
    <w:rsid w:val="324F4D43"/>
    <w:rsid w:val="33384C93"/>
    <w:rsid w:val="340F06E9"/>
    <w:rsid w:val="34C12F54"/>
    <w:rsid w:val="35060A01"/>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11B6B1B"/>
    <w:rsid w:val="62C222C2"/>
    <w:rsid w:val="632D7C40"/>
    <w:rsid w:val="64133D6A"/>
    <w:rsid w:val="65762DD3"/>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11549</Words>
  <Characters>12349</Characters>
  <Lines>0</Lines>
  <Paragraphs>0</Paragraphs>
  <TotalTime>0</TotalTime>
  <ScaleCrop>false</ScaleCrop>
  <LinksUpToDate>false</LinksUpToDate>
  <CharactersWithSpaces>13371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2025-09-19T02:43:57Z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