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D0AD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2B84164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36"/>
          <w:szCs w:val="36"/>
          <w:highlight w:val="none"/>
          <w:lang w:val="en-US" w:eastAsia="zh-CN"/>
          <w14:textFill>
            <w14:solidFill>
              <w14:schemeClr w14:val="tx1"/>
            </w14:solidFill>
          </w14:textFill>
        </w:rPr>
      </w:pPr>
      <w:r>
        <w:rPr>
          <w:rFonts w:hint="eastAsia" w:ascii="黑体" w:hAnsi="黑体" w:eastAsia="黑体" w:cs="黑体"/>
          <w:color w:val="000000" w:themeColor="text1"/>
          <w:sz w:val="36"/>
          <w:szCs w:val="36"/>
          <w:highlight w:val="none"/>
          <w:lang w:val="en-US" w:eastAsia="zh-CN"/>
          <w14:textFill>
            <w14:solidFill>
              <w14:schemeClr w14:val="tx1"/>
            </w14:solidFill>
          </w14:textFill>
        </w:rPr>
        <w:t>货物采购合同（药剂科办公家具和娄底医院值班室家具）</w:t>
      </w:r>
    </w:p>
    <w:p w14:paraId="10E9182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6F64F8FF">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甲方（采购方）：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娄底市中心医院</w:t>
      </w:r>
    </w:p>
    <w:p w14:paraId="587B38E8">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法定代表人：杨吉军</w:t>
      </w:r>
    </w:p>
    <w:p w14:paraId="5E17C6F5">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统一社会信用代码：12431300447162073W</w:t>
      </w:r>
    </w:p>
    <w:p w14:paraId="32B4003B">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地址：湖南省娄底市娄星区长青中街51号</w:t>
      </w:r>
    </w:p>
    <w:p w14:paraId="1E2953A8">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联系人：程俊杰</w:t>
      </w:r>
      <w:r>
        <w:rPr>
          <w:rFonts w:hint="eastAsia" w:ascii="仿宋" w:hAnsi="仿宋" w:eastAsia="仿宋" w:cs="仿宋"/>
          <w:color w:val="000000" w:themeColor="text1"/>
          <w:sz w:val="28"/>
          <w:szCs w:val="28"/>
          <w:highlight w:val="none"/>
          <w:lang w:val="en-US" w:eastAsia="zh-CN"/>
          <w14:textFill>
            <w14:solidFill>
              <w14:schemeClr w14:val="tx1"/>
            </w14:solidFill>
          </w14:textFill>
        </w:rPr>
        <w:tab/>
      </w:r>
    </w:p>
    <w:p w14:paraId="5C866F33">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联系电话：18873820001</w:t>
      </w:r>
    </w:p>
    <w:p w14:paraId="2F9D8CEA">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乙方（供货方）：</w:t>
      </w:r>
    </w:p>
    <w:p w14:paraId="7F6D2883">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w:t>
      </w:r>
    </w:p>
    <w:p w14:paraId="07D452C3">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w:t>
      </w:r>
    </w:p>
    <w:p w14:paraId="0F95CCB4">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w:t>
      </w:r>
    </w:p>
    <w:p w14:paraId="3EA4E3D9">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w:t>
      </w:r>
    </w:p>
    <w:p w14:paraId="1D545DFD">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w:t>
      </w:r>
    </w:p>
    <w:p w14:paraId="2812100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甲方通过（□</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公开招标</w:t>
      </w:r>
      <w:r>
        <w:rPr>
          <w:rFonts w:hint="eastAsia" w:ascii="仿宋" w:hAnsi="仿宋" w:eastAsia="仿宋" w:cs="仿宋"/>
          <w:color w:val="000000" w:themeColor="text1"/>
          <w:sz w:val="28"/>
          <w:szCs w:val="28"/>
          <w:highlight w:val="none"/>
          <w:lang w:val="en-US" w:eastAsia="zh-CN"/>
          <w14:textFill>
            <w14:solidFill>
              <w14:schemeClr w14:val="tx1"/>
            </w14:solidFill>
          </w14:textFill>
        </w:rPr>
        <w:t>☑医院公开挂网□医院院内议价□湖南政府采购电子卖场竞价）</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方式</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采购药剂科办公家具和娄底医院值班室家具（</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货物名称）</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，乙方为中标/中选供应商，</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val="en-US" w:eastAsia="zh-CN"/>
          <w14:textFill>
            <w14:solidFill>
              <w14:schemeClr w14:val="tx1"/>
            </w14:solidFill>
          </w14:textFill>
        </w:rPr>
        <w:t>药剂科办公家具和娄底医院值班室家具</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（货物名称）相关</w:t>
      </w:r>
      <w:r>
        <w:rPr>
          <w:rFonts w:hint="eastAsia" w:ascii="仿宋" w:hAnsi="仿宋" w:eastAsia="仿宋" w:cs="仿宋"/>
          <w:color w:val="000000" w:themeColor="text1"/>
          <w:sz w:val="28"/>
          <w:szCs w:val="28"/>
          <w:highlight w:val="none"/>
          <w:lang w:val="en-US" w:eastAsia="zh-CN"/>
          <w14:textFill>
            <w14:solidFill>
              <w14:schemeClr w14:val="tx1"/>
            </w14:solidFill>
          </w14:textFill>
        </w:rPr>
        <w:t>事宜平等、自愿、公平、诚信协商，达成一致，特订立本合同，以资共同遵守。</w:t>
      </w:r>
    </w:p>
    <w:p w14:paraId="18FA734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第一条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采购内容</w:t>
      </w:r>
    </w:p>
    <w:p w14:paraId="34B6893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 货物名称、品牌、型号、价格</w:t>
      </w:r>
    </w:p>
    <w:tbl>
      <w:tblPr>
        <w:tblStyle w:val="7"/>
        <w:tblpPr w:leftFromText="180" w:rightFromText="180" w:vertAnchor="text" w:horzAnchor="page" w:tblpX="1533" w:tblpY="148"/>
        <w:tblOverlap w:val="never"/>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682"/>
        <w:gridCol w:w="2159"/>
        <w:gridCol w:w="1533"/>
        <w:gridCol w:w="1308"/>
        <w:gridCol w:w="1750"/>
      </w:tblGrid>
      <w:tr w14:paraId="32B80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75" w:type="dxa"/>
            <w:noWrap w:val="0"/>
            <w:vAlign w:val="center"/>
          </w:tcPr>
          <w:p w14:paraId="56DEE324">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themeColor="text1"/>
                <w:kern w:val="0"/>
                <w:sz w:val="24"/>
                <w:szCs w:val="24"/>
                <w:highlight w:val="none"/>
                <w14:textFill>
                  <w14:solidFill>
                    <w14:schemeClr w14:val="tx1"/>
                  </w14:solidFill>
                </w14:textFill>
              </w:rPr>
            </w:pPr>
            <w:r>
              <w:rPr>
                <w:rFonts w:hint="eastAsia" w:ascii="仿宋" w:hAnsi="仿宋" w:eastAsia="仿宋" w:cs="仿宋"/>
                <w:b/>
                <w:bCs/>
                <w:color w:val="000000" w:themeColor="text1"/>
                <w:kern w:val="0"/>
                <w:sz w:val="24"/>
                <w:szCs w:val="24"/>
                <w:highlight w:val="none"/>
                <w:lang w:val="en-US" w:eastAsia="zh-CN"/>
                <w14:textFill>
                  <w14:solidFill>
                    <w14:schemeClr w14:val="tx1"/>
                  </w14:solidFill>
                </w14:textFill>
              </w:rPr>
              <w:t>序号</w:t>
            </w:r>
          </w:p>
        </w:tc>
        <w:tc>
          <w:tcPr>
            <w:tcW w:w="1682" w:type="dxa"/>
            <w:noWrap w:val="0"/>
            <w:vAlign w:val="center"/>
          </w:tcPr>
          <w:p w14:paraId="36ACC559">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themeColor="text1"/>
                <w:kern w:val="0"/>
                <w:sz w:val="24"/>
                <w:szCs w:val="24"/>
                <w:highlight w:val="none"/>
                <w:lang w:eastAsia="zh-CN"/>
                <w14:textFill>
                  <w14:solidFill>
                    <w14:schemeClr w14:val="tx1"/>
                  </w14:solidFill>
                </w14:textFill>
              </w:rPr>
            </w:pPr>
            <w:r>
              <w:rPr>
                <w:rFonts w:hint="eastAsia" w:ascii="仿宋" w:hAnsi="仿宋" w:eastAsia="仿宋" w:cs="仿宋"/>
                <w:b/>
                <w:bCs/>
                <w:color w:val="000000" w:themeColor="text1"/>
                <w:kern w:val="0"/>
                <w:sz w:val="24"/>
                <w:szCs w:val="24"/>
                <w:highlight w:val="none"/>
                <w:lang w:val="en-US" w:eastAsia="zh-CN"/>
                <w14:textFill>
                  <w14:solidFill>
                    <w14:schemeClr w14:val="tx1"/>
                  </w14:solidFill>
                </w14:textFill>
              </w:rPr>
              <w:t>货物</w:t>
            </w:r>
            <w:r>
              <w:rPr>
                <w:rFonts w:hint="eastAsia" w:ascii="仿宋" w:hAnsi="仿宋" w:eastAsia="仿宋" w:cs="仿宋"/>
                <w:b/>
                <w:bCs/>
                <w:color w:val="000000" w:themeColor="text1"/>
                <w:kern w:val="0"/>
                <w:sz w:val="24"/>
                <w:szCs w:val="24"/>
                <w:highlight w:val="none"/>
                <w14:textFill>
                  <w14:solidFill>
                    <w14:schemeClr w14:val="tx1"/>
                  </w14:solidFill>
                </w14:textFill>
              </w:rPr>
              <w:t>名称</w:t>
            </w:r>
          </w:p>
        </w:tc>
        <w:tc>
          <w:tcPr>
            <w:tcW w:w="2159" w:type="dxa"/>
            <w:noWrap w:val="0"/>
            <w:vAlign w:val="center"/>
          </w:tcPr>
          <w:p w14:paraId="08ADF0A4">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themeColor="text1"/>
                <w:kern w:val="0"/>
                <w:sz w:val="24"/>
                <w:szCs w:val="24"/>
                <w:highlight w:val="none"/>
                <w:lang w:eastAsia="zh-CN"/>
                <w14:textFill>
                  <w14:solidFill>
                    <w14:schemeClr w14:val="tx1"/>
                  </w14:solidFill>
                </w14:textFill>
              </w:rPr>
            </w:pPr>
            <w:r>
              <w:rPr>
                <w:rFonts w:hint="eastAsia" w:ascii="仿宋" w:hAnsi="仿宋" w:eastAsia="仿宋" w:cs="仿宋"/>
                <w:b/>
                <w:bCs/>
                <w:color w:val="auto"/>
                <w:sz w:val="24"/>
                <w:szCs w:val="24"/>
              </w:rPr>
              <w:t>型号规格</w:t>
            </w:r>
          </w:p>
        </w:tc>
        <w:tc>
          <w:tcPr>
            <w:tcW w:w="1533" w:type="dxa"/>
            <w:noWrap w:val="0"/>
            <w:vAlign w:val="center"/>
          </w:tcPr>
          <w:p w14:paraId="7E408AB5">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themeColor="text1"/>
                <w:kern w:val="0"/>
                <w:sz w:val="24"/>
                <w:szCs w:val="24"/>
                <w:highlight w:val="none"/>
                <w14:textFill>
                  <w14:solidFill>
                    <w14:schemeClr w14:val="tx1"/>
                  </w14:solidFill>
                </w14:textFill>
              </w:rPr>
            </w:pPr>
            <w:r>
              <w:rPr>
                <w:rFonts w:hint="eastAsia" w:ascii="仿宋" w:hAnsi="仿宋" w:eastAsia="仿宋" w:cs="仿宋"/>
                <w:b/>
                <w:bCs/>
                <w:color w:val="auto"/>
                <w:sz w:val="24"/>
                <w:szCs w:val="24"/>
              </w:rPr>
              <w:t>数量</w:t>
            </w:r>
          </w:p>
        </w:tc>
        <w:tc>
          <w:tcPr>
            <w:tcW w:w="1308" w:type="dxa"/>
            <w:noWrap w:val="0"/>
            <w:vAlign w:val="center"/>
          </w:tcPr>
          <w:p w14:paraId="6DA5C986">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themeColor="text1"/>
                <w:kern w:val="0"/>
                <w:sz w:val="24"/>
                <w:szCs w:val="24"/>
                <w:highlight w:val="none"/>
                <w14:textFill>
                  <w14:solidFill>
                    <w14:schemeClr w14:val="tx1"/>
                  </w14:solidFill>
                </w14:textFill>
              </w:rPr>
            </w:pPr>
            <w:r>
              <w:rPr>
                <w:rFonts w:hint="eastAsia" w:ascii="仿宋" w:hAnsi="仿宋" w:eastAsia="仿宋" w:cs="仿宋"/>
                <w:b/>
                <w:bCs/>
                <w:color w:val="auto"/>
                <w:sz w:val="24"/>
                <w:szCs w:val="24"/>
              </w:rPr>
              <w:t>单价（元）</w:t>
            </w:r>
          </w:p>
        </w:tc>
        <w:tc>
          <w:tcPr>
            <w:tcW w:w="1750" w:type="dxa"/>
            <w:noWrap w:val="0"/>
            <w:vAlign w:val="center"/>
          </w:tcPr>
          <w:p w14:paraId="4DEFC9D1">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themeColor="text1"/>
                <w:kern w:val="0"/>
                <w:sz w:val="24"/>
                <w:szCs w:val="24"/>
                <w:highlight w:val="none"/>
                <w14:textFill>
                  <w14:solidFill>
                    <w14:schemeClr w14:val="tx1"/>
                  </w14:solidFill>
                </w14:textFill>
              </w:rPr>
            </w:pPr>
            <w:r>
              <w:rPr>
                <w:rFonts w:hint="eastAsia" w:ascii="仿宋" w:hAnsi="仿宋" w:eastAsia="仿宋" w:cs="仿宋"/>
                <w:b/>
                <w:bCs/>
                <w:color w:val="auto"/>
                <w:sz w:val="24"/>
                <w:szCs w:val="24"/>
              </w:rPr>
              <w:t>总价（元）</w:t>
            </w:r>
          </w:p>
        </w:tc>
      </w:tr>
      <w:tr w14:paraId="00F48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75" w:type="dxa"/>
            <w:noWrap w:val="0"/>
            <w:vAlign w:val="center"/>
          </w:tcPr>
          <w:p w14:paraId="1AFC7042">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1</w:t>
            </w:r>
          </w:p>
        </w:tc>
        <w:tc>
          <w:tcPr>
            <w:tcW w:w="1682" w:type="dxa"/>
            <w:noWrap w:val="0"/>
            <w:vAlign w:val="center"/>
          </w:tcPr>
          <w:p w14:paraId="0642AEE9">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实木床</w:t>
            </w:r>
          </w:p>
        </w:tc>
        <w:tc>
          <w:tcPr>
            <w:tcW w:w="2159" w:type="dxa"/>
            <w:noWrap w:val="0"/>
            <w:vAlign w:val="center"/>
          </w:tcPr>
          <w:p w14:paraId="0762D5AD">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1500*2000</w:t>
            </w:r>
          </w:p>
        </w:tc>
        <w:tc>
          <w:tcPr>
            <w:tcW w:w="1533" w:type="dxa"/>
            <w:noWrap w:val="0"/>
            <w:vAlign w:val="center"/>
          </w:tcPr>
          <w:p w14:paraId="6713F630">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9</w:t>
            </w:r>
          </w:p>
        </w:tc>
        <w:tc>
          <w:tcPr>
            <w:tcW w:w="1308" w:type="dxa"/>
            <w:noWrap w:val="0"/>
            <w:vAlign w:val="center"/>
          </w:tcPr>
          <w:p w14:paraId="330E7EC2">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50" w:type="dxa"/>
            <w:noWrap w:val="0"/>
            <w:vAlign w:val="center"/>
          </w:tcPr>
          <w:p w14:paraId="1F1A1D8D">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7104C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75" w:type="dxa"/>
            <w:noWrap w:val="0"/>
            <w:vAlign w:val="center"/>
          </w:tcPr>
          <w:p w14:paraId="55F4CC13">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2</w:t>
            </w:r>
          </w:p>
        </w:tc>
        <w:tc>
          <w:tcPr>
            <w:tcW w:w="1682" w:type="dxa"/>
            <w:noWrap w:val="0"/>
            <w:vAlign w:val="center"/>
          </w:tcPr>
          <w:p w14:paraId="7DD97FB9">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办公桌</w:t>
            </w:r>
          </w:p>
        </w:tc>
        <w:tc>
          <w:tcPr>
            <w:tcW w:w="2159" w:type="dxa"/>
            <w:noWrap w:val="0"/>
            <w:vAlign w:val="center"/>
          </w:tcPr>
          <w:p w14:paraId="6EA6F7B8">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1400*700*760</w:t>
            </w:r>
          </w:p>
        </w:tc>
        <w:tc>
          <w:tcPr>
            <w:tcW w:w="1533" w:type="dxa"/>
            <w:noWrap w:val="0"/>
            <w:vAlign w:val="center"/>
          </w:tcPr>
          <w:p w14:paraId="3E770B9C">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9</w:t>
            </w:r>
          </w:p>
        </w:tc>
        <w:tc>
          <w:tcPr>
            <w:tcW w:w="1308" w:type="dxa"/>
            <w:noWrap w:val="0"/>
            <w:vAlign w:val="center"/>
          </w:tcPr>
          <w:p w14:paraId="5ADD04CF">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50" w:type="dxa"/>
            <w:noWrap w:val="0"/>
            <w:vAlign w:val="center"/>
          </w:tcPr>
          <w:p w14:paraId="0AE8D86D">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09327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75" w:type="dxa"/>
            <w:noWrap w:val="0"/>
            <w:vAlign w:val="center"/>
          </w:tcPr>
          <w:p w14:paraId="7F2B2A8A">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3</w:t>
            </w:r>
          </w:p>
        </w:tc>
        <w:tc>
          <w:tcPr>
            <w:tcW w:w="1682" w:type="dxa"/>
            <w:noWrap w:val="0"/>
            <w:vAlign w:val="center"/>
          </w:tcPr>
          <w:p w14:paraId="0ADF0E2D">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弓形椅</w:t>
            </w:r>
          </w:p>
        </w:tc>
        <w:tc>
          <w:tcPr>
            <w:tcW w:w="2159" w:type="dxa"/>
            <w:noWrap w:val="0"/>
            <w:vAlign w:val="center"/>
          </w:tcPr>
          <w:p w14:paraId="26B0A8B7">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常规</w:t>
            </w:r>
          </w:p>
        </w:tc>
        <w:tc>
          <w:tcPr>
            <w:tcW w:w="1533" w:type="dxa"/>
            <w:noWrap w:val="0"/>
            <w:vAlign w:val="center"/>
          </w:tcPr>
          <w:p w14:paraId="594C5A5A">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29</w:t>
            </w:r>
          </w:p>
        </w:tc>
        <w:tc>
          <w:tcPr>
            <w:tcW w:w="1308" w:type="dxa"/>
            <w:noWrap w:val="0"/>
            <w:vAlign w:val="center"/>
          </w:tcPr>
          <w:p w14:paraId="0D0B6DD8">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50" w:type="dxa"/>
            <w:noWrap w:val="0"/>
            <w:vAlign w:val="center"/>
          </w:tcPr>
          <w:p w14:paraId="2355065E">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185FF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75" w:type="dxa"/>
            <w:noWrap w:val="0"/>
            <w:vAlign w:val="center"/>
          </w:tcPr>
          <w:p w14:paraId="2DB7E634">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4</w:t>
            </w:r>
          </w:p>
        </w:tc>
        <w:tc>
          <w:tcPr>
            <w:tcW w:w="1682" w:type="dxa"/>
            <w:noWrap w:val="0"/>
            <w:vAlign w:val="center"/>
          </w:tcPr>
          <w:p w14:paraId="59E52F80">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烤火桌</w:t>
            </w:r>
          </w:p>
        </w:tc>
        <w:tc>
          <w:tcPr>
            <w:tcW w:w="2159" w:type="dxa"/>
            <w:noWrap w:val="0"/>
            <w:vAlign w:val="center"/>
          </w:tcPr>
          <w:p w14:paraId="1EC7204D">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1380*730*750</w:t>
            </w:r>
          </w:p>
        </w:tc>
        <w:tc>
          <w:tcPr>
            <w:tcW w:w="1533" w:type="dxa"/>
            <w:noWrap w:val="0"/>
            <w:vAlign w:val="center"/>
          </w:tcPr>
          <w:p w14:paraId="2C51F26E">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b w:val="0"/>
                <w:i w:val="0"/>
                <w:iCs w:val="0"/>
                <w:color w:val="000000"/>
                <w:kern w:val="0"/>
                <w:sz w:val="24"/>
                <w:szCs w:val="24"/>
                <w:u w:val="none"/>
                <w:lang w:val="en-US" w:eastAsia="zh-CN" w:bidi="ar"/>
              </w:rPr>
              <w:t>2</w:t>
            </w:r>
          </w:p>
        </w:tc>
        <w:tc>
          <w:tcPr>
            <w:tcW w:w="1308" w:type="dxa"/>
            <w:noWrap w:val="0"/>
            <w:vAlign w:val="center"/>
          </w:tcPr>
          <w:p w14:paraId="2654EEFE">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50" w:type="dxa"/>
            <w:noWrap w:val="0"/>
            <w:vAlign w:val="center"/>
          </w:tcPr>
          <w:p w14:paraId="06C37862">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27C5E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75" w:type="dxa"/>
            <w:noWrap w:val="0"/>
            <w:vAlign w:val="center"/>
          </w:tcPr>
          <w:p w14:paraId="42EBF5E7">
            <w:pPr>
              <w:keepNext w:val="0"/>
              <w:keepLines w:val="0"/>
              <w:pageBreakBefore w:val="0"/>
              <w:widowControl/>
              <w:suppressLineNumbers w:val="0"/>
              <w:kinsoku/>
              <w:wordWrap/>
              <w:overflowPunct/>
              <w:topLinePunct w:val="0"/>
              <w:autoSpaceDE/>
              <w:autoSpaceDN/>
              <w:bidi w:val="0"/>
              <w:adjustRightInd/>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5</w:t>
            </w:r>
          </w:p>
        </w:tc>
        <w:tc>
          <w:tcPr>
            <w:tcW w:w="1682" w:type="dxa"/>
            <w:noWrap w:val="0"/>
            <w:vAlign w:val="center"/>
          </w:tcPr>
          <w:p w14:paraId="2A7D62EA">
            <w:pPr>
              <w:keepNext w:val="0"/>
              <w:keepLines w:val="0"/>
              <w:pageBreakBefore w:val="0"/>
              <w:widowControl/>
              <w:suppressLineNumbers w:val="0"/>
              <w:kinsoku/>
              <w:wordWrap/>
              <w:overflowPunct/>
              <w:topLinePunct w:val="0"/>
              <w:autoSpaceDE/>
              <w:autoSpaceDN/>
              <w:bidi w:val="0"/>
              <w:adjustRightInd/>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办公桌</w:t>
            </w:r>
          </w:p>
        </w:tc>
        <w:tc>
          <w:tcPr>
            <w:tcW w:w="2159" w:type="dxa"/>
            <w:noWrap w:val="0"/>
            <w:vAlign w:val="center"/>
          </w:tcPr>
          <w:p w14:paraId="4A4FA24E">
            <w:pPr>
              <w:keepNext w:val="0"/>
              <w:keepLines w:val="0"/>
              <w:pageBreakBefore w:val="0"/>
              <w:widowControl/>
              <w:suppressLineNumbers w:val="0"/>
              <w:kinsoku/>
              <w:wordWrap/>
              <w:overflowPunct/>
              <w:topLinePunct w:val="0"/>
              <w:autoSpaceDE/>
              <w:autoSpaceDN/>
              <w:bidi w:val="0"/>
              <w:adjustRightInd/>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1200*600*750</w:t>
            </w:r>
          </w:p>
        </w:tc>
        <w:tc>
          <w:tcPr>
            <w:tcW w:w="1533" w:type="dxa"/>
            <w:noWrap w:val="0"/>
            <w:vAlign w:val="center"/>
          </w:tcPr>
          <w:p w14:paraId="2F8EF3B0">
            <w:pPr>
              <w:keepNext w:val="0"/>
              <w:keepLines w:val="0"/>
              <w:pageBreakBefore w:val="0"/>
              <w:widowControl/>
              <w:suppressLineNumbers w:val="0"/>
              <w:kinsoku/>
              <w:wordWrap/>
              <w:overflowPunct/>
              <w:topLinePunct w:val="0"/>
              <w:autoSpaceDE/>
              <w:autoSpaceDN/>
              <w:bidi w:val="0"/>
              <w:adjustRightInd/>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16</w:t>
            </w:r>
          </w:p>
        </w:tc>
        <w:tc>
          <w:tcPr>
            <w:tcW w:w="1308" w:type="dxa"/>
            <w:noWrap w:val="0"/>
            <w:vAlign w:val="center"/>
          </w:tcPr>
          <w:p w14:paraId="075BFDC3">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50" w:type="dxa"/>
            <w:noWrap w:val="0"/>
            <w:vAlign w:val="center"/>
          </w:tcPr>
          <w:p w14:paraId="6A6C53A4">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356F9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75" w:type="dxa"/>
            <w:noWrap w:val="0"/>
            <w:vAlign w:val="center"/>
          </w:tcPr>
          <w:p w14:paraId="49FD087E">
            <w:pPr>
              <w:keepNext w:val="0"/>
              <w:keepLines w:val="0"/>
              <w:pageBreakBefore w:val="0"/>
              <w:widowControl/>
              <w:suppressLineNumbers w:val="0"/>
              <w:kinsoku/>
              <w:wordWrap/>
              <w:overflowPunct/>
              <w:topLinePunct w:val="0"/>
              <w:autoSpaceDE/>
              <w:autoSpaceDN/>
              <w:bidi w:val="0"/>
              <w:adjustRightInd/>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6</w:t>
            </w:r>
          </w:p>
        </w:tc>
        <w:tc>
          <w:tcPr>
            <w:tcW w:w="1682" w:type="dxa"/>
            <w:noWrap w:val="0"/>
            <w:vAlign w:val="center"/>
          </w:tcPr>
          <w:p w14:paraId="73D026E6">
            <w:pPr>
              <w:keepNext w:val="0"/>
              <w:keepLines w:val="0"/>
              <w:pageBreakBefore w:val="0"/>
              <w:widowControl/>
              <w:suppressLineNumbers w:val="0"/>
              <w:kinsoku/>
              <w:wordWrap/>
              <w:overflowPunct/>
              <w:topLinePunct w:val="0"/>
              <w:autoSpaceDE/>
              <w:autoSpaceDN/>
              <w:bidi w:val="0"/>
              <w:adjustRightInd/>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文件柜</w:t>
            </w:r>
          </w:p>
        </w:tc>
        <w:tc>
          <w:tcPr>
            <w:tcW w:w="2159" w:type="dxa"/>
            <w:noWrap w:val="0"/>
            <w:vAlign w:val="center"/>
          </w:tcPr>
          <w:p w14:paraId="511B3028">
            <w:pPr>
              <w:keepNext w:val="0"/>
              <w:keepLines w:val="0"/>
              <w:pageBreakBefore w:val="0"/>
              <w:widowControl/>
              <w:suppressLineNumbers w:val="0"/>
              <w:kinsoku/>
              <w:wordWrap/>
              <w:overflowPunct/>
              <w:topLinePunct w:val="0"/>
              <w:autoSpaceDE/>
              <w:autoSpaceDN/>
              <w:bidi w:val="0"/>
              <w:adjustRightInd/>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900*400*1800</w:t>
            </w:r>
          </w:p>
        </w:tc>
        <w:tc>
          <w:tcPr>
            <w:tcW w:w="1533" w:type="dxa"/>
            <w:noWrap w:val="0"/>
            <w:vAlign w:val="center"/>
          </w:tcPr>
          <w:p w14:paraId="11C93F41">
            <w:pPr>
              <w:keepNext w:val="0"/>
              <w:keepLines w:val="0"/>
              <w:pageBreakBefore w:val="0"/>
              <w:widowControl/>
              <w:suppressLineNumbers w:val="0"/>
              <w:kinsoku/>
              <w:wordWrap/>
              <w:overflowPunct/>
              <w:topLinePunct w:val="0"/>
              <w:autoSpaceDE/>
              <w:autoSpaceDN/>
              <w:bidi w:val="0"/>
              <w:adjustRightInd/>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8</w:t>
            </w:r>
          </w:p>
        </w:tc>
        <w:tc>
          <w:tcPr>
            <w:tcW w:w="1308" w:type="dxa"/>
            <w:noWrap w:val="0"/>
            <w:vAlign w:val="center"/>
          </w:tcPr>
          <w:p w14:paraId="35CA4165">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50" w:type="dxa"/>
            <w:noWrap w:val="0"/>
            <w:vAlign w:val="center"/>
          </w:tcPr>
          <w:p w14:paraId="7D9CB1E5">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13A1B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75" w:type="dxa"/>
            <w:noWrap w:val="0"/>
            <w:vAlign w:val="center"/>
          </w:tcPr>
          <w:p w14:paraId="2E3433D7">
            <w:pPr>
              <w:keepNext w:val="0"/>
              <w:keepLines w:val="0"/>
              <w:pageBreakBefore w:val="0"/>
              <w:widowControl/>
              <w:suppressLineNumbers w:val="0"/>
              <w:kinsoku/>
              <w:wordWrap/>
              <w:overflowPunct/>
              <w:topLinePunct w:val="0"/>
              <w:autoSpaceDE/>
              <w:autoSpaceDN/>
              <w:bidi w:val="0"/>
              <w:adjustRightInd/>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7</w:t>
            </w:r>
          </w:p>
        </w:tc>
        <w:tc>
          <w:tcPr>
            <w:tcW w:w="1682" w:type="dxa"/>
            <w:noWrap w:val="0"/>
            <w:vAlign w:val="center"/>
          </w:tcPr>
          <w:p w14:paraId="7A559771">
            <w:pPr>
              <w:keepNext w:val="0"/>
              <w:keepLines w:val="0"/>
              <w:pageBreakBefore w:val="0"/>
              <w:widowControl/>
              <w:suppressLineNumbers w:val="0"/>
              <w:kinsoku/>
              <w:wordWrap/>
              <w:overflowPunct/>
              <w:topLinePunct w:val="0"/>
              <w:autoSpaceDE/>
              <w:autoSpaceDN/>
              <w:bidi w:val="0"/>
              <w:adjustRightInd/>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文件柜</w:t>
            </w:r>
          </w:p>
        </w:tc>
        <w:tc>
          <w:tcPr>
            <w:tcW w:w="2159" w:type="dxa"/>
            <w:noWrap w:val="0"/>
            <w:vAlign w:val="center"/>
          </w:tcPr>
          <w:p w14:paraId="12B85719">
            <w:pPr>
              <w:keepNext w:val="0"/>
              <w:keepLines w:val="0"/>
              <w:pageBreakBefore w:val="0"/>
              <w:widowControl/>
              <w:suppressLineNumbers w:val="0"/>
              <w:kinsoku/>
              <w:wordWrap/>
              <w:overflowPunct/>
              <w:topLinePunct w:val="0"/>
              <w:autoSpaceDE/>
              <w:autoSpaceDN/>
              <w:bidi w:val="0"/>
              <w:adjustRightInd/>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900*400*1800</w:t>
            </w:r>
          </w:p>
        </w:tc>
        <w:tc>
          <w:tcPr>
            <w:tcW w:w="1533" w:type="dxa"/>
            <w:noWrap w:val="0"/>
            <w:vAlign w:val="center"/>
          </w:tcPr>
          <w:p w14:paraId="5F86BABA">
            <w:pPr>
              <w:keepNext w:val="0"/>
              <w:keepLines w:val="0"/>
              <w:pageBreakBefore w:val="0"/>
              <w:widowControl/>
              <w:suppressLineNumbers w:val="0"/>
              <w:kinsoku/>
              <w:wordWrap/>
              <w:overflowPunct/>
              <w:topLinePunct w:val="0"/>
              <w:autoSpaceDE/>
              <w:autoSpaceDN/>
              <w:bidi w:val="0"/>
              <w:adjustRightInd/>
              <w:spacing w:line="50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1</w:t>
            </w:r>
          </w:p>
        </w:tc>
        <w:tc>
          <w:tcPr>
            <w:tcW w:w="1308" w:type="dxa"/>
            <w:noWrap w:val="0"/>
            <w:vAlign w:val="center"/>
          </w:tcPr>
          <w:p w14:paraId="7265FC70">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50" w:type="dxa"/>
            <w:noWrap w:val="0"/>
            <w:vAlign w:val="center"/>
          </w:tcPr>
          <w:p w14:paraId="3BBA1BF2">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47F48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307" w:type="dxa"/>
            <w:gridSpan w:val="6"/>
            <w:noWrap w:val="0"/>
            <w:vAlign w:val="center"/>
          </w:tcPr>
          <w:p w14:paraId="3E281535">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合计</w:t>
            </w:r>
            <w:r>
              <w:rPr>
                <w:rFonts w:hint="eastAsia" w:ascii="仿宋" w:hAnsi="仿宋" w:eastAsia="仿宋" w:cs="仿宋"/>
                <w:color w:val="000000" w:themeColor="text1"/>
                <w:kern w:val="0"/>
                <w:sz w:val="24"/>
                <w:szCs w:val="24"/>
                <w:highlight w:val="none"/>
                <w:lang w:eastAsia="zh-CN"/>
                <w14:textFill>
                  <w14:solidFill>
                    <w14:schemeClr w14:val="tx1"/>
                  </w14:solidFill>
                </w14:textFill>
              </w:rPr>
              <w:t>价款</w:t>
            </w:r>
            <w:r>
              <w:rPr>
                <w:rFonts w:hint="eastAsia" w:ascii="仿宋" w:hAnsi="仿宋" w:eastAsia="仿宋" w:cs="仿宋"/>
                <w:color w:val="000000" w:themeColor="text1"/>
                <w:kern w:val="0"/>
                <w:sz w:val="24"/>
                <w:szCs w:val="24"/>
                <w:highlight w:val="none"/>
                <w14:textFill>
                  <w14:solidFill>
                    <w14:schemeClr w14:val="tx1"/>
                  </w14:solidFill>
                </w14:textFill>
              </w:rPr>
              <w:t>金额人民币（大写）：</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eastAsia="zh-CN"/>
                <w14:textFill>
                  <w14:solidFill>
                    <w14:schemeClr w14:val="tx1"/>
                  </w14:solidFill>
                </w14:textFill>
              </w:rPr>
              <w:t>元</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整      </w:t>
            </w:r>
            <w:r>
              <w:rPr>
                <w:rFonts w:hint="eastAsia" w:ascii="仿宋" w:hAnsi="仿宋" w:eastAsia="仿宋" w:cs="仿宋"/>
                <w:color w:val="000000" w:themeColor="text1"/>
                <w:kern w:val="0"/>
                <w:sz w:val="24"/>
                <w:szCs w:val="24"/>
                <w:highlight w:val="none"/>
                <w14:textFill>
                  <w14:solidFill>
                    <w14:schemeClr w14:val="tx1"/>
                  </w14:solidFill>
                </w14:textFill>
              </w:rPr>
              <w:t>（小写）：</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元</w:t>
            </w:r>
          </w:p>
        </w:tc>
      </w:tr>
    </w:tbl>
    <w:p w14:paraId="3421A61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安装费、包装费、运输费、装卸费、调试费、接口费、检测费、检验费、税费、保险费、售后服务费、附随服务费等在内所有费用。 </w:t>
      </w:r>
    </w:p>
    <w:p w14:paraId="5888ADD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1.3 ☑</w:t>
      </w:r>
      <w:r>
        <w:rPr>
          <w:rFonts w:hint="eastAsia" w:ascii="仿宋" w:hAnsi="仿宋" w:eastAsia="仿宋" w:cs="仿宋"/>
          <w:color w:val="000000" w:themeColor="text1"/>
          <w:sz w:val="28"/>
          <w:szCs w:val="28"/>
          <w:highlight w:val="none"/>
          <w14:textFill>
            <w14:solidFill>
              <w14:schemeClr w14:val="tx1"/>
            </w14:solidFill>
          </w14:textFill>
        </w:rPr>
        <w:t>本合同</w:t>
      </w:r>
      <w:r>
        <w:rPr>
          <w:rFonts w:hint="eastAsia" w:ascii="仿宋" w:hAnsi="仿宋" w:eastAsia="仿宋" w:cs="仿宋"/>
          <w:color w:val="000000" w:themeColor="text1"/>
          <w:sz w:val="28"/>
          <w:szCs w:val="28"/>
          <w:highlight w:val="none"/>
          <w:lang w:eastAsia="zh-CN"/>
          <w14:textFill>
            <w14:solidFill>
              <w14:schemeClr w14:val="tx1"/>
            </w14:solidFill>
          </w14:textFill>
        </w:rPr>
        <w:t>货物无需</w:t>
      </w:r>
      <w:r>
        <w:rPr>
          <w:rFonts w:hint="eastAsia" w:ascii="仿宋" w:hAnsi="仿宋" w:eastAsia="仿宋" w:cs="仿宋"/>
          <w:color w:val="000000" w:themeColor="text1"/>
          <w:sz w:val="28"/>
          <w:szCs w:val="28"/>
          <w:highlight w:val="none"/>
          <w14:textFill>
            <w14:solidFill>
              <w14:schemeClr w14:val="tx1"/>
            </w14:solidFill>
          </w14:textFill>
        </w:rPr>
        <w:t>与甲方</w:t>
      </w:r>
      <w:r>
        <w:rPr>
          <w:rFonts w:hint="eastAsia" w:ascii="仿宋" w:hAnsi="仿宋" w:eastAsia="仿宋" w:cs="仿宋"/>
          <w:color w:val="000000" w:themeColor="text1"/>
          <w:sz w:val="28"/>
          <w:szCs w:val="28"/>
          <w:highlight w:val="none"/>
          <w:lang w:eastAsia="zh-CN"/>
          <w14:textFill>
            <w14:solidFill>
              <w14:schemeClr w14:val="tx1"/>
            </w14:solidFill>
          </w14:textFill>
        </w:rPr>
        <w:t>使用的</w:t>
      </w:r>
      <w:r>
        <w:rPr>
          <w:rFonts w:hint="eastAsia" w:ascii="仿宋" w:hAnsi="仿宋" w:eastAsia="仿宋" w:cs="仿宋"/>
          <w:color w:val="000000" w:themeColor="text1"/>
          <w:sz w:val="28"/>
          <w:szCs w:val="28"/>
          <w:highlight w:val="none"/>
          <w14:textFill>
            <w14:solidFill>
              <w14:schemeClr w14:val="tx1"/>
            </w14:solidFill>
          </w14:textFill>
        </w:rPr>
        <w:t>信息系统</w:t>
      </w:r>
      <w:r>
        <w:rPr>
          <w:rFonts w:hint="eastAsia" w:ascii="仿宋" w:hAnsi="仿宋" w:eastAsia="仿宋" w:cs="仿宋"/>
          <w:color w:val="000000" w:themeColor="text1"/>
          <w:sz w:val="28"/>
          <w:szCs w:val="28"/>
          <w:highlight w:val="none"/>
          <w:lang w:eastAsia="zh-CN"/>
          <w14:textFill>
            <w14:solidFill>
              <w14:schemeClr w14:val="tx1"/>
            </w14:solidFill>
          </w14:textFill>
        </w:rPr>
        <w:t>对接。</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本合同</w:t>
      </w:r>
      <w:r>
        <w:rPr>
          <w:rFonts w:hint="eastAsia" w:ascii="仿宋" w:hAnsi="仿宋" w:eastAsia="仿宋" w:cs="仿宋"/>
          <w:color w:val="000000" w:themeColor="text1"/>
          <w:sz w:val="28"/>
          <w:szCs w:val="28"/>
          <w:highlight w:val="none"/>
          <w:lang w:eastAsia="zh-CN"/>
          <w14:textFill>
            <w14:solidFill>
              <w14:schemeClr w14:val="tx1"/>
            </w14:solidFill>
          </w14:textFill>
        </w:rPr>
        <w:t>货物需要</w:t>
      </w:r>
      <w:r>
        <w:rPr>
          <w:rFonts w:hint="eastAsia" w:ascii="仿宋" w:hAnsi="仿宋" w:eastAsia="仿宋" w:cs="仿宋"/>
          <w:color w:val="000000" w:themeColor="text1"/>
          <w:sz w:val="28"/>
          <w:szCs w:val="28"/>
          <w:highlight w:val="none"/>
          <w14:textFill>
            <w14:solidFill>
              <w14:schemeClr w14:val="tx1"/>
            </w14:solidFill>
          </w14:textFill>
        </w:rPr>
        <w:t>与甲方</w:t>
      </w:r>
      <w:r>
        <w:rPr>
          <w:rFonts w:hint="eastAsia" w:ascii="仿宋" w:hAnsi="仿宋" w:eastAsia="仿宋" w:cs="仿宋"/>
          <w:color w:val="000000" w:themeColor="text1"/>
          <w:sz w:val="28"/>
          <w:szCs w:val="28"/>
          <w:highlight w:val="none"/>
          <w:lang w:eastAsia="zh-CN"/>
          <w14:textFill>
            <w14:solidFill>
              <w14:schemeClr w14:val="tx1"/>
            </w14:solidFill>
          </w14:textFill>
        </w:rPr>
        <w:t>使用的</w:t>
      </w:r>
      <w:r>
        <w:rPr>
          <w:rFonts w:hint="eastAsia" w:ascii="仿宋" w:hAnsi="仿宋" w:eastAsia="仿宋" w:cs="仿宋"/>
          <w:color w:val="000000" w:themeColor="text1"/>
          <w:sz w:val="28"/>
          <w:szCs w:val="28"/>
          <w:highlight w:val="none"/>
          <w14:textFill>
            <w14:solidFill>
              <w14:schemeClr w14:val="tx1"/>
            </w14:solidFill>
          </w14:textFill>
        </w:rPr>
        <w:t>信息系统</w:t>
      </w:r>
      <w:r>
        <w:rPr>
          <w:rFonts w:hint="eastAsia" w:ascii="仿宋" w:hAnsi="仿宋" w:eastAsia="仿宋" w:cs="仿宋"/>
          <w:color w:val="000000" w:themeColor="text1"/>
          <w:sz w:val="28"/>
          <w:szCs w:val="28"/>
          <w:highlight w:val="none"/>
          <w:lang w:eastAsia="zh-CN"/>
          <w14:textFill>
            <w14:solidFill>
              <w14:schemeClr w14:val="tx1"/>
            </w14:solidFill>
          </w14:textFill>
        </w:rPr>
        <w:t>对接，因</w:t>
      </w:r>
      <w:r>
        <w:rPr>
          <w:rFonts w:hint="eastAsia" w:ascii="仿宋" w:hAnsi="仿宋" w:eastAsia="仿宋" w:cs="仿宋"/>
          <w:color w:val="000000" w:themeColor="text1"/>
          <w:sz w:val="28"/>
          <w:szCs w:val="28"/>
          <w:highlight w:val="none"/>
          <w14:textFill>
            <w14:solidFill>
              <w14:schemeClr w14:val="tx1"/>
            </w14:solidFill>
          </w14:textFill>
        </w:rPr>
        <w:t>对接产生的接口开发等</w:t>
      </w:r>
      <w:r>
        <w:rPr>
          <w:rFonts w:hint="eastAsia" w:ascii="仿宋" w:hAnsi="仿宋" w:eastAsia="仿宋" w:cs="仿宋"/>
          <w:color w:val="000000" w:themeColor="text1"/>
          <w:sz w:val="28"/>
          <w:szCs w:val="28"/>
          <w:highlight w:val="none"/>
          <w:lang w:eastAsia="zh-CN"/>
          <w14:textFill>
            <w14:solidFill>
              <w14:schemeClr w14:val="tx1"/>
            </w14:solidFill>
          </w14:textFill>
        </w:rPr>
        <w:t>乙方及第三方需要收取的</w:t>
      </w:r>
      <w:r>
        <w:rPr>
          <w:rFonts w:hint="eastAsia" w:ascii="仿宋" w:hAnsi="仿宋" w:eastAsia="仿宋" w:cs="仿宋"/>
          <w:color w:val="000000" w:themeColor="text1"/>
          <w:sz w:val="28"/>
          <w:szCs w:val="28"/>
          <w:highlight w:val="none"/>
          <w14:textFill>
            <w14:solidFill>
              <w14:schemeClr w14:val="tx1"/>
            </w14:solidFill>
          </w14:textFill>
        </w:rPr>
        <w:t>全部费用均由乙方承担。</w:t>
      </w:r>
    </w:p>
    <w:p w14:paraId="6735FAC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第二条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交货时间、地点、运输、装卸、搬运</w:t>
      </w:r>
    </w:p>
    <w:p w14:paraId="3B5112E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2.1 交货时间：</w:t>
      </w:r>
    </w:p>
    <w:p w14:paraId="798A6E8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本合同货物</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要求一次性交付，</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乙方应在（</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b w:val="0"/>
          <w:bCs w:val="0"/>
          <w:color w:val="auto"/>
          <w:sz w:val="28"/>
          <w:szCs w:val="28"/>
          <w:lang w:val="en-US" w:eastAsia="zh-CN"/>
        </w:rPr>
        <w:t>完成公示</w:t>
      </w:r>
      <w:r>
        <w:rPr>
          <w:rFonts w:hint="default" w:ascii="仿宋" w:hAnsi="仿宋" w:eastAsia="仿宋" w:cs="仿宋"/>
          <w:b w:val="0"/>
          <w:bCs w:val="0"/>
          <w:color w:val="auto"/>
          <w:sz w:val="28"/>
          <w:szCs w:val="28"/>
          <w:lang w:val="en-US" w:eastAsia="zh-CN"/>
        </w:rPr>
        <w:t>后</w:t>
      </w:r>
      <w:r>
        <w:rPr>
          <w:rFonts w:hint="eastAsia" w:ascii="仿宋" w:hAnsi="仿宋" w:eastAsia="仿宋" w:cs="仿宋"/>
          <w:b w:val="0"/>
          <w:bCs w:val="0"/>
          <w:color w:val="auto"/>
          <w:sz w:val="28"/>
          <w:szCs w:val="28"/>
          <w:lang w:val="en-US" w:eastAsia="zh-CN"/>
        </w:rPr>
        <w:t>5日</w:t>
      </w:r>
      <w:r>
        <w:rPr>
          <w:rFonts w:hint="default" w:ascii="仿宋" w:hAnsi="仿宋" w:eastAsia="仿宋" w:cs="仿宋"/>
          <w:b w:val="0"/>
          <w:bCs w:val="0"/>
          <w:color w:val="auto"/>
          <w:sz w:val="28"/>
          <w:szCs w:val="28"/>
          <w:lang w:val="en-US" w:eastAsia="zh-CN"/>
        </w:rPr>
        <w:t>内</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年</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月</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日之前）</w:t>
      </w:r>
      <w:r>
        <w:rPr>
          <w:rFonts w:hint="eastAsia" w:ascii="仿宋" w:hAnsi="仿宋" w:eastAsia="仿宋" w:cs="仿宋"/>
          <w:color w:val="000000" w:themeColor="text1"/>
          <w:sz w:val="28"/>
          <w:szCs w:val="28"/>
          <w:highlight w:val="none"/>
          <w:lang w:val="en-US" w:eastAsia="zh-CN"/>
          <w14:textFill>
            <w14:solidFill>
              <w14:schemeClr w14:val="tx1"/>
            </w14:solidFill>
          </w14:textFill>
        </w:rPr>
        <w:t>将全部货物运至甲方指定交货地点，通过验收并交付甲方使用。</w:t>
      </w:r>
    </w:p>
    <w:p w14:paraId="347D153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□本合同货物分批次交付，乙方应在每次接到甲方通知之日起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日内将</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甲方要求的货物运至甲方指定交货地点，通过验收并交付甲方使用。</w:t>
      </w:r>
    </w:p>
    <w:p w14:paraId="1FFCC4E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2.2 甲方指定交货地点：娄底市中心医院指定地点。 </w:t>
      </w:r>
    </w:p>
    <w:p w14:paraId="3A4E831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2.3 运输、装卸、搬运：由乙方自备交通运输工具将货物运至合同约定地点，并负责货物装卸、搬运的人工及费用。</w:t>
      </w:r>
    </w:p>
    <w:p w14:paraId="29D4C4E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第三条 质量标准、质量验收、包装要求</w:t>
      </w:r>
    </w:p>
    <w:p w14:paraId="04D12BC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36E6FE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 质量验收：以本合同约定标准按以下方式进行验收：</w:t>
      </w:r>
    </w:p>
    <w:p w14:paraId="786AAAE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5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5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日内无条件予以返工并承担所有费用。</w:t>
      </w:r>
    </w:p>
    <w:p w14:paraId="22EFB9A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74480BA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7BFAE2B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第四条 安装、培训等事项</w:t>
      </w:r>
    </w:p>
    <w:p w14:paraId="4B3B9BA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4.1 甲方负责协调、处理与安装、调试有关事宜，为乙方创造良好的安装、调试环境。</w:t>
      </w:r>
    </w:p>
    <w:p w14:paraId="1E6225C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4.2 甲方委派</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程俊杰 </w:t>
      </w:r>
      <w:r>
        <w:rPr>
          <w:rFonts w:hint="eastAsia" w:ascii="仿宋" w:hAnsi="仿宋" w:eastAsia="仿宋" w:cs="仿宋"/>
          <w:color w:val="000000" w:themeColor="text1"/>
          <w:sz w:val="28"/>
          <w:szCs w:val="28"/>
          <w:highlight w:val="none"/>
          <w:lang w:val="en-US" w:eastAsia="zh-CN"/>
          <w14:textFill>
            <w14:solidFill>
              <w14:schemeClr w14:val="tx1"/>
            </w14:solidFill>
          </w14:textFill>
        </w:rPr>
        <w:t>作为代表，跟踪、检查安装、调试现场。</w:t>
      </w:r>
    </w:p>
    <w:p w14:paraId="7C2C19C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4.3 乙方负责对甲方的操作人员进行免费培训。</w:t>
      </w:r>
    </w:p>
    <w:p w14:paraId="30EDE96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4.4 乙方在安装、调试过程中应加强操作人员的安全教育，杜绝安全事故的发生。 </w:t>
      </w:r>
    </w:p>
    <w:p w14:paraId="2AE61BE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第五条 售后服务</w:t>
      </w:r>
    </w:p>
    <w:p w14:paraId="059696E0">
      <w:pPr>
        <w:keepNext w:val="0"/>
        <w:keepLines w:val="0"/>
        <w:pageBreakBefore w:val="0"/>
        <w:widowControl/>
        <w:numPr>
          <w:ilvl w:val="-1"/>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5.1 本合同货物质保期为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年，自甲方在验收报告单上签字确认合格之日起开始计算。</w:t>
      </w:r>
    </w:p>
    <w:p w14:paraId="0F1FC17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 质保期内乙方免费提供维修、更换服务。</w:t>
      </w:r>
    </w:p>
    <w:p w14:paraId="7CC9D7D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5.2.1 如货物在</w:t>
      </w:r>
      <w:r>
        <w:rPr>
          <w:rFonts w:hint="eastAsia" w:ascii="仿宋" w:hAnsi="仿宋" w:eastAsia="仿宋" w:cs="仿宋"/>
          <w:color w:val="000000" w:themeColor="text1"/>
          <w:sz w:val="28"/>
          <w:szCs w:val="28"/>
          <w:highlight w:val="none"/>
          <w14:textFill>
            <w14:solidFill>
              <w14:schemeClr w14:val="tx1"/>
            </w14:solidFill>
          </w14:textFill>
        </w:rPr>
        <w:t>质</w:t>
      </w:r>
      <w:r>
        <w:rPr>
          <w:rFonts w:hint="eastAsia" w:ascii="仿宋" w:hAnsi="仿宋" w:eastAsia="仿宋" w:cs="仿宋"/>
          <w:color w:val="000000" w:themeColor="text1"/>
          <w:sz w:val="28"/>
          <w:szCs w:val="28"/>
          <w:highlight w:val="none"/>
          <w:lang w:val="en-US" w:eastAsia="zh-CN"/>
          <w14:textFill>
            <w14:solidFill>
              <w14:schemeClr w14:val="tx1"/>
            </w14:solidFill>
          </w14:textFill>
        </w:rPr>
        <w:t>保期内出现质量问题，乙方应在接到甲方通知（包括电话通知）后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4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小时内赶到甲方进行维修或更换全新合格货物，相关费用由乙方承担。</w:t>
      </w:r>
    </w:p>
    <w:p w14:paraId="641E583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5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w:t>
      </w:r>
      <w:r>
        <w:rPr>
          <w:rFonts w:hint="eastAsia" w:ascii="仿宋" w:hAnsi="仿宋" w:eastAsia="仿宋" w:cs="仿宋"/>
          <w:color w:val="000000" w:themeColor="text1"/>
          <w:sz w:val="28"/>
          <w:szCs w:val="28"/>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2EEA512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462CC46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5.3 质保期届满后，如货物出现问题，乙方应在接到甲方通知（包括电话通知）后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24</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小时上门服务，相关费用由甲方承担。</w:t>
      </w:r>
    </w:p>
    <w:p w14:paraId="4900E11C">
      <w:pPr>
        <w:keepNext w:val="0"/>
        <w:keepLines w:val="0"/>
        <w:pageBreakBefore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 </w:t>
      </w:r>
      <w:r>
        <w:rPr>
          <w:rFonts w:hint="eastAsia" w:ascii="仿宋" w:hAnsi="仿宋" w:eastAsia="仿宋" w:cs="仿宋"/>
          <w:color w:val="000000" w:themeColor="text1"/>
          <w:sz w:val="28"/>
          <w:szCs w:val="28"/>
          <w:highlight w:val="none"/>
          <w14:textFill>
            <w14:solidFill>
              <w14:schemeClr w14:val="tx1"/>
            </w14:solidFill>
          </w14:textFill>
        </w:rPr>
        <w:t>乙方须指派</w:t>
      </w:r>
      <w:r>
        <w:rPr>
          <w:rFonts w:hint="eastAsia" w:ascii="仿宋" w:hAnsi="仿宋" w:eastAsia="仿宋" w:cs="仿宋"/>
          <w:color w:val="000000" w:themeColor="text1"/>
          <w:sz w:val="28"/>
          <w:szCs w:val="28"/>
          <w:highlight w:val="none"/>
          <w:u w:val="non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电话：</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专门负责与甲方联系售后服务事宜，如人员发生变动，应及时通知甲方。</w:t>
      </w:r>
    </w:p>
    <w:p w14:paraId="7E32CFE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第六条 付款时间、方式</w:t>
      </w:r>
    </w:p>
    <w:p w14:paraId="1BE462D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6.1 甲方通过银行转账方式向乙方指定银行账户支付款项：甲方在全部货物验收合格之日起4个月内，向乙方支付</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合同约定总价款</w:t>
      </w:r>
      <w:r>
        <w:rPr>
          <w:rFonts w:hint="eastAsia" w:ascii="仿宋" w:hAnsi="仿宋" w:eastAsia="仿宋" w:cs="仿宋"/>
          <w:color w:val="000000" w:themeColor="text1"/>
          <w:sz w:val="28"/>
          <w:szCs w:val="28"/>
          <w:highlight w:val="none"/>
          <w:lang w:val="en-US" w:eastAsia="zh-CN"/>
          <w14:textFill>
            <w14:solidFill>
              <w14:schemeClr w14:val="tx1"/>
            </w14:solidFill>
          </w14:textFill>
        </w:rPr>
        <w:t>的90%；余款10%，甲方在全部货物质保期届满且不存在需被扣除情形之日起10个工作日内，免息支付给乙方。</w:t>
      </w:r>
    </w:p>
    <w:p w14:paraId="2757968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u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6.2 乙方指定收款银行账户的开户名：</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开户银行：</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账号：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 xml:space="preserve">。  </w:t>
      </w:r>
    </w:p>
    <w:p w14:paraId="67CD535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6.3 乙方应在甲方首次付款前，向甲方提供以乙方自己名义开具的与本合同总价等额的增值税普通发票；如乙方未及时提供发票，甲方有权顺延付款，由此产生的责任均由乙方自行承担。</w:t>
      </w:r>
    </w:p>
    <w:p w14:paraId="095E17D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第七条 风险承担</w:t>
      </w:r>
    </w:p>
    <w:p w14:paraId="0A231C4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3FEBA2C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235C141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62B6DA3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第八条 廉洁条款</w:t>
      </w:r>
    </w:p>
    <w:p w14:paraId="3B7DE51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5719AC7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8.2 </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9975B3D">
      <w:pPr>
        <w:keepNext w:val="0"/>
        <w:keepLines w:val="0"/>
        <w:pageBreakBefore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第九条 保密条款</w:t>
      </w:r>
    </w:p>
    <w:p w14:paraId="4D6628D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3C75F1A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42F72CC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9.3 因乙方未履行本合同保密义务造成甲方或第三方损失的，由乙方承担全部赔偿责任。</w:t>
      </w:r>
    </w:p>
    <w:p w14:paraId="6D0BDC1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9.4 本合同保密条款在合同被认定无效、被撤销或终止、解除后仍然有效。</w:t>
      </w:r>
    </w:p>
    <w:p w14:paraId="20FCBDBF">
      <w:pPr>
        <w:keepNext w:val="0"/>
        <w:keepLines w:val="0"/>
        <w:pageBreakBefore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第十条 通知与送达</w:t>
      </w:r>
    </w:p>
    <w:p w14:paraId="0AA2D28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2A284C2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4C03C1B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10.2.1 甲方的联系地址：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娄底市中心医院总务科</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程俊杰</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18873820001</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fldChar w:fldCharType="begin"/>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instrText xml:space="preserve"> HYPERLINK "mailto:317121229@QQ.COM" </w:instrTex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fldChar w:fldCharType="separate"/>
      </w:r>
      <w:r>
        <w:rPr>
          <w:rStyle w:val="10"/>
          <w:rFonts w:hint="eastAsia" w:ascii="仿宋" w:hAnsi="仿宋" w:eastAsia="仿宋" w:cs="仿宋"/>
          <w:b w:val="0"/>
          <w:bCs w:val="0"/>
          <w:color w:val="auto"/>
          <w:sz w:val="28"/>
          <w:szCs w:val="28"/>
          <w:highlight w:val="none"/>
          <w:lang w:val="en-US" w:eastAsia="zh-CN"/>
        </w:rPr>
        <w:t>317121229@</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q</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fldChar w:fldCharType="end"/>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q.com</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2007259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10.2.2 乙方的联系地址：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xml:space="preserve"> ，联系人：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0F6C0E4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3327629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94B612A">
      <w:pPr>
        <w:keepNext w:val="0"/>
        <w:keepLines w:val="0"/>
        <w:pageBreakBefore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一</w:t>
      </w:r>
      <w:r>
        <w:rPr>
          <w:rFonts w:hint="eastAsia" w:ascii="仿宋" w:hAnsi="仿宋" w:eastAsia="仿宋" w:cs="仿宋"/>
          <w:b/>
          <w:bCs/>
          <w:color w:val="000000" w:themeColor="text1"/>
          <w:sz w:val="28"/>
          <w:szCs w:val="28"/>
          <w:highlight w:val="none"/>
          <w:lang w:eastAsia="zh-CN"/>
          <w14:textFill>
            <w14:solidFill>
              <w14:schemeClr w14:val="tx1"/>
            </w14:solidFill>
          </w14:textFill>
        </w:rPr>
        <w:t>条</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 合同的变更、解除</w:t>
      </w:r>
    </w:p>
    <w:p w14:paraId="26B1F4B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11.1 本合同经双方协商一致后可以变更，双方应另行签订补充协议。</w:t>
      </w:r>
    </w:p>
    <w:p w14:paraId="021E606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102F129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 </w:t>
      </w:r>
      <w:r>
        <w:rPr>
          <w:rFonts w:hint="eastAsia" w:ascii="仿宋" w:hAnsi="仿宋" w:eastAsia="仿宋" w:cs="仿宋"/>
          <w:color w:val="000000" w:themeColor="text1"/>
          <w:sz w:val="28"/>
          <w:szCs w:val="28"/>
          <w:highlight w:val="none"/>
          <w14:textFill>
            <w14:solidFill>
              <w14:schemeClr w14:val="tx1"/>
            </w14:solidFill>
          </w14:textFill>
        </w:rPr>
        <w:t>乙方出现以下违约情形之一的，甲方有权拒绝支付任何价款并解除合同：</w:t>
      </w:r>
    </w:p>
    <w:p w14:paraId="305C8F9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.1 乙方逾期</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7 </w:t>
      </w:r>
      <w:r>
        <w:rPr>
          <w:rFonts w:hint="eastAsia" w:ascii="仿宋" w:hAnsi="仿宋" w:eastAsia="仿宋" w:cs="仿宋"/>
          <w:color w:val="000000" w:themeColor="text1"/>
          <w:sz w:val="28"/>
          <w:szCs w:val="28"/>
          <w:highlight w:val="none"/>
          <w14:textFill>
            <w14:solidFill>
              <w14:schemeClr w14:val="tx1"/>
            </w14:solidFill>
          </w14:textFill>
        </w:rPr>
        <w:t>日仍不能供货；</w:t>
      </w:r>
    </w:p>
    <w:p w14:paraId="160D2FC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.2 乙方提供的</w:t>
      </w:r>
      <w:r>
        <w:rPr>
          <w:rFonts w:hint="eastAsia" w:ascii="仿宋" w:hAnsi="仿宋" w:eastAsia="仿宋" w:cs="仿宋"/>
          <w:color w:val="000000" w:themeColor="text1"/>
          <w:sz w:val="28"/>
          <w:szCs w:val="28"/>
          <w:highlight w:val="none"/>
          <w:lang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质量不符合国家标准、本合同标准或</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响应文件约定标准；</w:t>
      </w:r>
    </w:p>
    <w:p w14:paraId="0B28ACB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.3 乙方将</w:t>
      </w:r>
      <w:r>
        <w:rPr>
          <w:rFonts w:hint="eastAsia" w:ascii="仿宋" w:hAnsi="仿宋" w:eastAsia="仿宋" w:cs="仿宋"/>
          <w:color w:val="000000" w:themeColor="text1"/>
          <w:sz w:val="28"/>
          <w:szCs w:val="28"/>
          <w:highlight w:val="none"/>
          <w:lang w:val="en-US" w:eastAsia="zh-CN"/>
          <w14:textFill>
            <w14:solidFill>
              <w14:schemeClr w14:val="tx1"/>
            </w14:solidFill>
          </w14:textFill>
        </w:rPr>
        <w:t>本合同权利义务全部或部分转让给</w:t>
      </w:r>
      <w:r>
        <w:rPr>
          <w:rFonts w:hint="eastAsia" w:ascii="仿宋" w:hAnsi="仿宋" w:eastAsia="仿宋" w:cs="仿宋"/>
          <w:color w:val="000000" w:themeColor="text1"/>
          <w:sz w:val="28"/>
          <w:szCs w:val="28"/>
          <w:highlight w:val="none"/>
          <w14:textFill>
            <w14:solidFill>
              <w14:schemeClr w14:val="tx1"/>
            </w14:solidFill>
          </w14:textFill>
        </w:rPr>
        <w:t>第三方；</w:t>
      </w:r>
    </w:p>
    <w:p w14:paraId="0ABA753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.4 其他根本违约的情形。</w:t>
      </w:r>
    </w:p>
    <w:p w14:paraId="65473E31">
      <w:pPr>
        <w:keepNext w:val="0"/>
        <w:keepLines w:val="0"/>
        <w:pageBreakBefore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eastAsia="zh-CN"/>
          <w14:textFill>
            <w14:solidFill>
              <w14:schemeClr w14:val="tx1"/>
            </w14:solidFill>
          </w14:textFill>
        </w:rPr>
        <w:t>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二</w:t>
      </w:r>
      <w:r>
        <w:rPr>
          <w:rFonts w:hint="eastAsia" w:ascii="仿宋" w:hAnsi="仿宋" w:eastAsia="仿宋" w:cs="仿宋"/>
          <w:b/>
          <w:bCs/>
          <w:color w:val="000000" w:themeColor="text1"/>
          <w:sz w:val="28"/>
          <w:szCs w:val="28"/>
          <w:highlight w:val="none"/>
          <w14:textFill>
            <w14:solidFill>
              <w14:schemeClr w14:val="tx1"/>
            </w14:solidFill>
          </w14:textFill>
        </w:rPr>
        <w:t>条 违约责任</w:t>
      </w:r>
    </w:p>
    <w:p w14:paraId="7B0AA96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 xml:space="preserve">.1 </w:t>
      </w:r>
      <w:r>
        <w:rPr>
          <w:rFonts w:hint="eastAsia" w:ascii="仿宋" w:hAnsi="仿宋" w:eastAsia="仿宋" w:cs="仿宋"/>
          <w:color w:val="000000" w:themeColor="text1"/>
          <w:sz w:val="28"/>
          <w:szCs w:val="28"/>
          <w:highlight w:val="none"/>
          <w:lang w:eastAsia="zh-CN"/>
          <w14:textFill>
            <w14:solidFill>
              <w14:schemeClr w14:val="tx1"/>
            </w14:solidFill>
          </w14:textFill>
        </w:rPr>
        <w:t>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6B23E00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.2 如乙方未在本合同约定时间内将验收合格的</w:t>
      </w:r>
      <w:r>
        <w:rPr>
          <w:rFonts w:hint="eastAsia" w:ascii="仿宋" w:hAnsi="仿宋" w:eastAsia="仿宋" w:cs="仿宋"/>
          <w:color w:val="000000" w:themeColor="text1"/>
          <w:sz w:val="28"/>
          <w:szCs w:val="28"/>
          <w:highlight w:val="none"/>
          <w:lang w:val="en-US"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交付给甲方使用，除应赔偿甲方因此造成的损失外，每逾期一日，按</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元 ☑</w:t>
      </w:r>
      <w:r>
        <w:rPr>
          <w:rFonts w:hint="eastAsia" w:ascii="仿宋" w:hAnsi="仿宋" w:eastAsia="仿宋" w:cs="仿宋"/>
          <w:color w:val="000000" w:themeColor="text1"/>
          <w:sz w:val="28"/>
          <w:szCs w:val="28"/>
          <w:highlight w:val="none"/>
          <w:u w:val="none"/>
          <w14:textFill>
            <w14:solidFill>
              <w14:schemeClr w14:val="tx1"/>
            </w14:solidFill>
          </w14:textFill>
        </w:rPr>
        <w:t>本合同约定总价款的</w:t>
      </w:r>
      <w:r>
        <w:rPr>
          <w:rFonts w:hint="eastAsia" w:ascii="仿宋" w:hAnsi="仿宋" w:eastAsia="仿宋" w:cs="仿宋"/>
          <w:color w:val="000000" w:themeColor="text1"/>
          <w:sz w:val="28"/>
          <w:szCs w:val="28"/>
          <w:highlight w:val="none"/>
          <w:u w:val="none"/>
          <w:lang w:eastAsia="zh-CN"/>
          <w14:textFill>
            <w14:solidFill>
              <w14:schemeClr w14:val="tx1"/>
            </w14:solidFill>
          </w14:textFill>
        </w:rPr>
        <w:t>千分之一</w:t>
      </w:r>
      <w:r>
        <w:rPr>
          <w:rFonts w:hint="eastAsia" w:ascii="仿宋" w:hAnsi="仿宋" w:eastAsia="仿宋" w:cs="仿宋"/>
          <w:color w:val="000000" w:themeColor="text1"/>
          <w:sz w:val="28"/>
          <w:szCs w:val="28"/>
          <w:highlight w:val="none"/>
          <w:lang w:eastAsia="zh-CN"/>
          <w14:textFill>
            <w14:solidFill>
              <w14:schemeClr w14:val="tx1"/>
            </w14:solidFill>
          </w14:textFill>
        </w:rPr>
        <w:t>）标准</w:t>
      </w:r>
      <w:r>
        <w:rPr>
          <w:rFonts w:hint="eastAsia" w:ascii="仿宋" w:hAnsi="仿宋" w:eastAsia="仿宋" w:cs="仿宋"/>
          <w:color w:val="000000" w:themeColor="text1"/>
          <w:sz w:val="28"/>
          <w:szCs w:val="28"/>
          <w:highlight w:val="none"/>
          <w14:textFill>
            <w14:solidFill>
              <w14:schemeClr w14:val="tx1"/>
            </w14:solidFill>
          </w14:textFill>
        </w:rPr>
        <w:t>向甲方支付违约金。</w:t>
      </w:r>
    </w:p>
    <w:p w14:paraId="5BCF4BB1">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.3 如乙方单方解除合同或甲方因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11.3情形</w:t>
      </w:r>
      <w:r>
        <w:rPr>
          <w:rFonts w:hint="eastAsia" w:ascii="仿宋" w:hAnsi="仿宋" w:eastAsia="仿宋" w:cs="仿宋"/>
          <w:color w:val="000000" w:themeColor="text1"/>
          <w:sz w:val="28"/>
          <w:szCs w:val="28"/>
          <w:highlight w:val="none"/>
          <w14:textFill>
            <w14:solidFill>
              <w14:schemeClr w14:val="tx1"/>
            </w14:solidFill>
          </w14:textFill>
        </w:rPr>
        <w:t>解除合同，乙方应赔偿给甲方造成的全部经济损失，并按</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元 ☑</w:t>
      </w:r>
      <w:r>
        <w:rPr>
          <w:rFonts w:hint="eastAsia" w:ascii="仿宋" w:hAnsi="仿宋" w:eastAsia="仿宋" w:cs="仿宋"/>
          <w:color w:val="000000" w:themeColor="text1"/>
          <w:sz w:val="28"/>
          <w:szCs w:val="28"/>
          <w:highlight w:val="none"/>
          <w:u w:val="none"/>
          <w14:textFill>
            <w14:solidFill>
              <w14:schemeClr w14:val="tx1"/>
            </w14:solidFill>
          </w14:textFill>
        </w:rPr>
        <w:t>本合同总价款30%</w:t>
      </w:r>
      <w:r>
        <w:rPr>
          <w:rFonts w:hint="eastAsia" w:ascii="仿宋" w:hAnsi="仿宋" w:eastAsia="仿宋" w:cs="仿宋"/>
          <w:color w:val="000000" w:themeColor="text1"/>
          <w:sz w:val="28"/>
          <w:szCs w:val="28"/>
          <w:highlight w:val="none"/>
          <w:u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标准</w:t>
      </w:r>
      <w:r>
        <w:rPr>
          <w:rFonts w:hint="eastAsia" w:ascii="仿宋" w:hAnsi="仿宋" w:eastAsia="仿宋" w:cs="仿宋"/>
          <w:color w:val="000000" w:themeColor="text1"/>
          <w:sz w:val="28"/>
          <w:szCs w:val="28"/>
          <w:highlight w:val="none"/>
          <w:lang w:val="en-US" w:eastAsia="zh-CN"/>
          <w14:textFill>
            <w14:solidFill>
              <w14:schemeClr w14:val="tx1"/>
            </w14:solidFill>
          </w14:textFill>
        </w:rPr>
        <w:t>向</w:t>
      </w:r>
      <w:r>
        <w:rPr>
          <w:rFonts w:hint="eastAsia" w:ascii="仿宋" w:hAnsi="仿宋" w:eastAsia="仿宋" w:cs="仿宋"/>
          <w:color w:val="000000" w:themeColor="text1"/>
          <w:sz w:val="28"/>
          <w:szCs w:val="28"/>
          <w:highlight w:val="none"/>
          <w14:textFill>
            <w14:solidFill>
              <w14:schemeClr w14:val="tx1"/>
            </w14:solidFill>
          </w14:textFill>
        </w:rPr>
        <w:t>甲方支付违约金。</w:t>
      </w:r>
    </w:p>
    <w:p w14:paraId="587D7E3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5000.00元。如乙方除需承担违反廉洁条款的违约责任外，同时存在其他违约行为，乙方仍须就其他违约行为承担相应违约责任。</w:t>
      </w:r>
    </w:p>
    <w:p w14:paraId="242A5AE2">
      <w:pPr>
        <w:keepNext w:val="0"/>
        <w:keepLines w:val="0"/>
        <w:pageBreakBefore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7EA2C9BC">
      <w:pPr>
        <w:keepNext w:val="0"/>
        <w:keepLines w:val="0"/>
        <w:pageBreakBefore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十三</w:t>
      </w:r>
      <w:r>
        <w:rPr>
          <w:rFonts w:hint="eastAsia" w:ascii="仿宋" w:hAnsi="仿宋" w:eastAsia="仿宋" w:cs="仿宋"/>
          <w:b/>
          <w:bCs/>
          <w:color w:val="000000" w:themeColor="text1"/>
          <w:sz w:val="28"/>
          <w:szCs w:val="28"/>
          <w:highlight w:val="none"/>
          <w14:textFill>
            <w14:solidFill>
              <w14:schemeClr w14:val="tx1"/>
            </w14:solidFill>
          </w14:textFill>
        </w:rPr>
        <w:t>条 争议解决</w:t>
      </w:r>
    </w:p>
    <w:p w14:paraId="349507F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13.1 本合同适用中华人民共和国法律，并按其解释。</w:t>
      </w:r>
    </w:p>
    <w:p w14:paraId="45F42DEC">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13.2 </w:t>
      </w:r>
      <w:r>
        <w:rPr>
          <w:rFonts w:hint="eastAsia" w:ascii="仿宋" w:hAnsi="仿宋" w:eastAsia="仿宋" w:cs="仿宋"/>
          <w:color w:val="000000" w:themeColor="text1"/>
          <w:sz w:val="28"/>
          <w:szCs w:val="28"/>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695538C9">
      <w:pPr>
        <w:keepNext w:val="0"/>
        <w:keepLines w:val="0"/>
        <w:pageBreakBefore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四</w:t>
      </w:r>
      <w:r>
        <w:rPr>
          <w:rFonts w:hint="eastAsia" w:ascii="仿宋" w:hAnsi="仿宋" w:eastAsia="仿宋" w:cs="仿宋"/>
          <w:b/>
          <w:bCs/>
          <w:color w:val="000000" w:themeColor="text1"/>
          <w:sz w:val="28"/>
          <w:szCs w:val="28"/>
          <w:highlight w:val="none"/>
          <w14:textFill>
            <w14:solidFill>
              <w14:schemeClr w14:val="tx1"/>
            </w14:solidFill>
          </w14:textFill>
        </w:rPr>
        <w:t>条 附则</w:t>
      </w:r>
    </w:p>
    <w:p w14:paraId="453C146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 xml:space="preserve"> 乙方营业执照、</w:t>
      </w: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法定代表人身份证明书、</w:t>
      </w:r>
      <w:r>
        <w:rPr>
          <w:rFonts w:hint="eastAsia" w:ascii="仿宋" w:hAnsi="仿宋" w:eastAsia="仿宋" w:cs="仿宋"/>
          <w:color w:val="000000" w:themeColor="text1"/>
          <w:sz w:val="28"/>
          <w:szCs w:val="28"/>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验收报告</w:t>
      </w:r>
      <w:r>
        <w:rPr>
          <w:rFonts w:hint="eastAsia" w:ascii="仿宋" w:hAnsi="仿宋" w:eastAsia="仿宋" w:cs="仿宋"/>
          <w:color w:val="000000" w:themeColor="text1"/>
          <w:sz w:val="28"/>
          <w:szCs w:val="28"/>
          <w:highlight w:val="none"/>
          <w14:textFill>
            <w14:solidFill>
              <w14:schemeClr w14:val="tx1"/>
            </w14:solidFill>
          </w14:textFill>
        </w:rPr>
        <w:t>单等作为本合同的附件。</w:t>
      </w:r>
    </w:p>
    <w:p w14:paraId="239821D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14.2 </w:t>
      </w:r>
      <w:r>
        <w:rPr>
          <w:rFonts w:hint="eastAsia" w:ascii="仿宋" w:hAnsi="仿宋" w:eastAsia="仿宋" w:cs="仿宋"/>
          <w:color w:val="000000" w:themeColor="text1"/>
          <w:sz w:val="28"/>
          <w:szCs w:val="28"/>
          <w:highlight w:val="none"/>
          <w14:textFill>
            <w14:solidFill>
              <w14:schemeClr w14:val="tx1"/>
            </w14:solidFill>
          </w14:textFill>
        </w:rPr>
        <w:t>本合同组成文件和优先解释顺序：</w:t>
      </w:r>
      <w:r>
        <w:rPr>
          <w:rFonts w:hint="eastAsia" w:ascii="仿宋" w:hAnsi="仿宋" w:eastAsia="仿宋" w:cs="仿宋"/>
          <w:color w:val="000000" w:themeColor="text1"/>
          <w:sz w:val="28"/>
          <w:szCs w:val="28"/>
          <w:highlight w:val="none"/>
          <w:lang w:eastAsia="zh-CN"/>
          <w14:textFill>
            <w14:solidFill>
              <w14:schemeClr w14:val="tx1"/>
            </w14:solidFill>
          </w14:textFill>
        </w:rPr>
        <w:t>乙方在履行本合同中作出的书面承诺；</w:t>
      </w:r>
      <w:r>
        <w:rPr>
          <w:rFonts w:hint="eastAsia" w:ascii="仿宋" w:hAnsi="仿宋" w:eastAsia="仿宋" w:cs="仿宋"/>
          <w:color w:val="000000" w:themeColor="text1"/>
          <w:sz w:val="28"/>
          <w:szCs w:val="28"/>
          <w:highlight w:val="none"/>
          <w14:textFill>
            <w14:solidFill>
              <w14:schemeClr w14:val="tx1"/>
            </w14:solidFill>
          </w14:textFill>
        </w:rPr>
        <w:t>本合同补充协议；本合同及附件；</w:t>
      </w:r>
      <w:r>
        <w:rPr>
          <w:rFonts w:hint="eastAsia" w:ascii="仿宋" w:hAnsi="仿宋" w:eastAsia="仿宋" w:cs="仿宋"/>
          <w:color w:val="000000" w:themeColor="text1"/>
          <w:sz w:val="28"/>
          <w:szCs w:val="28"/>
          <w:highlight w:val="none"/>
          <w:lang w:eastAsia="zh-CN"/>
          <w14:textFill>
            <w14:solidFill>
              <w14:schemeClr w14:val="tx1"/>
            </w14:solidFill>
          </w14:textFill>
        </w:rPr>
        <w:t>中标通知书</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/成交通知书/</w:t>
      </w:r>
      <w:r>
        <w:rPr>
          <w:rFonts w:hint="eastAsia" w:ascii="仿宋" w:hAnsi="仿宋" w:eastAsia="仿宋" w:cs="仿宋"/>
          <w:color w:val="000000" w:themeColor="text1"/>
          <w:sz w:val="28"/>
          <w:szCs w:val="28"/>
          <w:highlight w:val="none"/>
          <w14:textFill>
            <w14:solidFill>
              <w14:schemeClr w14:val="tx1"/>
            </w14:solidFill>
          </w14:textFill>
        </w:rPr>
        <w:t>议价结果公示</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/成交公告</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w:t>
      </w:r>
      <w:r>
        <w:rPr>
          <w:rFonts w:hint="eastAsia" w:ascii="仿宋" w:hAnsi="仿宋" w:eastAsia="仿宋" w:cs="仿宋"/>
          <w:color w:val="000000" w:themeColor="text1"/>
          <w:sz w:val="28"/>
          <w:szCs w:val="28"/>
          <w:highlight w:val="none"/>
          <w:lang w:eastAsia="zh-CN"/>
          <w14:textFill>
            <w14:solidFill>
              <w14:schemeClr w14:val="tx1"/>
            </w14:solidFill>
          </w14:textFill>
        </w:rPr>
        <w:t>招标文件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采购文件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/采购需求</w:t>
      </w:r>
      <w:r>
        <w:rPr>
          <w:rFonts w:hint="eastAsia" w:ascii="仿宋" w:hAnsi="仿宋" w:eastAsia="仿宋" w:cs="仿宋"/>
          <w:color w:val="000000" w:themeColor="text1"/>
          <w:sz w:val="28"/>
          <w:szCs w:val="28"/>
          <w:highlight w:val="none"/>
          <w14:textFill>
            <w14:solidFill>
              <w14:schemeClr w14:val="tx1"/>
            </w14:solidFill>
          </w14:textFill>
        </w:rPr>
        <w:t>；其他与本合同有关的资料。</w:t>
      </w:r>
    </w:p>
    <w:p w14:paraId="475F2B1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本合同一式伍份，甲方执肆份、乙方执壹份，自双方签字并盖章</w:t>
      </w:r>
      <w:r>
        <w:rPr>
          <w:rFonts w:hint="eastAsia" w:ascii="仿宋" w:hAnsi="仿宋" w:eastAsia="仿宋" w:cs="仿宋"/>
          <w:color w:val="000000" w:themeColor="text1"/>
          <w:sz w:val="28"/>
          <w:szCs w:val="28"/>
          <w:highlight w:val="none"/>
          <w:lang w:eastAsia="zh-CN"/>
          <w14:textFill>
            <w14:solidFill>
              <w14:schemeClr w14:val="tx1"/>
            </w14:solidFill>
          </w14:textFill>
        </w:rPr>
        <w:t>后</w:t>
      </w:r>
      <w:r>
        <w:rPr>
          <w:rFonts w:hint="eastAsia" w:ascii="仿宋" w:hAnsi="仿宋" w:eastAsia="仿宋" w:cs="仿宋"/>
          <w:color w:val="000000" w:themeColor="text1"/>
          <w:sz w:val="28"/>
          <w:szCs w:val="28"/>
          <w:highlight w:val="none"/>
          <w14:textFill>
            <w14:solidFill>
              <w14:schemeClr w14:val="tx1"/>
            </w14:solidFill>
          </w14:textFill>
        </w:rPr>
        <w:t>生效。</w:t>
      </w:r>
    </w:p>
    <w:p w14:paraId="35BD757E">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7287B1D">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甲方（盖章）：娄底市中心医院        乙方（盖章）：</w:t>
      </w:r>
    </w:p>
    <w:p w14:paraId="0503A962">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479B4837">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法定代表人（签字）：                法定代表人（签字）：  </w:t>
      </w:r>
    </w:p>
    <w:p w14:paraId="2EB43309">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7A8EE052">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或委托代理人（签字）：              或委托代理人（签字）：</w:t>
      </w:r>
    </w:p>
    <w:p w14:paraId="3470DCCA">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123859BE">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合同签订地履行地：娄底市娄星区   </w:t>
      </w:r>
      <w:bookmarkStart w:id="0" w:name="_GoBack"/>
      <w:bookmarkEnd w:id="0"/>
      <w:r>
        <w:rPr>
          <w:rFonts w:hint="eastAsia" w:ascii="仿宋" w:hAnsi="仿宋" w:eastAsia="仿宋" w:cs="仿宋"/>
          <w:color w:val="000000" w:themeColor="text1"/>
          <w:sz w:val="28"/>
          <w:szCs w:val="28"/>
          <w:highlight w:val="none"/>
          <w14:textFill>
            <w14:solidFill>
              <w14:schemeClr w14:val="tx1"/>
            </w14:solidFill>
          </w14:textFill>
        </w:rPr>
        <w:t>签订时间：      年     月     日</w:t>
      </w:r>
    </w:p>
    <w:sectPr>
      <w:footerReference r:id="rId3" w:type="default"/>
      <w:pgSz w:w="11906" w:h="16838"/>
      <w:pgMar w:top="1701" w:right="1474" w:bottom="1701"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64E4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834A8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834A8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MGRhYWQ5MTUwMzBkMzE4MDQ1YWM4MjJiMWVlODIifQ=="/>
  </w:docVars>
  <w:rsids>
    <w:rsidRoot w:val="41822957"/>
    <w:rsid w:val="00571223"/>
    <w:rsid w:val="05687CD1"/>
    <w:rsid w:val="0641184A"/>
    <w:rsid w:val="06933F32"/>
    <w:rsid w:val="06C453DB"/>
    <w:rsid w:val="0845247E"/>
    <w:rsid w:val="08672C59"/>
    <w:rsid w:val="09D73678"/>
    <w:rsid w:val="0A473C10"/>
    <w:rsid w:val="0B3643CE"/>
    <w:rsid w:val="0B662F05"/>
    <w:rsid w:val="0D162709"/>
    <w:rsid w:val="0D5D5C42"/>
    <w:rsid w:val="0E6A2D0C"/>
    <w:rsid w:val="0EFB5712"/>
    <w:rsid w:val="0F322050"/>
    <w:rsid w:val="110E3E23"/>
    <w:rsid w:val="117A3266"/>
    <w:rsid w:val="129640D0"/>
    <w:rsid w:val="142479CD"/>
    <w:rsid w:val="15450424"/>
    <w:rsid w:val="158F4458"/>
    <w:rsid w:val="16D01CDF"/>
    <w:rsid w:val="16E82A20"/>
    <w:rsid w:val="17026ACC"/>
    <w:rsid w:val="18267CA4"/>
    <w:rsid w:val="1901426D"/>
    <w:rsid w:val="1A143B2C"/>
    <w:rsid w:val="1AB93BFC"/>
    <w:rsid w:val="1AF5395E"/>
    <w:rsid w:val="1D8D2736"/>
    <w:rsid w:val="1E3B1FCF"/>
    <w:rsid w:val="20052895"/>
    <w:rsid w:val="203001E0"/>
    <w:rsid w:val="20B758B9"/>
    <w:rsid w:val="20BB7EE7"/>
    <w:rsid w:val="240B5FA0"/>
    <w:rsid w:val="24961D0D"/>
    <w:rsid w:val="251A0B90"/>
    <w:rsid w:val="25DC5E46"/>
    <w:rsid w:val="26766D9D"/>
    <w:rsid w:val="284303FE"/>
    <w:rsid w:val="284952E9"/>
    <w:rsid w:val="29E90B31"/>
    <w:rsid w:val="2A377AEF"/>
    <w:rsid w:val="2B485D2C"/>
    <w:rsid w:val="2C20672F"/>
    <w:rsid w:val="2C3047F6"/>
    <w:rsid w:val="2C4B162F"/>
    <w:rsid w:val="2CBC077F"/>
    <w:rsid w:val="2EBF4557"/>
    <w:rsid w:val="30BE192F"/>
    <w:rsid w:val="31377A94"/>
    <w:rsid w:val="33016EEC"/>
    <w:rsid w:val="345319C9"/>
    <w:rsid w:val="34545230"/>
    <w:rsid w:val="347B2CCE"/>
    <w:rsid w:val="37760A2F"/>
    <w:rsid w:val="383A331D"/>
    <w:rsid w:val="387356A4"/>
    <w:rsid w:val="39FE23D7"/>
    <w:rsid w:val="3AB807D8"/>
    <w:rsid w:val="3D932E36"/>
    <w:rsid w:val="3DBF59D9"/>
    <w:rsid w:val="3E014244"/>
    <w:rsid w:val="415B010F"/>
    <w:rsid w:val="417967E7"/>
    <w:rsid w:val="41822957"/>
    <w:rsid w:val="42097B6B"/>
    <w:rsid w:val="441647C1"/>
    <w:rsid w:val="45561319"/>
    <w:rsid w:val="45EF0E26"/>
    <w:rsid w:val="47743CD8"/>
    <w:rsid w:val="47D56783"/>
    <w:rsid w:val="483D40CA"/>
    <w:rsid w:val="4A513734"/>
    <w:rsid w:val="4A9D46D9"/>
    <w:rsid w:val="4CBC0124"/>
    <w:rsid w:val="4CE0771A"/>
    <w:rsid w:val="4D392591"/>
    <w:rsid w:val="4E200975"/>
    <w:rsid w:val="4E487C6D"/>
    <w:rsid w:val="4F5B4751"/>
    <w:rsid w:val="50882FA5"/>
    <w:rsid w:val="50AA0474"/>
    <w:rsid w:val="51254295"/>
    <w:rsid w:val="5199217F"/>
    <w:rsid w:val="52D04B69"/>
    <w:rsid w:val="53B37937"/>
    <w:rsid w:val="5452787B"/>
    <w:rsid w:val="58490869"/>
    <w:rsid w:val="58935F89"/>
    <w:rsid w:val="5A461504"/>
    <w:rsid w:val="5DD32411"/>
    <w:rsid w:val="5F8824BF"/>
    <w:rsid w:val="60DB6EA0"/>
    <w:rsid w:val="623B56C7"/>
    <w:rsid w:val="6370314E"/>
    <w:rsid w:val="65424FBE"/>
    <w:rsid w:val="657A167D"/>
    <w:rsid w:val="66494762"/>
    <w:rsid w:val="674C5C80"/>
    <w:rsid w:val="68030A35"/>
    <w:rsid w:val="681A3FD0"/>
    <w:rsid w:val="68554D6F"/>
    <w:rsid w:val="68995F66"/>
    <w:rsid w:val="68A8338A"/>
    <w:rsid w:val="68F93BE6"/>
    <w:rsid w:val="69287B34"/>
    <w:rsid w:val="69747710"/>
    <w:rsid w:val="6AAD6A36"/>
    <w:rsid w:val="6AFE3735"/>
    <w:rsid w:val="6BBD539F"/>
    <w:rsid w:val="6C5F2309"/>
    <w:rsid w:val="6D7B2E1B"/>
    <w:rsid w:val="6EA05D20"/>
    <w:rsid w:val="6EF822B6"/>
    <w:rsid w:val="6F1928EC"/>
    <w:rsid w:val="72A21379"/>
    <w:rsid w:val="72CE60E3"/>
    <w:rsid w:val="74273CFD"/>
    <w:rsid w:val="75BE0440"/>
    <w:rsid w:val="75ED3DAC"/>
    <w:rsid w:val="7621477C"/>
    <w:rsid w:val="7767743F"/>
    <w:rsid w:val="789E5F44"/>
    <w:rsid w:val="79E306C6"/>
    <w:rsid w:val="7A410F49"/>
    <w:rsid w:val="7B2368A0"/>
    <w:rsid w:val="7D23702C"/>
    <w:rsid w:val="7D615346"/>
    <w:rsid w:val="7D73502D"/>
    <w:rsid w:val="7E1931E4"/>
    <w:rsid w:val="7ED95BF4"/>
    <w:rsid w:val="7F4A4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正文格式"/>
    <w:basedOn w:val="3"/>
    <w:qFormat/>
    <w:uiPriority w:val="0"/>
    <w:pPr>
      <w:widowControl/>
      <w:adjustRightInd w:val="0"/>
      <w:spacing w:line="400" w:lineRule="atLeast"/>
      <w:ind w:firstLine="482"/>
      <w:textAlignment w:val="baseline"/>
    </w:pPr>
    <w:rPr>
      <w:kern w:val="0"/>
      <w:sz w:val="24"/>
      <w:szCs w:val="20"/>
    </w:rPr>
  </w:style>
  <w:style w:type="paragraph" w:customStyle="1" w:styleId="3">
    <w:name w:val="正文11"/>
    <w:next w:val="2"/>
    <w:qFormat/>
    <w:uiPriority w:val="0"/>
    <w:pPr>
      <w:widowControl w:val="0"/>
      <w:suppressAutoHyphens w:val="0"/>
      <w:bidi w:val="0"/>
      <w:spacing w:beforeLines="0" w:beforeAutospacing="0" w:afterLines="0" w:afterAutospacing="0"/>
      <w:jc w:val="both"/>
    </w:pPr>
    <w:rPr>
      <w:rFonts w:ascii="Times New Roman" w:hAnsi="Times New Roman" w:eastAsia="宋体" w:cs="Times New Roman"/>
      <w:color w:val="000000"/>
      <w:kern w:val="2"/>
      <w:sz w:val="21"/>
      <w:szCs w:val="24"/>
      <w:lang w:val="en-US" w:eastAsia="zh-CN" w:bidi="ar-SA"/>
    </w:rPr>
  </w:style>
  <w:style w:type="paragraph" w:styleId="4">
    <w:name w:val="Body Text"/>
    <w:basedOn w:val="1"/>
    <w:next w:val="5"/>
    <w:unhideWhenUsed/>
    <w:qFormat/>
    <w:uiPriority w:val="0"/>
    <w:pPr>
      <w:spacing w:after="120"/>
    </w:pPr>
    <w:rPr>
      <w:rFonts w:ascii="Times New Roman" w:hAnsi="Times New Roman"/>
      <w:szCs w:val="24"/>
    </w:rPr>
  </w:style>
  <w:style w:type="paragraph" w:styleId="5">
    <w:name w:val="Body Text 2"/>
    <w:basedOn w:val="1"/>
    <w:unhideWhenUsed/>
    <w:qFormat/>
    <w:uiPriority w:val="0"/>
    <w:pPr>
      <w:spacing w:after="120" w:line="480" w:lineRule="auto"/>
    </w:pPr>
    <w:rPr>
      <w:rFonts w:ascii="Times New Roman" w:hAnsi="Times New Roman"/>
      <w:szCs w:val="24"/>
    </w:rPr>
  </w:style>
  <w:style w:type="paragraph" w:styleId="6">
    <w:name w:val="footer"/>
    <w:basedOn w:val="1"/>
    <w:autoRedefine/>
    <w:qFormat/>
    <w:uiPriority w:val="0"/>
    <w:pPr>
      <w:tabs>
        <w:tab w:val="center" w:pos="4153"/>
        <w:tab w:val="right" w:pos="8306"/>
      </w:tabs>
      <w:snapToGrid w:val="0"/>
      <w:jc w:val="left"/>
    </w:pPr>
    <w:rPr>
      <w:sz w:val="18"/>
      <w:szCs w:val="18"/>
    </w:rPr>
  </w:style>
  <w:style w:type="character" w:styleId="9">
    <w:name w:val="Emphasis"/>
    <w:basedOn w:val="8"/>
    <w:autoRedefine/>
    <w:qFormat/>
    <w:uiPriority w:val="0"/>
    <w:rPr>
      <w:i/>
    </w:rPr>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4287</Words>
  <Characters>4584</Characters>
  <Lines>0</Lines>
  <Paragraphs>0</Paragraphs>
  <TotalTime>6</TotalTime>
  <ScaleCrop>false</ScaleCrop>
  <LinksUpToDate>false</LinksUpToDate>
  <CharactersWithSpaces>5000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是小豹子</cp:lastModifiedBy>
  <cp:lastPrinted>2025-10-16T03:09:00Z</cp:lastPrinted>
  <dcterms:modified xsi:type="dcterms:W3CDTF">2025-10-20T00:55:12Z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722625534D90497EBDAB019CFBFCC4E1_13</vt:lpwstr>
  </property>
  <property fmtid="{D5CDD505-2E9C-101B-9397-08002B2CF9AE}" pid="4" name="KSOTemplateDocerSaveRecord">
    <vt:lpwstr>eyJoZGlkIjoiMWZlZTFiYjc0MWQ5NDVmYWY2MjM2ZmYwMGNiZDVmYzYiLCJ1c2VySWQiOiIzMDQ3NTQ4MDUifQ==</vt:lpwstr>
  </property>
</Properties>
</file>