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E77F">
      <w:pPr>
        <w:pStyle w:val="14"/>
        <w:snapToGrid w:val="0"/>
        <w:jc w:val="center"/>
        <w:rPr>
          <w:rFonts w:hint="eastAsia" w:ascii="Arial" w:hAnsi="Arial" w:eastAsia="方正小标宋简体" w:cs="Arial"/>
          <w:sz w:val="72"/>
          <w:szCs w:val="72"/>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（体态分析仪等一批医院公开挂网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体态分析仪等一批</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体态分析仪等一批</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F72F67E">
      <w:pPr>
        <w:pStyle w:val="14"/>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6B9F99DC">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10"/>
      </w:tblGrid>
      <w:tr w14:paraId="358F9B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25AD8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70E73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olor w:val="000000"/>
                <w:sz w:val="21"/>
                <w:szCs w:val="22"/>
              </w:rPr>
              <w:t>体态分析仪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spacing w:beforeLines="0" w:afterLines="0"/>
              <w:jc w:val="center"/>
              <w:rPr>
                <w:rFonts w:hint="eastAsia" w:asciiTheme="minorEastAsia" w:hAnsiTheme="minorEastAsia" w:eastAsiaTheme="minorEastAsia" w:cstheme="minorEastAsia"/>
                <w:kern w:val="2"/>
                <w:sz w:val="24"/>
                <w:szCs w:val="24"/>
                <w:lang w:val="en-US" w:eastAsia="zh-CN"/>
              </w:rPr>
            </w:pPr>
            <w:r>
              <w:rPr>
                <w:rFonts w:hint="eastAsia" w:ascii="宋体" w:hAnsi="宋体"/>
                <w:color w:val="000000"/>
                <w:sz w:val="21"/>
                <w:szCs w:val="22"/>
                <w:lang w:val="en-US" w:eastAsia="zh-CN"/>
              </w:rPr>
              <w:t>1</w:t>
            </w:r>
            <w:r>
              <w:rPr>
                <w:rFonts w:hint="eastAsia" w:ascii="宋体" w:hAnsi="宋体"/>
                <w:color w:val="000000"/>
                <w:sz w:val="21"/>
                <w:szCs w:val="22"/>
              </w:rPr>
              <w:t>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spacing w:beforeLines="0" w:afterLines="0"/>
              <w:jc w:val="center"/>
              <w:rPr>
                <w:rFonts w:hint="default" w:asciiTheme="minorEastAsia" w:hAnsiTheme="minorEastAsia" w:eastAsiaTheme="minorEastAsia" w:cstheme="minorEastAsia"/>
                <w:kern w:val="2"/>
                <w:sz w:val="24"/>
                <w:szCs w:val="24"/>
                <w:lang w:val="en-US" w:eastAsia="zh-CN"/>
              </w:rPr>
            </w:pPr>
            <w:r>
              <w:rPr>
                <w:rFonts w:hint="eastAsia" w:ascii="宋体" w:hAnsi="宋体"/>
                <w:color w:val="000000"/>
                <w:sz w:val="21"/>
                <w:szCs w:val="22"/>
                <w:lang w:val="en-US" w:eastAsia="zh-CN"/>
              </w:rPr>
              <w:t>29.2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8147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7BB8EB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B9A3D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6043F85">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olor w:val="000000"/>
                <w:sz w:val="21"/>
                <w:szCs w:val="22"/>
              </w:rPr>
              <w:t>经络导平治疗仪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B23A4A3">
            <w:pPr>
              <w:spacing w:beforeLines="0" w:afterLines="0"/>
              <w:jc w:val="center"/>
              <w:rPr>
                <w:rFonts w:hint="eastAsia" w:asciiTheme="minorEastAsia" w:hAnsiTheme="minorEastAsia" w:eastAsiaTheme="minorEastAsia" w:cstheme="minorEastAsia"/>
                <w:kern w:val="2"/>
                <w:sz w:val="24"/>
                <w:szCs w:val="24"/>
                <w:lang w:val="en-US" w:eastAsia="zh-CN"/>
              </w:rPr>
            </w:pPr>
            <w:r>
              <w:rPr>
                <w:rFonts w:hint="eastAsia" w:ascii="宋体" w:hAnsi="宋体"/>
                <w:color w:val="000000"/>
                <w:sz w:val="21"/>
                <w:szCs w:val="22"/>
                <w:lang w:val="en-US" w:eastAsia="zh-CN"/>
              </w:rPr>
              <w:t>2</w:t>
            </w:r>
            <w:r>
              <w:rPr>
                <w:rFonts w:hint="eastAsia" w:ascii="宋体" w:hAnsi="宋体"/>
                <w:color w:val="000000"/>
                <w:sz w:val="21"/>
                <w:szCs w:val="22"/>
              </w:rPr>
              <w:t>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699A3C9">
            <w:pPr>
              <w:spacing w:beforeLines="0" w:afterLines="0"/>
              <w:jc w:val="center"/>
              <w:rPr>
                <w:rFonts w:hint="eastAsia" w:asciiTheme="minorEastAsia" w:hAnsiTheme="minorEastAsia" w:eastAsiaTheme="minorEastAsia" w:cstheme="minorEastAsia"/>
                <w:kern w:val="2"/>
                <w:sz w:val="24"/>
                <w:szCs w:val="24"/>
                <w:lang w:val="en-US" w:eastAsia="zh-CN"/>
              </w:rPr>
            </w:pPr>
            <w:r>
              <w:rPr>
                <w:rFonts w:hint="eastAsia" w:ascii="宋体" w:hAnsi="宋体"/>
                <w:color w:val="000000"/>
                <w:sz w:val="21"/>
                <w:szCs w:val="22"/>
              </w:rPr>
              <w:t>2.8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7D241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7CA054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AC54D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AB65F26">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olor w:val="000000"/>
                <w:sz w:val="21"/>
                <w:szCs w:val="22"/>
              </w:rPr>
              <w:t>吞咽功能治疗仪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0C8227">
            <w:pPr>
              <w:spacing w:beforeLines="0" w:afterLines="0"/>
              <w:jc w:val="center"/>
              <w:rPr>
                <w:rFonts w:hint="eastAsia" w:asciiTheme="minorEastAsia" w:hAnsiTheme="minorEastAsia" w:eastAsiaTheme="minorEastAsia" w:cstheme="minorEastAsia"/>
                <w:kern w:val="2"/>
                <w:sz w:val="24"/>
                <w:szCs w:val="24"/>
                <w:lang w:val="en-US" w:eastAsia="zh-CN"/>
              </w:rPr>
            </w:pPr>
            <w:r>
              <w:rPr>
                <w:rFonts w:hint="eastAsia" w:ascii="宋体" w:hAnsi="宋体"/>
                <w:color w:val="000000"/>
                <w:sz w:val="21"/>
                <w:szCs w:val="22"/>
                <w:lang w:val="en-US" w:eastAsia="zh-CN"/>
              </w:rPr>
              <w:t>1</w:t>
            </w:r>
            <w:r>
              <w:rPr>
                <w:rFonts w:hint="eastAsia" w:ascii="宋体" w:hAnsi="宋体"/>
                <w:color w:val="000000"/>
                <w:sz w:val="21"/>
                <w:szCs w:val="22"/>
              </w:rPr>
              <w:t>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E5B4AA">
            <w:pPr>
              <w:spacing w:beforeLines="0" w:afterLines="0"/>
              <w:jc w:val="center"/>
              <w:rPr>
                <w:rFonts w:hint="eastAsia" w:asciiTheme="minorEastAsia" w:hAnsiTheme="minorEastAsia" w:eastAsiaTheme="minorEastAsia" w:cstheme="minorEastAsia"/>
                <w:kern w:val="2"/>
                <w:sz w:val="24"/>
                <w:szCs w:val="24"/>
                <w:lang w:val="en-US" w:eastAsia="zh-CN"/>
              </w:rPr>
            </w:pPr>
            <w:r>
              <w:rPr>
                <w:rFonts w:hint="eastAsia" w:ascii="宋体" w:hAnsi="宋体"/>
                <w:color w:val="000000"/>
                <w:sz w:val="21"/>
                <w:szCs w:val="22"/>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3E550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2533F8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81" w:hRule="atLeast"/>
          <w:jc w:val="center"/>
        </w:trPr>
        <w:tc>
          <w:tcPr>
            <w:tcW w:w="4993"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39D72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合计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18896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33</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2D1E2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14:paraId="61EF754B">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default" w:asciiTheme="minorEastAsia" w:hAnsiTheme="minorEastAsia" w:eastAsiaTheme="minorEastAsia" w:cstheme="minorEastAsia"/>
          <w:bCs/>
          <w:color w:val="auto"/>
          <w:kern w:val="0"/>
          <w:sz w:val="28"/>
          <w:szCs w:val="28"/>
          <w:lang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w:t>
      </w:r>
      <w:r>
        <w:rPr>
          <w:rFonts w:hint="default" w:asciiTheme="minorEastAsia" w:hAnsiTheme="minorEastAsia" w:eastAsiaTheme="minorEastAsia" w:cstheme="minorEastAsia"/>
          <w:bCs/>
          <w:color w:val="auto"/>
          <w:kern w:val="0"/>
          <w:sz w:val="28"/>
          <w:szCs w:val="28"/>
          <w:lang w:eastAsia="zh-CN" w:bidi="ar-SA"/>
        </w:rPr>
        <w:t>求</w:t>
      </w:r>
      <w:bookmarkStart w:id="5" w:name="_GoBack"/>
      <w:bookmarkEnd w:id="5"/>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2B65139">
      <w:pPr>
        <w:keepNext w:val="0"/>
        <w:keepLines w:val="0"/>
        <w:pageBreakBefore w:val="0"/>
        <w:kinsoku/>
        <w:wordWrap/>
        <w:overflowPunct/>
        <w:topLinePunct w:val="0"/>
        <w:autoSpaceDE/>
        <w:autoSpaceDN/>
        <w:bidi w:val="0"/>
        <w:adjustRightInd/>
        <w:snapToGrid/>
        <w:spacing w:line="0" w:lineRule="atLeast"/>
        <w:ind w:left="0" w:leftChars="0" w:firstLine="482" w:firstLineChars="200"/>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一、体态分析仪</w:t>
      </w:r>
    </w:p>
    <w:p w14:paraId="44422659">
      <w:pPr>
        <w:keepNext w:val="0"/>
        <w:keepLines w:val="0"/>
        <w:pageBreakBefore w:val="0"/>
        <w:kinsoku/>
        <w:wordWrap/>
        <w:overflowPunct/>
        <w:topLinePunct w:val="0"/>
        <w:autoSpaceDE/>
        <w:autoSpaceDN/>
        <w:bidi w:val="0"/>
        <w:adjustRightInd/>
        <w:snapToGrid/>
        <w:spacing w:line="276" w:lineRule="auto"/>
        <w:ind w:left="0" w:leftChars="0" w:firstLine="482" w:firstLineChars="200"/>
        <w:textAlignment w:val="auto"/>
        <w:rPr>
          <w:rFonts w:ascii="宋体" w:hAnsi="宋体" w:eastAsia="宋体" w:cs="宋体"/>
          <w:b/>
          <w:sz w:val="24"/>
          <w:szCs w:val="24"/>
        </w:rPr>
      </w:pPr>
      <w:r>
        <w:rPr>
          <w:rFonts w:hint="eastAsia" w:ascii="宋体" w:hAnsi="宋体" w:eastAsia="宋体" w:cs="宋体"/>
          <w:b/>
          <w:sz w:val="24"/>
          <w:szCs w:val="24"/>
        </w:rPr>
        <w:t>一、指标要求</w:t>
      </w:r>
    </w:p>
    <w:p w14:paraId="1AE2B48E">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可支持光脚和穿鞋状态下的足底压力数据实时采集和实时显示。</w:t>
      </w:r>
    </w:p>
    <w:p w14:paraId="70429051">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支持站立静态采集模式和步行动态采集模式来分析足底压力并进行综合评价。</w:t>
      </w:r>
    </w:p>
    <w:p w14:paraId="35CED0D9">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提供单足滚动周期的时间参数，并可细化5个关键节点将单足滚动期细分为4个阶段逐级分析。</w:t>
      </w:r>
    </w:p>
    <w:p w14:paraId="232A6AEC">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提供完善整足分区分析功能，可将整足划分为</w:t>
      </w:r>
      <w:r>
        <w:rPr>
          <w:rFonts w:hint="eastAsia" w:ascii="宋体" w:hAnsi="宋体" w:eastAsia="宋体" w:cs="宋体"/>
          <w:bCs/>
          <w:sz w:val="24"/>
          <w:szCs w:val="24"/>
          <w:lang w:val="en-US" w:eastAsia="zh-CN"/>
        </w:rPr>
        <w:t>不少于</w:t>
      </w:r>
      <w:r>
        <w:rPr>
          <w:rFonts w:hint="eastAsia" w:ascii="宋体" w:hAnsi="宋体" w:eastAsia="宋体" w:cs="宋体"/>
          <w:bCs/>
          <w:sz w:val="24"/>
          <w:szCs w:val="24"/>
        </w:rPr>
        <w:t>1</w:t>
      </w:r>
      <w:r>
        <w:rPr>
          <w:rFonts w:hint="eastAsia" w:ascii="宋体" w:hAnsi="宋体" w:eastAsia="宋体" w:cs="宋体"/>
          <w:bCs/>
          <w:sz w:val="24"/>
          <w:szCs w:val="24"/>
          <w:lang w:val="en-US" w:eastAsia="zh-CN"/>
        </w:rPr>
        <w:t>0</w:t>
      </w:r>
      <w:r>
        <w:rPr>
          <w:rFonts w:hint="eastAsia" w:ascii="宋体" w:hAnsi="宋体" w:eastAsia="宋体" w:cs="宋体"/>
          <w:bCs/>
          <w:sz w:val="24"/>
          <w:szCs w:val="24"/>
        </w:rPr>
        <w:t>个分区进行分析，独立提供分区数据，同时提供脚趾区、跖骨区、足弓区和足跟区4个整合分区独立计算推进力分析。</w:t>
      </w:r>
    </w:p>
    <w:p w14:paraId="73EDC4D0">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可提供静态足压分析功能，提供前、后、左、右不同方向足底压力分布情况、静态足弓指数、足弓类型、重心摆动速度、包络面积、椭球度等数据分析，可生成静态足压报告报告，可打印或导出为PDF文件。</w:t>
      </w:r>
    </w:p>
    <w:p w14:paraId="6887B8B4">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提供静态平衡分析功能，可显示双足站立睁眼/闭眼、单足站立睁眼/闭眼共六个动作的重心摆动平衡数据，显示分析每个动作重心摆动轨迹姿势，以及倾倒风险评估记录，显示双足站立时重心轨迹长度、包络面积、包络面积Romburg率,轨迹长度Romburg率等多项平衡指标，支持生成静态平衡分析报告，可直接打印或导出报告。</w:t>
      </w:r>
    </w:p>
    <w:p w14:paraId="6C658975">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可显示足弓指数，并提供正常足弓值范围。</w:t>
      </w:r>
    </w:p>
    <w:p w14:paraId="2BEF53B4">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可精细掌握受试者的压力中心实时变化情况，对压力中心轨迹移动动态分析。</w:t>
      </w:r>
    </w:p>
    <w:p w14:paraId="0EB778DD">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支持切换静态2D数据采集模式和3D数据采集模式，支持3D立体足印数据模型显示，支持3D足印数据自由预览。</w:t>
      </w:r>
    </w:p>
    <w:p w14:paraId="661A2BF1">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系统提供单足内外翻量化评估数据，可对单足滚动周期内后跟触地阶段、足中支持阶段和蹬伸离地阶段分别进行内外翻量化分析，提供曲线图表分析及正常范围参考。</w:t>
      </w:r>
    </w:p>
    <w:p w14:paraId="7FC5F733">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可为</w:t>
      </w:r>
      <w:r>
        <w:rPr>
          <w:rFonts w:hint="eastAsia" w:ascii="宋体" w:hAnsi="宋体" w:eastAsia="宋体" w:cs="宋体"/>
          <w:bCs/>
          <w:sz w:val="24"/>
          <w:szCs w:val="24"/>
        </w:rPr>
        <w:t>糖尿病足</w:t>
      </w:r>
      <w:r>
        <w:rPr>
          <w:rFonts w:hint="eastAsia" w:ascii="宋体" w:hAnsi="宋体" w:eastAsia="宋体" w:cs="宋体"/>
          <w:bCs/>
          <w:sz w:val="24"/>
          <w:szCs w:val="24"/>
          <w:lang w:val="en-US" w:eastAsia="zh-CN"/>
        </w:rPr>
        <w:t>判断提供数据</w:t>
      </w:r>
      <w:r>
        <w:rPr>
          <w:rFonts w:hint="eastAsia" w:ascii="宋体" w:hAnsi="宋体" w:eastAsia="宋体" w:cs="宋体"/>
          <w:bCs/>
          <w:sz w:val="24"/>
          <w:szCs w:val="24"/>
        </w:rPr>
        <w:t>，</w:t>
      </w:r>
      <w:r>
        <w:rPr>
          <w:rFonts w:hint="eastAsia" w:ascii="宋体" w:hAnsi="宋体" w:eastAsia="宋体" w:cs="宋体"/>
          <w:bCs/>
          <w:sz w:val="24"/>
          <w:szCs w:val="24"/>
          <w:lang w:val="en-US" w:eastAsia="zh-CN"/>
        </w:rPr>
        <w:t>供医师参考治疗。</w:t>
      </w:r>
    </w:p>
    <w:p w14:paraId="69FCEFAB">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可以采集足底压力参数，</w:t>
      </w:r>
      <w:r>
        <w:rPr>
          <w:rFonts w:hint="eastAsia" w:ascii="宋体" w:hAnsi="宋体" w:eastAsia="宋体" w:cs="宋体"/>
          <w:bCs/>
          <w:sz w:val="24"/>
          <w:szCs w:val="24"/>
        </w:rPr>
        <w:t>供矫形鞋垫</w:t>
      </w:r>
      <w:r>
        <w:rPr>
          <w:rFonts w:hint="eastAsia" w:ascii="宋体" w:hAnsi="宋体" w:eastAsia="宋体" w:cs="宋体"/>
          <w:bCs/>
          <w:sz w:val="24"/>
          <w:szCs w:val="24"/>
          <w:lang w:val="en-US" w:eastAsia="zh-CN"/>
        </w:rPr>
        <w:t>进行</w:t>
      </w:r>
      <w:r>
        <w:rPr>
          <w:rFonts w:hint="eastAsia" w:ascii="宋体" w:hAnsi="宋体" w:eastAsia="宋体" w:cs="宋体"/>
          <w:bCs/>
          <w:sz w:val="24"/>
          <w:szCs w:val="24"/>
        </w:rPr>
        <w:t>设计。</w:t>
      </w:r>
    </w:p>
    <w:p w14:paraId="5D5EDCCC">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可对单足多次测试数据进行压力值平均拟合分析，也可对多次测试数据进行接触面积的平均拟合分析，同时提供左右两足在拟合数据和单次测量数据的对比功能。</w:t>
      </w:r>
    </w:p>
    <w:p w14:paraId="067D411E">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数据打印输出中文报告，同时支持测试分析页面的打印输出。</w:t>
      </w:r>
    </w:p>
    <w:p w14:paraId="3337701C">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已获得由CFDA颁发的二类医疗器械注册证。</w:t>
      </w:r>
    </w:p>
    <w:p w14:paraId="71C4A494">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系统采用双目相机识别身体关节点，无放射性、无任何对身体有害的辐射，测试方式需采用无接触性测试，被测者无需脱衣。</w:t>
      </w:r>
    </w:p>
    <w:p w14:paraId="5C72D944">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系统提供静态姿势评估功能，静态身体姿态的数据的分析至少包括正面图、侧面图</w:t>
      </w:r>
      <w:r>
        <w:rPr>
          <w:rFonts w:hint="eastAsia" w:ascii="宋体" w:hAnsi="宋体" w:cs="宋体"/>
          <w:bCs/>
          <w:sz w:val="24"/>
          <w:szCs w:val="24"/>
          <w:lang w:eastAsia="zh-CN"/>
        </w:rPr>
        <w:t>、</w:t>
      </w:r>
      <w:r>
        <w:rPr>
          <w:rFonts w:hint="eastAsia" w:ascii="宋体" w:hAnsi="宋体" w:eastAsia="宋体" w:cs="宋体"/>
          <w:bCs/>
          <w:sz w:val="24"/>
          <w:szCs w:val="24"/>
        </w:rPr>
        <w:t>背面图，通过人体模型算法，系统可自动识别不少于25个人体关节节点骨性标志点的位置信息，至少包括：肩关节、肘关节、腕关节、髋关节、膝关节、踝关节等。</w:t>
      </w:r>
    </w:p>
    <w:p w14:paraId="12CAD96F">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系统提供4种快捷评估模式的选择，</w:t>
      </w:r>
      <w:r>
        <w:rPr>
          <w:rFonts w:hint="eastAsia" w:ascii="宋体" w:hAnsi="宋体" w:eastAsia="宋体" w:cs="宋体"/>
          <w:bCs/>
          <w:sz w:val="24"/>
          <w:szCs w:val="24"/>
          <w:lang w:val="en-US" w:eastAsia="zh-CN"/>
        </w:rPr>
        <w:t>结合静态姿势评估和动态姿势评估，</w:t>
      </w:r>
      <w:r>
        <w:rPr>
          <w:rFonts w:hint="eastAsia" w:ascii="宋体" w:hAnsi="宋体" w:eastAsia="宋体" w:cs="宋体"/>
          <w:bCs/>
          <w:sz w:val="24"/>
          <w:szCs w:val="24"/>
        </w:rPr>
        <w:t>根据不同细致程度的筛查活动设计单一和交叉项目的检测流程，快捷评估模式至少包括：快速评估、多维评估、腿姿评估及脊柱活动度评估</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其中脊柱活动度评估模式可动态评估脊柱功能活动度情况，含多个方向的活动度测量</w:t>
      </w:r>
      <w:r>
        <w:rPr>
          <w:rFonts w:hint="eastAsia" w:ascii="宋体" w:hAnsi="宋体" w:eastAsia="宋体" w:cs="宋体"/>
          <w:bCs/>
          <w:sz w:val="24"/>
          <w:szCs w:val="24"/>
        </w:rPr>
        <w:t>。</w:t>
      </w:r>
    </w:p>
    <w:p w14:paraId="4879B287">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提供7组不同身体部位水平对称度的评估，包括双眼水平，双耳水平，双肩水平，肩胛骨下缘水平，盆骨水平，双膝水平，双踝水平，系统需提供不少于2组身体直立倾斜度的评估，包括冠状面倾斜度以及矢状面倾斜度。</w:t>
      </w:r>
    </w:p>
    <w:p w14:paraId="3901FAD1">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系统提供不少于4种体位测试模式，包括：站立测试，坐位测试，侧屈测试以及体前屈测试，其中体前屈测试模式需提供躯干旋转角（ATR角）的测试功能</w:t>
      </w:r>
    </w:p>
    <w:p w14:paraId="1547C139">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系统提供盆骨冠状面和矢状面倾斜程度的测试功能，同时提供下肢腿型及踝关节形态的测试功能，可用于腿型的评价以及足部形态的功能，可观察和检测足内翻和足外翻</w:t>
      </w:r>
    </w:p>
    <w:p w14:paraId="7445A969">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系统支持受试者档案信息的早期统计功能，支持筛查活动前受试者信息提前编辑和批量录入。</w:t>
      </w:r>
    </w:p>
    <w:p w14:paraId="3C38DD5B">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各项评估支持数据编辑时图像的缩放、移动，支持标记点的上下左右精确移动，便于精确定位关节点。</w:t>
      </w:r>
    </w:p>
    <w:p w14:paraId="2C18BD80">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系统支持数据统计和数据对比功能，提供批量数据的数据统计，展现方式包括柱状图,饼状图或曲线图的方式，提供不同测试时间前后双组或多组数据的对比，并提供差值变化量等对比分析功能</w:t>
      </w:r>
    </w:p>
    <w:p w14:paraId="2CC1B524">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系统支持原始数据、对比数据及统计数据的导出，导出格式包括数据表格及图片，系统提供核心计算引擎，可自动对测试数据进行体态分析结果的判定，并支持评估指标的手动修正。</w:t>
      </w:r>
    </w:p>
    <w:p w14:paraId="2CD50327">
      <w:pPr>
        <w:pStyle w:val="18"/>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系统提供自定义打印及数据输出功能，根据用户需要选择测试项目打印或导出数据。</w:t>
      </w:r>
    </w:p>
    <w:p w14:paraId="12DD038C">
      <w:pPr>
        <w:pStyle w:val="1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rPr>
      </w:pPr>
      <w:r>
        <w:rPr>
          <w:rFonts w:hint="eastAsia" w:ascii="宋体" w:hAnsi="宋体" w:eastAsia="宋体" w:cs="宋体"/>
          <w:sz w:val="24"/>
          <w:szCs w:val="24"/>
        </w:rPr>
        <w:t>二、技术要求</w:t>
      </w:r>
    </w:p>
    <w:p w14:paraId="47D38D87">
      <w:pPr>
        <w:keepNext w:val="0"/>
        <w:keepLines w:val="0"/>
        <w:pageBreakBefore w:val="0"/>
        <w:numPr>
          <w:ilvl w:val="0"/>
          <w:numId w:val="4"/>
        </w:numPr>
        <w:kinsoku/>
        <w:wordWrap/>
        <w:overflowPunct/>
        <w:topLinePunct w:val="0"/>
        <w:autoSpaceDE/>
        <w:autoSpaceDN/>
        <w:bidi w:val="0"/>
        <w:adjustRightInd/>
        <w:snapToGrid/>
        <w:spacing w:line="276"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有效采集区域长度≥</w:t>
      </w:r>
      <w:r>
        <w:rPr>
          <w:rFonts w:hint="eastAsia" w:ascii="宋体" w:hAnsi="宋体" w:eastAsia="宋体" w:cs="宋体"/>
          <w:sz w:val="24"/>
          <w:szCs w:val="24"/>
          <w:highlight w:val="none"/>
          <w:lang w:val="en-US" w:eastAsia="zh-CN"/>
        </w:rPr>
        <w:t>30.5</w:t>
      </w:r>
      <w:r>
        <w:rPr>
          <w:rFonts w:hint="eastAsia" w:ascii="宋体" w:hAnsi="宋体" w:eastAsia="宋体" w:cs="宋体"/>
          <w:sz w:val="24"/>
          <w:szCs w:val="24"/>
          <w:highlight w:val="none"/>
        </w:rPr>
        <w:t>cm，有效采集区域宽度≥</w:t>
      </w:r>
      <w:r>
        <w:rPr>
          <w:rFonts w:hint="eastAsia" w:ascii="宋体" w:hAnsi="宋体" w:eastAsia="宋体" w:cs="宋体"/>
          <w:sz w:val="24"/>
          <w:szCs w:val="24"/>
          <w:highlight w:val="none"/>
          <w:lang w:val="en-US" w:eastAsia="zh-CN"/>
        </w:rPr>
        <w:t>36.4</w:t>
      </w:r>
      <w:r>
        <w:rPr>
          <w:rFonts w:hint="eastAsia" w:ascii="宋体" w:hAnsi="宋体" w:eastAsia="宋体" w:cs="宋体"/>
          <w:sz w:val="24"/>
          <w:szCs w:val="24"/>
          <w:highlight w:val="none"/>
        </w:rPr>
        <w:t>cm，整体长度≥</w:t>
      </w: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cm，整体宽度≥</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cm</w:t>
      </w:r>
    </w:p>
    <w:p w14:paraId="76810590">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传感器数量：≥2288个</w:t>
      </w:r>
    </w:p>
    <w:p w14:paraId="03D185B6">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传感器密度：≥4个/cm²</w:t>
      </w:r>
    </w:p>
    <w:p w14:paraId="2F85ABCC">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采集频率≥400</w:t>
      </w:r>
      <w:r>
        <w:rPr>
          <w:rFonts w:hint="eastAsia" w:ascii="宋体" w:hAnsi="宋体" w:eastAsia="宋体" w:cs="宋体"/>
          <w:bCs/>
          <w:sz w:val="24"/>
          <w:szCs w:val="24"/>
          <w:lang w:val="en-US" w:eastAsia="zh-CN"/>
        </w:rPr>
        <w:t>fps</w:t>
      </w:r>
    </w:p>
    <w:p w14:paraId="3606C41E">
      <w:pPr>
        <w:keepNext w:val="0"/>
        <w:keepLines w:val="0"/>
        <w:pageBreakBefore w:val="0"/>
        <w:numPr>
          <w:ilvl w:val="0"/>
          <w:numId w:val="4"/>
        </w:numPr>
        <w:kinsoku/>
        <w:wordWrap/>
        <w:overflowPunct/>
        <w:topLinePunct w:val="0"/>
        <w:autoSpaceDE/>
        <w:autoSpaceDN/>
        <w:bidi w:val="0"/>
        <w:adjustRightInd/>
        <w:snapToGrid/>
        <w:spacing w:line="276"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最大量程：</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150kg</w:t>
      </w:r>
    </w:p>
    <w:p w14:paraId="67616A27">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力测量精准度误差率≤最大量程的±2%</w:t>
      </w:r>
    </w:p>
    <w:p w14:paraId="5EDA36C3">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双目影像捕捉系统：系统采集频率≥10hz，分辨率960*1280；设备重量≤3kg</w:t>
      </w:r>
    </w:p>
    <w:p w14:paraId="20C5F463">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双目影像捕捉系统：采用USB3.0通讯和供电，设备电流400mA，功率2W</w:t>
      </w:r>
    </w:p>
    <w:p w14:paraId="35B3C879">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双目影像捕捉系统：垂直视角≥43°，水平视角≥33°</w:t>
      </w:r>
    </w:p>
    <w:p w14:paraId="3B3B1BC9">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双目影像捕捉系统：双目拍照同步时间相差≤1ms</w:t>
      </w:r>
    </w:p>
    <w:p w14:paraId="21E07DAD">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设备</w:t>
      </w:r>
      <w:r>
        <w:rPr>
          <w:rFonts w:hint="eastAsia" w:ascii="宋体" w:hAnsi="宋体" w:eastAsia="宋体" w:cs="宋体"/>
          <w:bCs/>
          <w:sz w:val="24"/>
          <w:szCs w:val="24"/>
        </w:rPr>
        <w:t>具有升降功能，可根据测试者的身高</w:t>
      </w:r>
      <w:r>
        <w:rPr>
          <w:rFonts w:hint="eastAsia" w:ascii="宋体" w:hAnsi="宋体" w:eastAsia="宋体" w:cs="宋体"/>
          <w:bCs/>
          <w:sz w:val="24"/>
          <w:szCs w:val="24"/>
          <w:lang w:val="en-US" w:eastAsia="zh-CN"/>
        </w:rPr>
        <w:t>通过设备或遥控器</w:t>
      </w:r>
      <w:r>
        <w:rPr>
          <w:rFonts w:hint="eastAsia" w:ascii="宋体" w:hAnsi="宋体" w:eastAsia="宋体" w:cs="宋体"/>
          <w:bCs/>
          <w:sz w:val="24"/>
          <w:szCs w:val="24"/>
        </w:rPr>
        <w:t>调节</w:t>
      </w:r>
      <w:r>
        <w:rPr>
          <w:rFonts w:hint="eastAsia" w:ascii="宋体" w:hAnsi="宋体" w:eastAsia="宋体" w:cs="宋体"/>
          <w:bCs/>
          <w:sz w:val="24"/>
          <w:szCs w:val="24"/>
          <w:lang w:val="en-US" w:eastAsia="zh-CN"/>
        </w:rPr>
        <w:t>高度</w:t>
      </w:r>
      <w:r>
        <w:rPr>
          <w:rFonts w:hint="eastAsia" w:ascii="宋体" w:hAnsi="宋体" w:eastAsia="宋体" w:cs="宋体"/>
          <w:bCs/>
          <w:sz w:val="24"/>
          <w:szCs w:val="24"/>
        </w:rPr>
        <w:t>。</w:t>
      </w:r>
    </w:p>
    <w:p w14:paraId="30CC1EED">
      <w:pPr>
        <w:pStyle w:val="18"/>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服务器：Intel 酷睿i</w:t>
      </w:r>
      <w:r>
        <w:rPr>
          <w:rFonts w:hint="eastAsia" w:ascii="宋体" w:hAnsi="宋体" w:cs="宋体"/>
          <w:bCs/>
          <w:sz w:val="24"/>
          <w:szCs w:val="24"/>
          <w:lang w:val="en-US" w:eastAsia="zh-CN"/>
        </w:rPr>
        <w:t>7</w:t>
      </w:r>
      <w:r>
        <w:rPr>
          <w:rFonts w:hint="eastAsia" w:ascii="宋体" w:hAnsi="宋体" w:eastAsia="宋体" w:cs="宋体"/>
          <w:bCs/>
          <w:sz w:val="24"/>
          <w:szCs w:val="24"/>
        </w:rPr>
        <w:t>以上CPU，内存≥8G ，硬盘≥500G，配备独立显卡</w:t>
      </w:r>
    </w:p>
    <w:p w14:paraId="4A75E2DF">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sz w:val="24"/>
          <w:szCs w:val="24"/>
        </w:rPr>
      </w:pPr>
      <w:r>
        <w:rPr>
          <w:rFonts w:hint="eastAsia" w:ascii="仿宋" w:hAnsi="仿宋" w:eastAsia="仿宋" w:cs="仿宋"/>
          <w:sz w:val="24"/>
          <w:szCs w:val="24"/>
        </w:rPr>
        <w:t>★</w:t>
      </w:r>
      <w:r>
        <w:rPr>
          <w:sz w:val="24"/>
          <w:szCs w:val="24"/>
        </w:rPr>
        <w:t>三</w:t>
      </w:r>
      <w:r>
        <w:rPr>
          <w:rFonts w:hint="eastAsia"/>
          <w:sz w:val="24"/>
          <w:szCs w:val="24"/>
        </w:rPr>
        <w:t>、</w:t>
      </w:r>
      <w:r>
        <w:rPr>
          <w:sz w:val="24"/>
          <w:szCs w:val="24"/>
        </w:rPr>
        <w:t>配置要求</w:t>
      </w:r>
    </w:p>
    <w:p w14:paraId="236C9501">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1.足底压力平板               1台</w:t>
      </w:r>
    </w:p>
    <w:p w14:paraId="4A0DAEA6">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2.步态及平衡分析软件         1套</w:t>
      </w:r>
    </w:p>
    <w:p w14:paraId="06A7866C">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3.数据线和电源线             2套</w:t>
      </w:r>
    </w:p>
    <w:p w14:paraId="76FB1B7F">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4.定制EVA跑道               1套</w:t>
      </w:r>
    </w:p>
    <w:p w14:paraId="73FF7877">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5.说明书                     2本</w:t>
      </w:r>
    </w:p>
    <w:p w14:paraId="7D3D37CE">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6.铝合金航空箱               1套</w:t>
      </w:r>
    </w:p>
    <w:p w14:paraId="40F35CD0">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7.双目影像捕捉系统           1台</w:t>
      </w:r>
    </w:p>
    <w:p w14:paraId="3FD4E921">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8.专用测试服务器             1台</w:t>
      </w:r>
    </w:p>
    <w:p w14:paraId="40AFBE33">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9.分析软件                   1套</w:t>
      </w:r>
    </w:p>
    <w:p w14:paraId="6294C32B">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10.专业测试幕布              1套</w:t>
      </w:r>
    </w:p>
    <w:p w14:paraId="528EAE9C">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lang w:val="en-US" w:eastAsia="zh-CN"/>
        </w:rPr>
      </w:pPr>
      <w:r>
        <w:rPr>
          <w:rFonts w:hint="eastAsia"/>
          <w:sz w:val="24"/>
          <w:szCs w:val="24"/>
          <w:lang w:val="en-US" w:eastAsia="zh-CN"/>
        </w:rPr>
        <w:t>11.专业定位地垫              1套</w:t>
      </w:r>
    </w:p>
    <w:p w14:paraId="5B8BF814">
      <w:pPr>
        <w:keepNext w:val="0"/>
        <w:keepLines w:val="0"/>
        <w:pageBreakBefore w:val="0"/>
        <w:kinsoku/>
        <w:wordWrap/>
        <w:overflowPunct/>
        <w:topLinePunct w:val="0"/>
        <w:autoSpaceDE/>
        <w:autoSpaceDN/>
        <w:bidi w:val="0"/>
        <w:adjustRightInd/>
        <w:snapToGrid/>
        <w:spacing w:line="0" w:lineRule="atLeast"/>
        <w:ind w:left="0" w:leftChars="0" w:firstLine="480" w:firstLineChars="200"/>
        <w:textAlignment w:val="auto"/>
        <w:rPr>
          <w:rFonts w:hint="eastAsia"/>
          <w:sz w:val="24"/>
          <w:szCs w:val="24"/>
        </w:rPr>
      </w:pPr>
      <w:r>
        <w:rPr>
          <w:rFonts w:hint="eastAsia"/>
          <w:sz w:val="24"/>
          <w:szCs w:val="24"/>
          <w:lang w:val="en-US" w:eastAsia="zh-CN"/>
        </w:rPr>
        <w:t>12</w:t>
      </w:r>
      <w:r>
        <w:rPr>
          <w:rFonts w:hint="eastAsia"/>
          <w:sz w:val="24"/>
          <w:szCs w:val="24"/>
        </w:rPr>
        <w:t>.台车（带电脑）            1套</w:t>
      </w:r>
    </w:p>
    <w:p w14:paraId="18C590A8">
      <w:pPr>
        <w:keepNext w:val="0"/>
        <w:keepLines w:val="0"/>
        <w:pageBreakBefore w:val="0"/>
        <w:kinsoku/>
        <w:wordWrap/>
        <w:overflowPunct/>
        <w:topLinePunct w:val="0"/>
        <w:autoSpaceDE/>
        <w:autoSpaceDN/>
        <w:bidi w:val="0"/>
        <w:adjustRightInd/>
        <w:snapToGrid/>
        <w:spacing w:line="276" w:lineRule="auto"/>
        <w:ind w:left="0" w:leftChars="0" w:firstLine="480" w:firstLineChars="200"/>
        <w:textAlignment w:val="auto"/>
        <w:rPr>
          <w:rFonts w:hint="eastAsia"/>
          <w:sz w:val="24"/>
          <w:szCs w:val="24"/>
        </w:rPr>
      </w:pPr>
    </w:p>
    <w:p w14:paraId="2D2FFE64">
      <w:pPr>
        <w:keepNext w:val="0"/>
        <w:keepLines w:val="0"/>
        <w:pageBreakBefore w:val="0"/>
        <w:kinsoku/>
        <w:wordWrap/>
        <w:overflowPunct/>
        <w:topLinePunct w:val="0"/>
        <w:autoSpaceDE/>
        <w:autoSpaceDN/>
        <w:bidi w:val="0"/>
        <w:adjustRightInd/>
        <w:snapToGrid/>
        <w:spacing w:line="0" w:lineRule="atLeast"/>
        <w:ind w:left="0" w:leftChars="0"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经络导平治疗仪</w:t>
      </w:r>
    </w:p>
    <w:p w14:paraId="7F9B921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default" w:eastAsiaTheme="minorEastAsia"/>
          <w:b w:val="0"/>
          <w:bCs w:val="0"/>
          <w:sz w:val="24"/>
          <w:szCs w:val="24"/>
          <w:lang w:val="en-US" w:eastAsia="zh-CN"/>
        </w:rPr>
      </w:pPr>
      <w:r>
        <w:rPr>
          <w:rFonts w:hint="eastAsia"/>
          <w:b w:val="0"/>
          <w:bCs w:val="0"/>
          <w:sz w:val="24"/>
          <w:szCs w:val="24"/>
          <w:lang w:val="en-US" w:eastAsia="zh-CN"/>
        </w:rPr>
        <w:t>技术性能指标：</w:t>
      </w:r>
    </w:p>
    <w:p w14:paraId="2059EC5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b w:val="0"/>
          <w:bCs w:val="0"/>
          <w:sz w:val="24"/>
          <w:szCs w:val="24"/>
        </w:rPr>
      </w:pPr>
      <w:r>
        <w:rPr>
          <w:rFonts w:hint="eastAsia"/>
          <w:b w:val="0"/>
          <w:bCs w:val="0"/>
          <w:sz w:val="24"/>
          <w:szCs w:val="24"/>
        </w:rPr>
        <w:t>1、神经系统：小儿脑瘫、脑萎缩、面瘫、面神经痉挛、中风后遗症、动脉侧索硬化、小脑共济失调、植物状态人、失眠、多发性神经炎等。</w:t>
      </w:r>
    </w:p>
    <w:p w14:paraId="4049E734">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ascii="宋体" w:hAnsi="宋体" w:cs="Arial"/>
          <w:b w:val="0"/>
          <w:bCs w:val="0"/>
          <w:color w:val="000000"/>
          <w:kern w:val="0"/>
          <w:sz w:val="24"/>
          <w:szCs w:val="24"/>
          <w:lang w:eastAsia="zh-CN"/>
        </w:rPr>
      </w:pPr>
      <w:r>
        <w:rPr>
          <w:rFonts w:hint="eastAsia"/>
          <w:b w:val="0"/>
          <w:bCs w:val="0"/>
          <w:sz w:val="24"/>
          <w:szCs w:val="24"/>
        </w:rPr>
        <w:t>2、运动系统：如颈腰椎病、肩周炎、腰肌劳损、关节炎、类风关、腓肠肌痉挛、进行性肌营养不良、急慢性软组织挫伤等。</w:t>
      </w:r>
    </w:p>
    <w:p w14:paraId="289B13C0">
      <w:pPr>
        <w:pStyle w:val="8"/>
        <w:keepNext w:val="0"/>
        <w:keepLines w:val="0"/>
        <w:pageBreakBefore w:val="0"/>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b w:val="0"/>
          <w:bCs w:val="0"/>
          <w:sz w:val="24"/>
          <w:szCs w:val="24"/>
        </w:rPr>
      </w:pPr>
      <w:r>
        <w:rPr>
          <w:rFonts w:hint="eastAsia"/>
          <w:b w:val="0"/>
          <w:bCs w:val="0"/>
          <w:sz w:val="24"/>
          <w:szCs w:val="24"/>
          <w:lang w:val="en-US" w:eastAsia="zh-CN"/>
        </w:rPr>
        <w:t>3、</w:t>
      </w:r>
      <w:r>
        <w:rPr>
          <w:rFonts w:hint="eastAsia"/>
          <w:b w:val="0"/>
          <w:bCs w:val="0"/>
          <w:sz w:val="24"/>
          <w:szCs w:val="24"/>
        </w:rPr>
        <w:t>主要性能及技术指标</w:t>
      </w:r>
    </w:p>
    <w:p w14:paraId="472D912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lang w:val="en-US" w:eastAsia="zh-CN"/>
        </w:rPr>
        <w:t>3.</w:t>
      </w:r>
      <w:r>
        <w:rPr>
          <w:rFonts w:hint="eastAsia"/>
          <w:sz w:val="24"/>
          <w:szCs w:val="24"/>
        </w:rPr>
        <w:t>1.电压：0-5000V；</w:t>
      </w:r>
    </w:p>
    <w:p w14:paraId="50474E6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lang w:val="en-US" w:eastAsia="zh-CN"/>
        </w:rPr>
        <w:t>3.</w:t>
      </w:r>
      <w:r>
        <w:rPr>
          <w:rFonts w:hint="eastAsia"/>
          <w:sz w:val="24"/>
          <w:szCs w:val="24"/>
        </w:rPr>
        <w:t>2.频率：0.5-60Hz；</w:t>
      </w:r>
    </w:p>
    <w:p w14:paraId="6E9585D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lang w:val="en-US" w:eastAsia="zh-CN"/>
        </w:rPr>
        <w:t>3.</w:t>
      </w:r>
      <w:r>
        <w:rPr>
          <w:rFonts w:hint="eastAsia"/>
          <w:sz w:val="24"/>
          <w:szCs w:val="24"/>
        </w:rPr>
        <w:t>3.脉宽：0.4-2.2ms；</w:t>
      </w:r>
    </w:p>
    <w:p w14:paraId="629A01E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4.自增功能：最大到1000V（头面）、最大到2000V（肢体）、最大到3000V（躯干）</w:t>
      </w:r>
      <w:r>
        <w:rPr>
          <w:rFonts w:hint="eastAsia"/>
          <w:sz w:val="24"/>
          <w:szCs w:val="24"/>
          <w:lang w:eastAsia="zh-CN"/>
        </w:rPr>
        <w:t>、</w:t>
      </w:r>
      <w:r>
        <w:rPr>
          <w:rFonts w:hint="eastAsia"/>
          <w:sz w:val="24"/>
          <w:szCs w:val="24"/>
        </w:rPr>
        <w:t>最大到5000V（截瘫）；</w:t>
      </w:r>
    </w:p>
    <w:p w14:paraId="45857544">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lang w:val="en-US" w:eastAsia="zh-CN"/>
        </w:rPr>
        <w:t>5、</w:t>
      </w:r>
      <w:r>
        <w:rPr>
          <w:rFonts w:hint="eastAsia"/>
          <w:sz w:val="24"/>
          <w:szCs w:val="24"/>
        </w:rPr>
        <w:t>浪涌：头面部和肢体有浪涌治疗功能；</w:t>
      </w:r>
    </w:p>
    <w:p w14:paraId="6D47A981">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6.极性：正极性、负极性、交替（60秒自动切换一次）；</w:t>
      </w:r>
    </w:p>
    <w:p w14:paraId="05C08A3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7、全电脑控制，记忆功能，硅橡胶轻触按键中英文标注（内置指示灯）；</w:t>
      </w:r>
    </w:p>
    <w:p w14:paraId="121461D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8、不低于四参数LED数码显示；</w:t>
      </w:r>
    </w:p>
    <w:p w14:paraId="5E02320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9、治疗频率选择≥3组，且可自由调节；</w:t>
      </w:r>
    </w:p>
    <w:p w14:paraId="2B3F032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10、强度0-99/自增调节0—255级；强度可从“0”逐渐调至最大；</w:t>
      </w:r>
    </w:p>
    <w:p w14:paraId="5FBB46A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11、输出极性为双模式：极性手动转换、可选极性自动转换；</w:t>
      </w:r>
    </w:p>
    <w:p w14:paraId="4D39469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12、治疗输出13路26通道；</w:t>
      </w:r>
      <w:r>
        <w:rPr>
          <w:rFonts w:hint="eastAsia" w:ascii="宋体" w:hAnsi="宋体" w:cs="宋体"/>
          <w:kern w:val="0"/>
          <w:sz w:val="24"/>
          <w:szCs w:val="24"/>
        </w:rPr>
        <w:t>可同时治疗两人或一人多部位治疗</w:t>
      </w:r>
    </w:p>
    <w:p w14:paraId="7461FC7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13、宽范围低电压稳压装置；</w:t>
      </w:r>
    </w:p>
    <w:p w14:paraId="0C6316E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14、定时工作，倒计数计时，</w:t>
      </w:r>
      <w:r>
        <w:rPr>
          <w:rFonts w:hint="eastAsia"/>
          <w:sz w:val="24"/>
          <w:szCs w:val="24"/>
          <w:lang w:val="en-US" w:eastAsia="zh-CN"/>
        </w:rPr>
        <w:t>5</w:t>
      </w:r>
      <w:r>
        <w:rPr>
          <w:rFonts w:hint="eastAsia"/>
          <w:sz w:val="24"/>
          <w:szCs w:val="24"/>
        </w:rPr>
        <w:t>~60分钟可设定。</w:t>
      </w:r>
    </w:p>
    <w:p w14:paraId="4DAA6C6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trike/>
          <w:dstrike w:val="0"/>
          <w:sz w:val="24"/>
          <w:szCs w:val="24"/>
        </w:rPr>
      </w:pPr>
      <w:r>
        <w:rPr>
          <w:rFonts w:hint="eastAsia"/>
          <w:sz w:val="24"/>
          <w:szCs w:val="24"/>
          <w:lang w:val="en-US" w:eastAsia="zh-CN"/>
        </w:rPr>
        <w:t>15、</w:t>
      </w:r>
      <w:r>
        <w:rPr>
          <w:rFonts w:hint="eastAsia"/>
          <w:sz w:val="24"/>
          <w:szCs w:val="24"/>
        </w:rPr>
        <w:t>该产品通过ISO9001、ISO13485质量体系认证；</w:t>
      </w:r>
    </w:p>
    <w:p w14:paraId="08038087">
      <w:pPr>
        <w:keepNext w:val="0"/>
        <w:keepLines w:val="0"/>
        <w:pageBreakBefore w:val="0"/>
        <w:widowControl/>
        <w:kinsoku/>
        <w:wordWrap/>
        <w:overflowPunct/>
        <w:topLinePunct w:val="0"/>
        <w:autoSpaceDE/>
        <w:autoSpaceDN/>
        <w:bidi w:val="0"/>
        <w:adjustRightInd/>
        <w:snapToGrid/>
        <w:spacing w:line="0" w:lineRule="atLeast"/>
        <w:ind w:left="0" w:leftChars="0" w:firstLine="482" w:firstLineChars="200"/>
        <w:jc w:val="both"/>
        <w:textAlignment w:val="auto"/>
        <w:rPr>
          <w:rFonts w:hint="eastAsia" w:ascii="宋体" w:hAnsi="宋体" w:cs="Arial"/>
          <w:b/>
          <w:color w:val="000000"/>
          <w:kern w:val="0"/>
          <w:sz w:val="24"/>
          <w:szCs w:val="24"/>
        </w:rPr>
      </w:pPr>
    </w:p>
    <w:p w14:paraId="5ED2439E">
      <w:pPr>
        <w:keepNext w:val="0"/>
        <w:keepLines w:val="0"/>
        <w:pageBreakBefore w:val="0"/>
        <w:kinsoku/>
        <w:wordWrap/>
        <w:overflowPunct/>
        <w:topLinePunct w:val="0"/>
        <w:autoSpaceDE/>
        <w:autoSpaceDN/>
        <w:bidi w:val="0"/>
        <w:adjustRightInd/>
        <w:snapToGrid/>
        <w:spacing w:line="0" w:lineRule="atLeast"/>
        <w:ind w:left="0" w:leftChars="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三、吞咽功能治疗仪</w:t>
      </w:r>
    </w:p>
    <w:p w14:paraId="3676E6CD">
      <w:pPr>
        <w:keepNext w:val="0"/>
        <w:keepLines w:val="0"/>
        <w:pageBreakBefore w:val="0"/>
        <w:kinsoku/>
        <w:wordWrap/>
        <w:overflowPunct/>
        <w:topLinePunct w:val="0"/>
        <w:autoSpaceDE/>
        <w:autoSpaceDN/>
        <w:bidi w:val="0"/>
        <w:adjustRightInd/>
        <w:snapToGrid/>
        <w:spacing w:line="0" w:lineRule="atLeast"/>
        <w:ind w:left="0" w:leftChars="0" w:firstLine="482" w:firstLineChars="200"/>
        <w:textAlignment w:val="auto"/>
        <w:rPr>
          <w:rFonts w:hint="eastAsia" w:ascii="微软雅黑" w:hAnsi="微软雅黑" w:eastAsia="微软雅黑" w:cs="微软雅黑"/>
          <w:b/>
          <w:sz w:val="24"/>
          <w:szCs w:val="24"/>
        </w:rPr>
      </w:pPr>
      <w:r>
        <w:rPr>
          <w:rFonts w:hint="eastAsia" w:ascii="宋体" w:hAnsi="宋体" w:eastAsia="宋体" w:cs="宋体"/>
          <w:b/>
          <w:sz w:val="24"/>
          <w:szCs w:val="24"/>
          <w:lang w:val="en-US" w:eastAsia="zh-CN"/>
        </w:rPr>
        <w:t>（一）、适用范围：</w:t>
      </w:r>
    </w:p>
    <w:p w14:paraId="62B9027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加强吞咽、构音肌群的收缩运动功能，缓解神经元麻痹，促进麻痹受损的神经复苏，实现吞咽反射弧的恢复与重建，进而提高患者的吞咽及构音的活动能力</w:t>
      </w:r>
    </w:p>
    <w:p w14:paraId="1F1DD568">
      <w:pPr>
        <w:keepNext w:val="0"/>
        <w:keepLines w:val="0"/>
        <w:pageBreakBefore w:val="0"/>
        <w:kinsoku/>
        <w:wordWrap/>
        <w:overflowPunct/>
        <w:topLinePunct w:val="0"/>
        <w:autoSpaceDE/>
        <w:autoSpaceDN/>
        <w:bidi w:val="0"/>
        <w:adjustRightInd/>
        <w:snapToGrid/>
        <w:spacing w:line="0" w:lineRule="atLeast"/>
        <w:ind w:left="0" w:leftChars="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（二）、技术参数</w:t>
      </w:r>
    </w:p>
    <w:p w14:paraId="47877AAE">
      <w:pPr>
        <w:keepNext w:val="0"/>
        <w:keepLines w:val="0"/>
        <w:pageBreakBefore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cs="宋体"/>
          <w:sz w:val="24"/>
          <w:szCs w:val="24"/>
        </w:rPr>
      </w:pPr>
    </w:p>
    <w:p w14:paraId="786CCBC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1、入选国家中医药管理局“中医诊疗设备评估选型推荐品目（2011版第一批）”，提供国家中医局文件为准。</w:t>
      </w:r>
    </w:p>
    <w:p w14:paraId="09638B7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2、适用范围：适用于对咽部非机械原因损伤引起的吞咽及构音障碍进行评估、治疗及训练。</w:t>
      </w:r>
    </w:p>
    <w:p w14:paraId="5DEE1C4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3、主要构成：由主机、电极线组成</w:t>
      </w:r>
    </w:p>
    <w:p w14:paraId="31C7F94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4、结构形式：手持式</w:t>
      </w:r>
    </w:p>
    <w:p w14:paraId="12706AF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5、显示方式：液晶屏幕显示界面</w:t>
      </w:r>
    </w:p>
    <w:p w14:paraId="556A06B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6、治疗功能及输出路（线）数：</w:t>
      </w:r>
    </w:p>
    <w:p w14:paraId="44030E6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具备成人连续脉冲治疗模式和儿童交替脉冲治疗模式。</w:t>
      </w:r>
    </w:p>
    <w:p w14:paraId="1A3AF0E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治疗（成人、儿童）模式：2路（4线）</w:t>
      </w:r>
    </w:p>
    <w:p w14:paraId="03A73B1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 xml:space="preserve">  7、开路电压峰值：≤150V </w:t>
      </w:r>
    </w:p>
    <w:p w14:paraId="253288A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 xml:space="preserve">  8、定时范围：1-99min</w:t>
      </w:r>
    </w:p>
    <w:p w14:paraId="21F96CB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 xml:space="preserve">  9、输入功率：≤50VA</w:t>
      </w:r>
    </w:p>
    <w:p w14:paraId="6458293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 xml:space="preserve">  10、治疗模式：共有二种模式</w:t>
      </w:r>
    </w:p>
    <w:p w14:paraId="49E78CC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11、连续脉冲治疗模式（成人）：</w:t>
      </w:r>
    </w:p>
    <w:p w14:paraId="2FC18E0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11.1、脉冲强度：0-30mA可调,50档可调</w:t>
      </w:r>
    </w:p>
    <w:p w14:paraId="0889C20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 xml:space="preserve">  11.2、脉冲宽度：100-300uS可调，步距增量20uS，11档可调</w:t>
      </w:r>
    </w:p>
    <w:p w14:paraId="66C5736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 xml:space="preserve">  11.3、脉冲间隔：100uS</w:t>
      </w:r>
    </w:p>
    <w:p w14:paraId="54EFB54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11.4、脉冲频率：20Hz-100Hz可调</w:t>
      </w:r>
    </w:p>
    <w:p w14:paraId="328B425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12、交替脉冲治疗模式（儿童）：</w:t>
      </w:r>
    </w:p>
    <w:p w14:paraId="39985E5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12.1、脉冲强度：0-30mA可调，50档可调</w:t>
      </w:r>
    </w:p>
    <w:p w14:paraId="15691DB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12.2、脉冲宽度：100-300uS可调，步距增量20uS，11档可调</w:t>
      </w:r>
    </w:p>
    <w:p w14:paraId="44E8366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12.3、脉冲间隔：100uS</w:t>
      </w:r>
    </w:p>
    <w:p w14:paraId="4CFAD36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12.4、脉冲频率：20Hz-100Hz可调，持续时间：≥1s</w:t>
      </w:r>
    </w:p>
    <w:p w14:paraId="6CE33C9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default"/>
          <w:sz w:val="24"/>
          <w:szCs w:val="24"/>
          <w:lang w:val="en-US" w:eastAsia="zh-CN"/>
        </w:rPr>
      </w:pPr>
      <w:r>
        <w:rPr>
          <w:rFonts w:hint="eastAsia"/>
          <w:sz w:val="24"/>
          <w:szCs w:val="24"/>
        </w:rPr>
        <w:t>13、电源配置:</w:t>
      </w:r>
      <w:r>
        <w:rPr>
          <w:rFonts w:hint="eastAsia"/>
          <w:sz w:val="24"/>
          <w:szCs w:val="24"/>
          <w:lang w:val="en-US" w:eastAsia="zh-CN"/>
        </w:rPr>
        <w:t>内含充电电池</w:t>
      </w:r>
    </w:p>
    <w:p w14:paraId="595E8C1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0" w:leftChars="0" w:firstLine="480" w:firstLineChars="200"/>
        <w:textAlignment w:val="auto"/>
        <w:outlineLvl w:val="9"/>
        <w:rPr>
          <w:rFonts w:hint="eastAsia"/>
          <w:sz w:val="24"/>
          <w:szCs w:val="24"/>
        </w:rPr>
      </w:pPr>
      <w:r>
        <w:rPr>
          <w:rFonts w:hint="eastAsia"/>
          <w:sz w:val="24"/>
          <w:szCs w:val="24"/>
        </w:rPr>
        <w:t>14、CMD颁发的、针对本产品的ISO13485:2016和ISO9001:2015《质量管理体系认证证书》</w:t>
      </w:r>
    </w:p>
    <w:p w14:paraId="7D2D45F6">
      <w:pPr>
        <w:pStyle w:val="19"/>
        <w:rPr>
          <w:rFonts w:hint="eastAsia"/>
          <w:lang w:val="en-US" w:eastAsia="zh-CN"/>
        </w:rPr>
      </w:pP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%（按医院财务制度一般情况下4个月内支付、特殊情况下最多不超过6个月），甲方在设备验收合格满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3B951F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体态分析仪等一批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体态分析仪等一批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99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74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9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747" w:type="dxa"/>
            <w:shd w:val="clear" w:color="auto" w:fill="FFFFFF" w:themeFill="background1"/>
            <w:vAlign w:val="center"/>
          </w:tcPr>
          <w:p w14:paraId="1469BBF2">
            <w:pPr>
              <w:spacing w:beforeLines="0" w:afterLines="0"/>
              <w:jc w:val="center"/>
              <w:rPr>
                <w:rFonts w:hint="default" w:ascii="宋体" w:hAnsi="宋体" w:eastAsiaTheme="minorEastAsia" w:cstheme="minorBidi"/>
                <w:color w:val="000000"/>
                <w:kern w:val="2"/>
                <w:sz w:val="21"/>
                <w:szCs w:val="22"/>
                <w:lang w:val="en-US" w:eastAsia="zh-CN" w:bidi="ar-SA"/>
              </w:rPr>
            </w:pPr>
            <w:r>
              <w:rPr>
                <w:rFonts w:hint="eastAsia" w:ascii="宋体" w:hAnsi="宋体"/>
                <w:color w:val="000000"/>
                <w:sz w:val="21"/>
                <w:szCs w:val="22"/>
              </w:rPr>
              <w:t>体态分析仪</w:t>
            </w:r>
          </w:p>
        </w:tc>
        <w:tc>
          <w:tcPr>
            <w:tcW w:w="99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shd w:val="clear" w:color="auto" w:fill="FFFFFF" w:themeFill="background1"/>
            <w:vAlign w:val="center"/>
          </w:tcPr>
          <w:p w14:paraId="07DC1063">
            <w:pPr>
              <w:spacing w:beforeLines="0" w:afterLines="0"/>
              <w:jc w:val="center"/>
              <w:rPr>
                <w:rFonts w:hint="default" w:ascii="宋体" w:hAnsi="宋体" w:eastAsiaTheme="minorEastAsia" w:cstheme="minorBidi"/>
                <w:color w:val="000000"/>
                <w:kern w:val="2"/>
                <w:sz w:val="21"/>
                <w:szCs w:val="22"/>
                <w:lang w:val="en-US" w:eastAsia="zh-CN" w:bidi="ar-SA"/>
              </w:rPr>
            </w:pPr>
            <w:r>
              <w:rPr>
                <w:rFonts w:hint="eastAsia" w:ascii="宋体" w:hAnsi="宋体"/>
                <w:color w:val="000000"/>
                <w:sz w:val="21"/>
                <w:szCs w:val="22"/>
                <w:lang w:val="en-US" w:eastAsia="zh-CN"/>
              </w:rPr>
              <w:t>1</w:t>
            </w:r>
            <w:r>
              <w:rPr>
                <w:rFonts w:hint="eastAsia" w:ascii="宋体" w:hAnsi="宋体"/>
                <w:color w:val="000000"/>
                <w:sz w:val="21"/>
                <w:szCs w:val="22"/>
              </w:rPr>
              <w:t>套</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747" w:type="dxa"/>
            <w:shd w:val="clear" w:color="auto" w:fill="FFFFFF" w:themeFill="background1"/>
            <w:vAlign w:val="center"/>
          </w:tcPr>
          <w:p w14:paraId="66557821">
            <w:pPr>
              <w:spacing w:beforeLines="0" w:afterLines="0"/>
              <w:jc w:val="center"/>
              <w:rPr>
                <w:rFonts w:hint="default" w:ascii="宋体" w:hAnsi="宋体" w:eastAsiaTheme="minorEastAsia" w:cstheme="minorBidi"/>
                <w:color w:val="000000"/>
                <w:kern w:val="2"/>
                <w:sz w:val="21"/>
                <w:szCs w:val="22"/>
                <w:lang w:val="en-US" w:eastAsia="zh-CN" w:bidi="ar-SA"/>
              </w:rPr>
            </w:pPr>
            <w:r>
              <w:rPr>
                <w:rFonts w:hint="eastAsia" w:ascii="宋体" w:hAnsi="宋体"/>
                <w:color w:val="000000"/>
                <w:sz w:val="21"/>
                <w:szCs w:val="22"/>
              </w:rPr>
              <w:t>经络导平治疗仪</w:t>
            </w:r>
          </w:p>
        </w:tc>
        <w:tc>
          <w:tcPr>
            <w:tcW w:w="990" w:type="dxa"/>
            <w:vAlign w:val="center"/>
          </w:tcPr>
          <w:p w14:paraId="456510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34FFD2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44471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FFFFFF" w:themeFill="background1"/>
            <w:vAlign w:val="center"/>
          </w:tcPr>
          <w:p w14:paraId="7C372396">
            <w:pPr>
              <w:spacing w:beforeLines="0" w:afterLines="0"/>
              <w:jc w:val="center"/>
              <w:rPr>
                <w:rFonts w:hint="default" w:ascii="宋体" w:hAnsi="宋体" w:eastAsiaTheme="minorEastAsia" w:cstheme="minorBidi"/>
                <w:color w:val="000000"/>
                <w:kern w:val="2"/>
                <w:sz w:val="21"/>
                <w:szCs w:val="22"/>
                <w:lang w:val="en-US" w:eastAsia="zh-CN" w:bidi="ar-SA"/>
              </w:rPr>
            </w:pPr>
            <w:r>
              <w:rPr>
                <w:rFonts w:hint="eastAsia" w:ascii="宋体" w:hAnsi="宋体"/>
                <w:color w:val="000000"/>
                <w:sz w:val="21"/>
                <w:szCs w:val="22"/>
                <w:lang w:val="en-US" w:eastAsia="zh-CN"/>
              </w:rPr>
              <w:t>2</w:t>
            </w:r>
            <w:r>
              <w:rPr>
                <w:rFonts w:hint="eastAsia" w:ascii="宋体" w:hAnsi="宋体"/>
                <w:color w:val="000000"/>
                <w:sz w:val="21"/>
                <w:szCs w:val="22"/>
              </w:rPr>
              <w:t>台</w:t>
            </w:r>
          </w:p>
        </w:tc>
        <w:tc>
          <w:tcPr>
            <w:tcW w:w="1654" w:type="dxa"/>
            <w:vAlign w:val="top"/>
          </w:tcPr>
          <w:p w14:paraId="7FF303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CD5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747" w:type="dxa"/>
            <w:shd w:val="clear" w:color="auto" w:fill="FFFFFF" w:themeFill="background1"/>
            <w:vAlign w:val="center"/>
          </w:tcPr>
          <w:p w14:paraId="237326F7">
            <w:pPr>
              <w:spacing w:beforeLines="0" w:afterLines="0"/>
              <w:jc w:val="center"/>
              <w:rPr>
                <w:rFonts w:hint="default" w:ascii="宋体" w:hAnsi="宋体" w:eastAsiaTheme="minorEastAsia" w:cstheme="minorBidi"/>
                <w:color w:val="000000"/>
                <w:kern w:val="2"/>
                <w:sz w:val="21"/>
                <w:szCs w:val="22"/>
                <w:lang w:val="en-US" w:eastAsia="zh-CN" w:bidi="ar-SA"/>
              </w:rPr>
            </w:pPr>
            <w:r>
              <w:rPr>
                <w:rFonts w:hint="eastAsia" w:ascii="宋体" w:hAnsi="宋体"/>
                <w:color w:val="000000"/>
                <w:sz w:val="21"/>
                <w:szCs w:val="22"/>
              </w:rPr>
              <w:t>吞咽功能治疗仪</w:t>
            </w:r>
          </w:p>
        </w:tc>
        <w:tc>
          <w:tcPr>
            <w:tcW w:w="990" w:type="dxa"/>
            <w:vAlign w:val="center"/>
          </w:tcPr>
          <w:p w14:paraId="576A4E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40826F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517D47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FFFFFF" w:themeFill="background1"/>
            <w:vAlign w:val="center"/>
          </w:tcPr>
          <w:p w14:paraId="0FFDC017">
            <w:pPr>
              <w:spacing w:beforeLines="0" w:afterLines="0"/>
              <w:jc w:val="center"/>
              <w:rPr>
                <w:rFonts w:hint="default" w:ascii="宋体" w:hAnsi="宋体" w:eastAsiaTheme="minorEastAsia" w:cstheme="minorBidi"/>
                <w:color w:val="000000"/>
                <w:kern w:val="2"/>
                <w:sz w:val="21"/>
                <w:szCs w:val="22"/>
                <w:lang w:val="en-US" w:eastAsia="zh-CN" w:bidi="ar-SA"/>
              </w:rPr>
            </w:pPr>
            <w:r>
              <w:rPr>
                <w:rFonts w:hint="eastAsia" w:ascii="宋体" w:hAnsi="宋体"/>
                <w:color w:val="000000"/>
                <w:sz w:val="21"/>
                <w:szCs w:val="22"/>
                <w:lang w:val="en-US" w:eastAsia="zh-CN"/>
              </w:rPr>
              <w:t>1</w:t>
            </w:r>
            <w:r>
              <w:rPr>
                <w:rFonts w:hint="eastAsia" w:ascii="宋体" w:hAnsi="宋体"/>
                <w:color w:val="000000"/>
                <w:sz w:val="21"/>
                <w:szCs w:val="22"/>
              </w:rPr>
              <w:t>台</w:t>
            </w:r>
          </w:p>
        </w:tc>
        <w:tc>
          <w:tcPr>
            <w:tcW w:w="1654" w:type="dxa"/>
            <w:vAlign w:val="top"/>
          </w:tcPr>
          <w:p w14:paraId="1F31F1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30E5CD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4.2 甲方委派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邓时敏13723814432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14710C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304D13E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3F4CD0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E24CEF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1AACB0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5DEF8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505C827">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4FD447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7EE8710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173B3D4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5A04CB7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22A72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BF3074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72F9EC0B">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E3AA480">
            <w:pPr>
              <w:jc w:val="center"/>
              <w:rPr>
                <w:rFonts w:hint="eastAsia" w:ascii="仿宋" w:hAnsi="仿宋" w:eastAsia="仿宋" w:cs="仿宋"/>
                <w:sz w:val="24"/>
                <w:szCs w:val="24"/>
              </w:rPr>
            </w:pPr>
            <w:r>
              <w:rPr>
                <w:rFonts w:hint="eastAsia" w:ascii="仿宋" w:hAnsi="仿宋" w:eastAsia="仿宋" w:cs="仿宋"/>
                <w:sz w:val="24"/>
                <w:szCs w:val="24"/>
              </w:rPr>
              <w:t>50%</w:t>
            </w:r>
          </w:p>
        </w:tc>
      </w:tr>
      <w:tr w14:paraId="0323D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B7889E7">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1BC837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0D15E51">
            <w:pPr>
              <w:jc w:val="center"/>
              <w:rPr>
                <w:rFonts w:hint="eastAsia" w:ascii="仿宋" w:hAnsi="仿宋" w:eastAsia="仿宋" w:cs="仿宋"/>
                <w:sz w:val="24"/>
                <w:szCs w:val="24"/>
              </w:rPr>
            </w:pPr>
            <w:r>
              <w:rPr>
                <w:rFonts w:hint="eastAsia" w:ascii="仿宋" w:hAnsi="仿宋" w:eastAsia="仿宋" w:cs="仿宋"/>
                <w:sz w:val="24"/>
                <w:szCs w:val="24"/>
              </w:rPr>
              <w:t>40%</w:t>
            </w:r>
          </w:p>
        </w:tc>
      </w:tr>
      <w:tr w14:paraId="3B382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8C16F54">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18F2ACE">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EE02E85">
            <w:pPr>
              <w:jc w:val="center"/>
              <w:rPr>
                <w:rFonts w:hint="eastAsia" w:ascii="仿宋" w:hAnsi="仿宋" w:eastAsia="仿宋" w:cs="仿宋"/>
                <w:sz w:val="24"/>
                <w:szCs w:val="24"/>
              </w:rPr>
            </w:pPr>
            <w:r>
              <w:rPr>
                <w:rFonts w:hint="eastAsia" w:ascii="仿宋" w:hAnsi="仿宋" w:eastAsia="仿宋" w:cs="仿宋"/>
                <w:sz w:val="24"/>
                <w:szCs w:val="24"/>
              </w:rPr>
              <w:t>10%</w:t>
            </w:r>
          </w:p>
        </w:tc>
      </w:tr>
      <w:tr w14:paraId="170FA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D2BDF29">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665494A7">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33DADF36">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423DB7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1B0455E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63431F5F">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108F38D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AB5E7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741B3036">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30BC638F">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6E7717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277AAA12">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382993C6">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6E82FE21">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0BA615">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29D6D6CC">
      <w:pPr>
        <w:jc w:val="center"/>
        <w:rPr>
          <w:rFonts w:hint="eastAsia" w:ascii="仿宋" w:hAnsi="仿宋" w:eastAsia="仿宋" w:cs="仿宋"/>
          <w:sz w:val="24"/>
          <w:szCs w:val="24"/>
        </w:rPr>
      </w:pPr>
    </w:p>
    <w:p w14:paraId="7EAB5543">
      <w:pPr>
        <w:jc w:val="center"/>
        <w:rPr>
          <w:rFonts w:hint="eastAsia" w:ascii="仿宋" w:hAnsi="仿宋" w:eastAsia="仿宋" w:cs="仿宋"/>
          <w:sz w:val="24"/>
          <w:szCs w:val="24"/>
        </w:rPr>
      </w:pPr>
    </w:p>
    <w:p w14:paraId="5DE4AB9C">
      <w:pPr>
        <w:jc w:val="center"/>
        <w:rPr>
          <w:rFonts w:hint="eastAsia" w:ascii="仿宋" w:hAnsi="仿宋" w:eastAsia="仿宋" w:cs="仿宋"/>
          <w:sz w:val="24"/>
          <w:szCs w:val="24"/>
        </w:rPr>
      </w:pPr>
    </w:p>
    <w:p w14:paraId="614BF351">
      <w:pPr>
        <w:jc w:val="center"/>
        <w:rPr>
          <w:rFonts w:hint="eastAsia" w:ascii="仿宋" w:hAnsi="仿宋" w:eastAsia="仿宋" w:cs="仿宋"/>
          <w:sz w:val="24"/>
          <w:szCs w:val="24"/>
        </w:rPr>
      </w:pPr>
    </w:p>
    <w:p w14:paraId="1554B452">
      <w:pPr>
        <w:jc w:val="center"/>
        <w:rPr>
          <w:rFonts w:hint="eastAsia" w:ascii="仿宋" w:hAnsi="仿宋" w:eastAsia="仿宋" w:cs="仿宋"/>
          <w:sz w:val="24"/>
          <w:szCs w:val="24"/>
        </w:rPr>
      </w:pPr>
      <w:r>
        <w:rPr>
          <w:rFonts w:hint="eastAsia" w:ascii="仿宋" w:hAnsi="仿宋" w:eastAsia="仿宋" w:cs="仿宋"/>
          <w:sz w:val="24"/>
          <w:szCs w:val="24"/>
        </w:rPr>
        <w:br w:type="page"/>
      </w:r>
    </w:p>
    <w:p w14:paraId="5F766B0E">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68C4F3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02784703">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2FEA214F">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25D71E1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96E0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67B4B751">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12DB6FE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305BF3AF">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20DC8CC7">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769012A3">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0B9B3A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049C97AB">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52A2D4D8">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0CD79A7D">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7055BCD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523BA3D2">
      <w:pPr>
        <w:jc w:val="center"/>
        <w:rPr>
          <w:rFonts w:hint="eastAsia" w:ascii="仿宋" w:hAnsi="仿宋" w:eastAsia="仿宋" w:cs="仿宋"/>
          <w:sz w:val="24"/>
          <w:szCs w:val="24"/>
        </w:rPr>
      </w:pPr>
    </w:p>
    <w:p w14:paraId="44449688">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AFA9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52" w:hRule="atLeast"/>
          <w:jc w:val="center"/>
        </w:trPr>
        <w:tc>
          <w:tcPr>
            <w:tcW w:w="503" w:type="dxa"/>
            <w:tcBorders>
              <w:tl2br w:val="nil"/>
              <w:tr2bl w:val="nil"/>
            </w:tcBorders>
            <w:noWrap w:val="0"/>
            <w:vAlign w:val="center"/>
          </w:tcPr>
          <w:p w14:paraId="4FAA5EC1">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0113CA81">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286AA18">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8E5C2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jc w:val="center"/>
        </w:trPr>
        <w:tc>
          <w:tcPr>
            <w:tcW w:w="503" w:type="dxa"/>
            <w:vMerge w:val="restart"/>
            <w:tcBorders>
              <w:tl2br w:val="nil"/>
              <w:tr2bl w:val="nil"/>
            </w:tcBorders>
            <w:noWrap w:val="0"/>
            <w:vAlign w:val="center"/>
          </w:tcPr>
          <w:p w14:paraId="1F869E5F">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05A61FC6">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36C8333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43F9E75B">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4605040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4C14F0A6">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5A737568">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51E3BA4F">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26EED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jc w:val="center"/>
        </w:trPr>
        <w:tc>
          <w:tcPr>
            <w:tcW w:w="503" w:type="dxa"/>
            <w:vMerge w:val="continue"/>
            <w:tcBorders>
              <w:tl2br w:val="nil"/>
              <w:tr2bl w:val="nil"/>
            </w:tcBorders>
            <w:noWrap w:val="0"/>
            <w:vAlign w:val="center"/>
          </w:tcPr>
          <w:p w14:paraId="38305688">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2C8BFC02">
            <w:pPr>
              <w:jc w:val="center"/>
              <w:rPr>
                <w:rFonts w:hint="eastAsia" w:ascii="仿宋" w:hAnsi="仿宋" w:eastAsia="仿宋" w:cs="仿宋"/>
                <w:sz w:val="24"/>
                <w:szCs w:val="24"/>
              </w:rPr>
            </w:pPr>
          </w:p>
        </w:tc>
        <w:tc>
          <w:tcPr>
            <w:tcW w:w="1377" w:type="dxa"/>
            <w:tcBorders>
              <w:tl2br w:val="nil"/>
              <w:tr2bl w:val="nil"/>
            </w:tcBorders>
            <w:noWrap w:val="0"/>
            <w:vAlign w:val="center"/>
          </w:tcPr>
          <w:p w14:paraId="1EECC22E">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4BF791B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1A280959">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C91FE55">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432DEB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jc w:val="center"/>
        </w:trPr>
        <w:tc>
          <w:tcPr>
            <w:tcW w:w="503" w:type="dxa"/>
            <w:vMerge w:val="continue"/>
            <w:tcBorders>
              <w:tl2br w:val="nil"/>
              <w:tr2bl w:val="nil"/>
            </w:tcBorders>
            <w:noWrap w:val="0"/>
            <w:vAlign w:val="center"/>
          </w:tcPr>
          <w:p w14:paraId="44D8C28A">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4E96D9C5">
            <w:pPr>
              <w:jc w:val="center"/>
              <w:rPr>
                <w:rFonts w:hint="eastAsia" w:ascii="仿宋" w:hAnsi="仿宋" w:eastAsia="仿宋" w:cs="仿宋"/>
                <w:sz w:val="24"/>
                <w:szCs w:val="24"/>
              </w:rPr>
            </w:pPr>
          </w:p>
        </w:tc>
        <w:tc>
          <w:tcPr>
            <w:tcW w:w="1377" w:type="dxa"/>
            <w:tcBorders>
              <w:tl2br w:val="nil"/>
              <w:tr2bl w:val="nil"/>
            </w:tcBorders>
            <w:noWrap w:val="0"/>
            <w:vAlign w:val="center"/>
          </w:tcPr>
          <w:p w14:paraId="40DDE5FA">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505C34E4">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6C0D02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35A67DF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2"/>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1E9CA764">
      <w:pPr>
        <w:pStyle w:val="17"/>
        <w:rPr>
          <w:color w:val="auto"/>
        </w:rPr>
      </w:pPr>
    </w:p>
    <w:p w14:paraId="43E00E01">
      <w:pPr>
        <w:pStyle w:val="16"/>
        <w:rPr>
          <w:rFonts w:hint="eastAsia"/>
          <w:lang w:eastAsia="zh-CN"/>
        </w:rPr>
      </w:pPr>
    </w:p>
    <w:p w14:paraId="0B046F73"/>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86"/>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楷体_GB2312">
    <w:altName w:val="HarmonyOS Sans SC"/>
    <w:panose1 w:val="02010609030101010101"/>
    <w:charset w:val="86"/>
    <w:family w:val="modern"/>
    <w:pitch w:val="default"/>
    <w:sig w:usb0="00000000" w:usb1="00000000" w:usb2="00000000" w:usb3="00000000" w:csb0="00040000" w:csb1="00000000"/>
  </w:font>
  <w:font w:name="仿宋_GB2312">
    <w:altName w:val="HarmonyOS Sans SC"/>
    <w:panose1 w:val="02010609030101010101"/>
    <w:charset w:val="86"/>
    <w:family w:val="auto"/>
    <w:pitch w:val="default"/>
    <w:sig w:usb0="00000000" w:usb1="00000000" w:usb2="00000000" w:usb3="00000000" w:csb0="00040000" w:csb1="00000000"/>
  </w:font>
  <w:font w:name="方正小标宋简体">
    <w:altName w:val="Noto Serif CJK JP"/>
    <w:panose1 w:val="02000000000000000000"/>
    <w:charset w:val="86"/>
    <w:family w:val="auto"/>
    <w:pitch w:val="default"/>
    <w:sig w:usb0="00000000" w:usb1="00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楷体">
    <w:altName w:val="汉仪中楷简"/>
    <w:panose1 w:val="02010609060101010101"/>
    <w:charset w:val="86"/>
    <w:family w:val="auto"/>
    <w:pitch w:val="default"/>
    <w:sig w:usb0="00000000" w:usb1="00000000" w:usb2="00000016" w:usb3="00000000" w:csb0="00040001" w:csb1="00000000"/>
  </w:font>
  <w:font w:name="汉仪中楷简">
    <w:panose1 w:val="02010600000101010101"/>
    <w:charset w:val="86"/>
    <w:family w:val="auto"/>
    <w:pitch w:val="default"/>
    <w:sig w:usb0="00000001" w:usb1="080E0800" w:usb2="00000002" w:usb3="00000000" w:csb0="00040000" w:csb1="00000000"/>
  </w:font>
  <w:font w:name="仿宋">
    <w:altName w:val="汉仪仿宋简"/>
    <w:panose1 w:val="02010609060101010101"/>
    <w:charset w:val="86"/>
    <w:family w:val="auto"/>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微软雅黑">
    <w:altName w:val="Noto Sans CJK SC"/>
    <w:panose1 w:val="020B0503020204020204"/>
    <w:charset w:val="86"/>
    <w:family w:val="swiss"/>
    <w:pitch w:val="default"/>
    <w:sig w:usb0="00000000" w:usb1="00000000" w:usb2="00000016" w:usb3="00000000" w:csb0="0004001F" w:csb1="00000000"/>
  </w:font>
  <w:font w:name="鸿蒙黑体">
    <w:panose1 w:val="00000500000000000000"/>
    <w:charset w:val="86"/>
    <w:family w:val="auto"/>
    <w:pitch w:val="default"/>
    <w:sig w:usb0="A00002BF" w:usb1="18E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abstractNum w:abstractNumId="2">
    <w:nsid w:val="FB874B4E"/>
    <w:multiLevelType w:val="multilevel"/>
    <w:tmpl w:val="FB874B4E"/>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楷体" w:hAnsi="楷体" w:eastAsia="楷体" w:cs="Calibr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0543B3"/>
    <w:multiLevelType w:val="singleLevel"/>
    <w:tmpl w:val="360543B3"/>
    <w:lvl w:ilvl="0" w:tentative="0">
      <w:start w:val="1"/>
      <w:numFmt w:val="decimal"/>
      <w:lvlText w:val="%1."/>
      <w:lvlJc w:val="left"/>
      <w:pPr>
        <w:ind w:left="425" w:hanging="425"/>
      </w:pPr>
      <w:rPr>
        <w:rFonts w:hint="default"/>
      </w:rPr>
    </w:lvl>
  </w:abstractNum>
  <w:abstractNum w:abstractNumId="4">
    <w:nsid w:val="74400247"/>
    <w:multiLevelType w:val="multilevel"/>
    <w:tmpl w:val="74400247"/>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楷体" w:hAnsi="楷体" w:eastAsia="楷体" w:cs="Calibr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E331420"/>
    <w:rsid w:val="0EA07D1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795D39"/>
    <w:rsid w:val="1CE412C7"/>
    <w:rsid w:val="1D5071B5"/>
    <w:rsid w:val="1DD7486D"/>
    <w:rsid w:val="1E79119D"/>
    <w:rsid w:val="1F334F58"/>
    <w:rsid w:val="1F796B24"/>
    <w:rsid w:val="1FC602A8"/>
    <w:rsid w:val="1FE73549"/>
    <w:rsid w:val="2038045E"/>
    <w:rsid w:val="20AF0900"/>
    <w:rsid w:val="20B41DA7"/>
    <w:rsid w:val="21C61C7A"/>
    <w:rsid w:val="2383771E"/>
    <w:rsid w:val="23F374DB"/>
    <w:rsid w:val="23F71317"/>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4D6AA3"/>
    <w:rsid w:val="4CAC1559"/>
    <w:rsid w:val="4D754257"/>
    <w:rsid w:val="4DCD6AB3"/>
    <w:rsid w:val="4E092CA1"/>
    <w:rsid w:val="4EE7662F"/>
    <w:rsid w:val="50216DCD"/>
    <w:rsid w:val="50540C20"/>
    <w:rsid w:val="506258C6"/>
    <w:rsid w:val="51AC28BD"/>
    <w:rsid w:val="52183ACC"/>
    <w:rsid w:val="53B55872"/>
    <w:rsid w:val="544055F2"/>
    <w:rsid w:val="54AD4386"/>
    <w:rsid w:val="55D8243C"/>
    <w:rsid w:val="5764560F"/>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AA026F2"/>
    <w:rsid w:val="6B592423"/>
    <w:rsid w:val="6BF03D6E"/>
    <w:rsid w:val="6C172D01"/>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B0620DE"/>
    <w:rsid w:val="7BBF44BB"/>
    <w:rsid w:val="7BF15CE4"/>
    <w:rsid w:val="7C3A27E5"/>
    <w:rsid w:val="7D9727DD"/>
    <w:rsid w:val="7DCB30EB"/>
    <w:rsid w:val="7EFB4F6E"/>
    <w:rsid w:val="7F164138"/>
    <w:rsid w:val="7F1A5E95"/>
    <w:rsid w:val="7FFB0877"/>
    <w:rsid w:val="CAFF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 w:type="paragraph" w:customStyle="1" w:styleId="19">
    <w:name w:val="BodyText1I2"/>
    <w:basedOn w:val="20"/>
    <w:qFormat/>
    <w:uiPriority w:val="0"/>
    <w:pPr>
      <w:ind w:firstLine="420"/>
      <w:jc w:val="left"/>
    </w:pPr>
    <w:rPr>
      <w:rFonts w:ascii="Calibri" w:hAnsi="Calibri"/>
      <w:kern w:val="0"/>
    </w:rPr>
  </w:style>
  <w:style w:type="paragraph" w:customStyle="1" w:styleId="20">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11871</Words>
  <Characters>12581</Characters>
  <Lines>0</Lines>
  <Paragraphs>0</Paragraphs>
  <TotalTime>2</TotalTime>
  <ScaleCrop>false</ScaleCrop>
  <LinksUpToDate>false</LinksUpToDate>
  <CharactersWithSpaces>13698</CharactersWithSpaces>
  <Application>WPS Office_12.9.0.23920_F1E327BC-269C-435d-A152-05C5408002CA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2023-07-17T17:45:00Z</dcterms:created>
  <dc:creator>是小豹子</dc:creator>
  <cp:lastModifiedBy>张思远</cp:lastModifiedBy>
  <dcterms:modified xsi:type="dcterms:W3CDTF">2025-12-11T12:07:46Z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2052-12.9.0.23920</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