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FB5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娄底市中心医院办公家具采购需求</w:t>
      </w:r>
    </w:p>
    <w:p w14:paraId="464C3D2F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一、项目概况</w:t>
      </w:r>
    </w:p>
    <w:p w14:paraId="150EFD8A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1.1 本项目为娄底市中心医院采购办公家具。</w:t>
      </w:r>
    </w:p>
    <w:p w14:paraId="33AC7948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1.2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采购项目预（概）算</w:t>
      </w:r>
    </w:p>
    <w:p w14:paraId="42488065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总预算：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none"/>
          <w:lang w:val="en-US" w:eastAsia="zh-CN"/>
        </w:rPr>
        <w:t>22060.00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元</w:t>
      </w:r>
    </w:p>
    <w:p w14:paraId="0D40D0DC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1.3 采购清单</w:t>
      </w:r>
    </w:p>
    <w:tbl>
      <w:tblPr>
        <w:tblStyle w:val="5"/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35"/>
        <w:gridCol w:w="2373"/>
        <w:gridCol w:w="977"/>
        <w:gridCol w:w="617"/>
        <w:gridCol w:w="667"/>
        <w:gridCol w:w="648"/>
        <w:gridCol w:w="711"/>
        <w:gridCol w:w="630"/>
        <w:gridCol w:w="2874"/>
      </w:tblGrid>
      <w:tr w14:paraId="68BD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4B4E3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品名</w:t>
            </w:r>
          </w:p>
        </w:tc>
        <w:tc>
          <w:tcPr>
            <w:tcW w:w="2373" w:type="dxa"/>
            <w:shd w:val="clear" w:color="auto" w:fill="FFFFFF"/>
            <w:vAlign w:val="center"/>
          </w:tcPr>
          <w:p w14:paraId="7208F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图片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54D24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规格</w:t>
            </w:r>
          </w:p>
        </w:tc>
        <w:tc>
          <w:tcPr>
            <w:tcW w:w="617" w:type="dxa"/>
            <w:shd w:val="clear" w:color="auto" w:fill="FFFFFF"/>
            <w:vAlign w:val="center"/>
          </w:tcPr>
          <w:p w14:paraId="4F11E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数量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47D39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单位</w:t>
            </w:r>
          </w:p>
        </w:tc>
        <w:tc>
          <w:tcPr>
            <w:tcW w:w="648" w:type="dxa"/>
            <w:shd w:val="clear" w:color="auto" w:fill="FFFFFF"/>
            <w:vAlign w:val="center"/>
          </w:tcPr>
          <w:p w14:paraId="7F9AD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单价限价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2D55D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金额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0A8F9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报价</w:t>
            </w:r>
          </w:p>
        </w:tc>
        <w:tc>
          <w:tcPr>
            <w:tcW w:w="2874" w:type="dxa"/>
            <w:shd w:val="clear" w:color="auto" w:fill="FFFFFF"/>
            <w:vAlign w:val="center"/>
          </w:tcPr>
          <w:p w14:paraId="502AD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材质说明</w:t>
            </w:r>
          </w:p>
        </w:tc>
      </w:tr>
      <w:tr w14:paraId="60EC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27DB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4B0F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1316355" cy="1453515"/>
                  <wp:effectExtent l="0" t="0" r="17145" b="1333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355" cy="1453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1A21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2ABE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38F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0D6C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79C3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615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557E4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1、面料：特网，加尼龙料，弹力加强，耐摩擦。三防网布：采用荷叶拒水原理，纳米技术编织，三层结构，中间层双丝结构，防水，防污，阻燃，透气、不易变色、无毒性、环保、经济耐用；</w:t>
            </w:r>
          </w:p>
          <w:p w14:paraId="128BD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2、海绵：定型海绵，环保，弹性好，不易变形；</w:t>
            </w:r>
          </w:p>
          <w:p w14:paraId="03B9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3、椅架，表面镀铬处理，钢管壁厚≥2.0mm；  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40EA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556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6779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2BEE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1323975" cy="748030"/>
                  <wp:effectExtent l="0" t="0" r="9525" b="13970"/>
                  <wp:docPr id="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098D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1400*700*750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3D04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2AF7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79E0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54F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8B5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038C4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面材：饰面选用AAA级0.6mm厚以上优质红影木木皮。基材： 采用环保优质E0级高纤板，优质环保，经防潮、防虫、防腐等化学处理，强度高，抗弯力强，刚性好、不变形、比重合理，达到国际握钉测试标准；油漆采用环保油漆，木纹纹理清晰，无发白、流挂及明显划伤，色泽均匀、光滑耐用；配笔抽和键盘抽</w:t>
            </w:r>
          </w:p>
        </w:tc>
      </w:tr>
      <w:tr w14:paraId="3B4D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026F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5D50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1056005" cy="1246505"/>
                  <wp:effectExtent l="0" t="0" r="10795" b="10795"/>
                  <wp:docPr id="10" name="图片 46" descr="3c5a7d775077c52511480aefcc8f6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6" descr="3c5a7d775077c52511480aefcc8f62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1246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4243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550*490*500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74F6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41F1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6DBF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76C1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806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4F784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优质超纤皮饰面，皮面光泽度好，40密度高弹力纯海棉，软硬适中，回弹性能好，不变形，坐感舒适，优质橡木框架、扶手，符合力学、人体学原理，舒适耐用。</w:t>
            </w:r>
          </w:p>
        </w:tc>
      </w:tr>
      <w:tr w14:paraId="44D8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6E85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洽谈桌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5AA4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972185" cy="1256665"/>
                  <wp:effectExtent l="0" t="0" r="18415" b="635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125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53C7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800*800*750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6595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09D6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22B7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2AEC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CB2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6D50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面板：采用优质奢石桌面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脚架：钛空灰不锈钢脚架，加厚材质，结实稳固</w:t>
            </w:r>
          </w:p>
        </w:tc>
      </w:tr>
      <w:tr w14:paraId="03CA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6074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洽谈椅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121B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1371600" cy="871855"/>
                  <wp:effectExtent l="0" t="0" r="0" b="4445"/>
                  <wp:docPr id="1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02E5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560*560*775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6F4C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099B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415B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2A4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32F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40F9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靠背：表面采用优质超纤皮面料，内部填充高密度高回弹海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绵，内部为五金内架，根据人体工学设计，贴背舒适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脚架：灰色钛空灰，加厚材质，结实稳固</w:t>
            </w:r>
          </w:p>
        </w:tc>
      </w:tr>
      <w:tr w14:paraId="5AF1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6D02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755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1317625" cy="656590"/>
                  <wp:effectExtent l="0" t="0" r="15875" b="1016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77FA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1+3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6984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4742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3A3D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6611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886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07A07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面料：采用优质超纤皮，皮面光泽度好，柔软而富于韧性厚度适中。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海绵：采用PU成型45#高密度海绵，软硬适中，回弹性能好，抗变形能力强，根椐人体工程学原理设计，坐感舒适。框架：优质实木框架，木纹纹理自然，颜色线条拼合细密。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：采用优质“大宝”品牌油漆，油漆无颗粒、气泡、渣点、附着性强，涂膜强韧，产品表面耐磨性强，色泽效果持久平整。油漆经检验符合国家《室内装饰装修材料-溶剂型木器涂料中有害物质限量》强制性标准要求。</w:t>
            </w:r>
          </w:p>
        </w:tc>
      </w:tr>
      <w:tr w14:paraId="6A86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6EF4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6C6B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drawing>
                <wp:inline distT="0" distB="0" distL="114300" distR="114300">
                  <wp:extent cx="1393190" cy="762635"/>
                  <wp:effectExtent l="0" t="0" r="16510" b="1841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762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1740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大三人位：2370*930*860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47BB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2B81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341B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6AA1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BCD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13C51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面料：采用黑色纳帕皮，皮面光泽度好，柔软而富于韧性厚度适中。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海绵：采用PU成型45#高密度海绵，软硬适中，回弹性能好，抗变形能力强，根椐人体工程学原理设计，坐感舒适。框架：优质实木框架，木纹纹理自然，颜色线条拼合细密。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：采用优质“大宝”品牌油漆，油漆无颗粒、气泡、渣点、附着性强，涂膜强韧，产品表面耐磨性强，色泽效果持久平整。油漆经检验符合国家《室内装饰装修材料-溶剂型木器涂料中有害物质限量》强制性标准要求。</w:t>
            </w:r>
          </w:p>
        </w:tc>
      </w:tr>
      <w:tr w14:paraId="6263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2242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2EEC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drawing>
                <wp:inline distT="0" distB="0" distL="114300" distR="114300">
                  <wp:extent cx="1366520" cy="665480"/>
                  <wp:effectExtent l="0" t="0" r="508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6575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4200*1550*750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040A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5E2A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52FF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109C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3AF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336F4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面材：饰面选用AAA级0.6mm厚以上优质红影木木皮。基材： 采用环保优质E0级高纤板，优质环保，经防潮、防虫、防腐等化学处理，强度高，抗弯力强，刚性好、不变形、比重合理，达到国际握钉测试标准；油漆采用环保油漆，木纹纹理清晰，无发白、流挂及明显划伤，色泽均匀、光滑耐用；配笔抽和键盘抽</w:t>
            </w:r>
          </w:p>
        </w:tc>
      </w:tr>
      <w:tr w14:paraId="30C5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1C83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27DB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drawing>
                <wp:inline distT="0" distB="0" distL="114300" distR="114300">
                  <wp:extent cx="1270635" cy="1353185"/>
                  <wp:effectExtent l="0" t="0" r="5715" b="18415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1353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1884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800*400*820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5A04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1E0D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2171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43F6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3BCD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37284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面材：饰面选用AAA级0.6mm厚以上优质红影木木皮。基材： 采用环保优质E0级高纤板，优质环保，经防潮、防虫、防腐等化学处理，强度高，抗弯力强，刚性好、不变形、比重合理，达到国际握钉测试标准；油漆采用环保油漆，木纹纹理清晰，无发白、流挂及明显划伤，色泽均匀、光滑耐用；配笔抽和键盘抽</w:t>
            </w:r>
          </w:p>
        </w:tc>
      </w:tr>
      <w:tr w14:paraId="0017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22" w:hRule="atLeast"/>
          <w:jc w:val="center"/>
        </w:trPr>
        <w:tc>
          <w:tcPr>
            <w:tcW w:w="10632" w:type="dxa"/>
            <w:gridSpan w:val="9"/>
            <w:shd w:val="clear" w:color="auto" w:fill="FFFFFF"/>
            <w:vAlign w:val="center"/>
          </w:tcPr>
          <w:p w14:paraId="2F3BC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</w:tbl>
    <w:p w14:paraId="730F7AB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二、产品要求：</w:t>
      </w:r>
    </w:p>
    <w:p w14:paraId="2AA94E3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2.1 技术要求：</w:t>
      </w:r>
    </w:p>
    <w:p w14:paraId="6316E3F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所有货物需是全新的、包装完好的货物，表面无划伤、无碰撞各项技术指标完全符合国家有关质量检测、环保标准及产品出厂标准。中标后若对产品有疑问可要求提供该原材料检测报告原件。</w:t>
      </w:r>
    </w:p>
    <w:p w14:paraId="3EAAE1B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所售货物必须满足采购文件要求，包括产品规格、型号、颜色、式样、材质等，确保所售产品质量保证。</w:t>
      </w:r>
    </w:p>
    <w:p w14:paraId="02238CD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2.2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商务要求</w:t>
      </w:r>
    </w:p>
    <w:p w14:paraId="4C9E1C0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交付时间：在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完成公示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天内完成交货并安装验收。</w:t>
      </w:r>
    </w:p>
    <w:p w14:paraId="3B6E884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交付地点：采购人指定地点。</w:t>
      </w:r>
    </w:p>
    <w:p w14:paraId="2A9D340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人通过银行转账方式向供应商指定银行账户支付款项：采购人在全部货物验收合格之日起4个月内，向乙方支付合同约定总价款的90%；余款10%，采购人在全部货物质保期届满且不存在需被扣除情形之日起10个工作日内，免息支付给供应商。</w:t>
      </w:r>
    </w:p>
    <w:p w14:paraId="502833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三、需提供的证明材料清单</w:t>
      </w:r>
    </w:p>
    <w:p w14:paraId="60B8BDA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供应商在投标时须提供以下材料复印件并加盖公章：</w:t>
      </w:r>
    </w:p>
    <w:p w14:paraId="670BD51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营业执照，营业执照营业范围必须包含经营此项目；</w:t>
      </w:r>
    </w:p>
    <w:p w14:paraId="58BACE0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投标人身份证复印件；</w:t>
      </w:r>
    </w:p>
    <w:p w14:paraId="31331CD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如投标人不是法定代表人，须持法定代表人亲笔签名的授权委托书,并提供法定代表人身份证复印件。</w:t>
      </w:r>
    </w:p>
    <w:p w14:paraId="46C0C73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售后服务承诺函；</w:t>
      </w:r>
    </w:p>
    <w:p w14:paraId="35EB852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 三年内在经营活动中没有重大违法记录（需提供“信用中国”网址查询记录证明）</w:t>
      </w:r>
    </w:p>
    <w:p w14:paraId="47BEFC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3.6 其他招标文件要求的资料。</w:t>
      </w:r>
    </w:p>
    <w:p w14:paraId="5A88850B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3.7 所有资料均密封盖章：</w:t>
      </w:r>
    </w:p>
    <w:p w14:paraId="6686CD7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四、产品运输、安全保险及保管</w:t>
      </w:r>
    </w:p>
    <w:p w14:paraId="45FE8BB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4.1供应商负责产品到交货地点的全部运输，包括所产生的一切材料费、工具费、人工费、手续费、差旅费、食宿费和加班费等，由于生产、搬运、装卸及运输不当造成的各种事故责任和损失由供应商承担。供应商负责产品在交货及安装地点的保管，直至项目验收合格。</w:t>
      </w:r>
    </w:p>
    <w:p w14:paraId="3281599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4.2 产品验收：项目完成后，供应商应将项目有关的全部资料，包括产品资料、保养说明书、技术文档及采购人要求的相关资料等，移交采购人。采购人按照采购文件、采购合同等载明的质量、服务等有关条款依法组织履约验收。</w:t>
      </w:r>
    </w:p>
    <w:p w14:paraId="26B1332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4.3 项目验收不合格，由供应商返工直至合格，有关返工、再行验收，以及给采购人造成的损失等费用由供应商承担。</w:t>
      </w:r>
    </w:p>
    <w:p w14:paraId="0DA5C8C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4.4 产品验收及标准：按国家标准、行业规范以及采购文件的质量要求和技术指标、供应商的投标文件承诺与本合同约定标准进行验收。</w:t>
      </w:r>
    </w:p>
    <w:p w14:paraId="6B0572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五、售后服务要求：</w:t>
      </w:r>
    </w:p>
    <w:p w14:paraId="7C28825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1、所售家具质保期一年起具体时间以供应商报价材料售后时间为准，自验收合格之日起算。在质保期内，如产品出现任何质量问题，供应商无条件提供免费上门服务。要求供应商 7*24小时电话响应及技术咨询，在接到维修需求后4小时内上门服务。保证故障问题在48小时内解决完毕。</w:t>
      </w:r>
    </w:p>
    <w:p w14:paraId="57B6A75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六、其他要求：</w:t>
      </w:r>
    </w:p>
    <w:p w14:paraId="44E66E1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6.1 供应商处理货物的产品包装，并负责对包装品的回收。</w:t>
      </w:r>
    </w:p>
    <w:p w14:paraId="322D0C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6.2 供应商在完成家货物验收并移交给采购人之前，负责看护、保管和清洁已安装完成的家具。</w:t>
      </w:r>
    </w:p>
    <w:p w14:paraId="4BCDDEC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6.3 本项目不统一组织现场勘察，供应商在投标前，如需现场勘察一切费用自理，踏勘期间发生的意外自负。</w:t>
      </w:r>
    </w:p>
    <w:p w14:paraId="4E85CC3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6.4 所有货物选用材料及做法均必须符合本项目技术要求，严格按国家有关现行标准、规范、规程处理。</w:t>
      </w:r>
    </w:p>
    <w:p w14:paraId="3CE3314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0345CC9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"/>
          <w:szCs w:val="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8099C"/>
    <w:rsid w:val="009C3171"/>
    <w:rsid w:val="03C60663"/>
    <w:rsid w:val="078132CC"/>
    <w:rsid w:val="088C6B15"/>
    <w:rsid w:val="0A9C4B03"/>
    <w:rsid w:val="0EE428AF"/>
    <w:rsid w:val="0F772484"/>
    <w:rsid w:val="10940C80"/>
    <w:rsid w:val="1BDB348B"/>
    <w:rsid w:val="1EA62CA9"/>
    <w:rsid w:val="20BF0C96"/>
    <w:rsid w:val="230666F9"/>
    <w:rsid w:val="24AE1C01"/>
    <w:rsid w:val="2955733F"/>
    <w:rsid w:val="2A007BA4"/>
    <w:rsid w:val="2CB22544"/>
    <w:rsid w:val="2D8D3349"/>
    <w:rsid w:val="2EE52256"/>
    <w:rsid w:val="2F681FEC"/>
    <w:rsid w:val="300E1477"/>
    <w:rsid w:val="303B192D"/>
    <w:rsid w:val="34FA5848"/>
    <w:rsid w:val="3643781B"/>
    <w:rsid w:val="3C01177E"/>
    <w:rsid w:val="3E1C2706"/>
    <w:rsid w:val="42A70C68"/>
    <w:rsid w:val="46C458F2"/>
    <w:rsid w:val="47411B55"/>
    <w:rsid w:val="47635CF3"/>
    <w:rsid w:val="48D961A4"/>
    <w:rsid w:val="4956735A"/>
    <w:rsid w:val="4F88099C"/>
    <w:rsid w:val="50370468"/>
    <w:rsid w:val="51251891"/>
    <w:rsid w:val="55AF7E22"/>
    <w:rsid w:val="58CC5532"/>
    <w:rsid w:val="5D443CF5"/>
    <w:rsid w:val="5E027CB9"/>
    <w:rsid w:val="61445EA9"/>
    <w:rsid w:val="626B2014"/>
    <w:rsid w:val="64943DA9"/>
    <w:rsid w:val="6BDD3169"/>
    <w:rsid w:val="6BEB0670"/>
    <w:rsid w:val="6D0253F0"/>
    <w:rsid w:val="6FDC0133"/>
    <w:rsid w:val="70E2331E"/>
    <w:rsid w:val="750D46A2"/>
    <w:rsid w:val="75C7479D"/>
    <w:rsid w:val="77E86BAA"/>
    <w:rsid w:val="7B2F3F4C"/>
    <w:rsid w:val="7B544D71"/>
    <w:rsid w:val="7BE67FFA"/>
    <w:rsid w:val="7C670A50"/>
    <w:rsid w:val="7D62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7">
    <w:name w:val="正文格式"/>
    <w:basedOn w:val="8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  <w:szCs w:val="20"/>
    </w:rPr>
  </w:style>
  <w:style w:type="paragraph" w:customStyle="1" w:styleId="8">
    <w:name w:val="正文11"/>
    <w:next w:val="7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0">
    <w:name w:val="U_正文2"/>
    <w:basedOn w:val="1"/>
    <w:qFormat/>
    <w:uiPriority w:val="0"/>
    <w:pPr>
      <w:spacing w:beforeLines="10" w:afterLines="10" w:line="300" w:lineRule="auto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2391</Words>
  <Characters>2601</Characters>
  <Lines>0</Lines>
  <Paragraphs>0</Paragraphs>
  <TotalTime>4</TotalTime>
  <ScaleCrop>false</ScaleCrop>
  <LinksUpToDate>false</LinksUpToDate>
  <CharactersWithSpaces>2627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2025-10-16T00:38:00Z</dcterms:created>
  <dc:creator>是小豹子</dc:creator>
  <cp:lastModifiedBy>半生繁华半世殇</cp:lastModifiedBy>
  <cp:lastPrinted>2025-11-27T08:29:00Z</cp:lastPrinted>
  <dcterms:modified xsi:type="dcterms:W3CDTF">2025-12-12T03:05:50Z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0DC64CA1A13445CBB214261FD04D7B94_13</vt:lpwstr>
  </property>
  <property fmtid="{D5CDD505-2E9C-101B-9397-08002B2CF9AE}" pid="4" name="KSOTemplateDocerSaveRecord">
    <vt:lpwstr>eyJoZGlkIjoiYzQwYTlmYjNiZDIzOGNhOGQ2ZGRhNGY4NzY0NmVlMDQiLCJ1c2VySWQiOiIxMTgxMDAzNDIxIn0=</vt:lpwstr>
  </property>
</Properties>
</file>