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E5935">
      <w:pPr>
        <w:pStyle w:val="15"/>
        <w:snapToGrid w:val="0"/>
        <w:jc w:val="center"/>
        <w:rPr>
          <w:rFonts w:hint="eastAsia" w:ascii="Arial" w:hAnsi="Arial" w:eastAsia="方正小标宋简体" w:cs="Arial"/>
          <w:sz w:val="72"/>
          <w:szCs w:val="72"/>
        </w:rPr>
      </w:pPr>
      <w:bookmarkStart w:id="0" w:name="_Toc16523570"/>
    </w:p>
    <w:p w14:paraId="3412FEC4">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3ED07A81">
      <w:pPr>
        <w:pStyle w:val="15"/>
        <w:snapToGrid w:val="0"/>
        <w:jc w:val="center"/>
        <w:rPr>
          <w:rFonts w:hint="eastAsia" w:ascii="Arial" w:hAnsi="Arial" w:eastAsia="方正小标宋简体" w:cs="Arial"/>
          <w:sz w:val="72"/>
          <w:szCs w:val="72"/>
        </w:rPr>
      </w:pPr>
    </w:p>
    <w:p w14:paraId="5CB02B34">
      <w:pPr>
        <w:pStyle w:val="15"/>
        <w:snapToGrid w:val="0"/>
        <w:jc w:val="center"/>
        <w:rPr>
          <w:rFonts w:hint="eastAsia" w:ascii="Arial" w:hAnsi="Arial" w:eastAsia="方正小标宋简体" w:cs="Arial"/>
          <w:sz w:val="72"/>
          <w:szCs w:val="72"/>
        </w:rPr>
      </w:pPr>
    </w:p>
    <w:p w14:paraId="519E3385">
      <w:pPr>
        <w:pStyle w:val="15"/>
        <w:snapToGrid w:val="0"/>
        <w:jc w:val="center"/>
        <w:rPr>
          <w:rFonts w:hint="eastAsia" w:ascii="Arial" w:hAnsi="Arial" w:eastAsia="方正小标宋简体" w:cs="Arial"/>
          <w:sz w:val="72"/>
          <w:szCs w:val="72"/>
        </w:rPr>
      </w:pPr>
    </w:p>
    <w:p w14:paraId="3A6AA008">
      <w:pPr>
        <w:pStyle w:val="1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0C86A664">
      <w:pPr>
        <w:pStyle w:val="15"/>
        <w:snapToGrid w:val="0"/>
        <w:jc w:val="center"/>
        <w:rPr>
          <w:rFonts w:ascii="Arial" w:hAnsi="Arial" w:cs="Arial"/>
          <w:sz w:val="32"/>
          <w:szCs w:val="32"/>
        </w:rPr>
      </w:pPr>
    </w:p>
    <w:p w14:paraId="69AEA753">
      <w:pPr>
        <w:pStyle w:val="16"/>
        <w:rPr>
          <w:rFonts w:ascii="Arial" w:hAnsi="Arial" w:cs="Arial"/>
          <w:sz w:val="32"/>
          <w:szCs w:val="32"/>
        </w:rPr>
      </w:pPr>
    </w:p>
    <w:p w14:paraId="30A2B842">
      <w:pPr>
        <w:pStyle w:val="2"/>
        <w:rPr>
          <w:rFonts w:ascii="Arial" w:hAnsi="Arial" w:cs="Arial"/>
          <w:sz w:val="32"/>
          <w:szCs w:val="32"/>
        </w:rPr>
      </w:pPr>
    </w:p>
    <w:p w14:paraId="0C838940">
      <w:pPr>
        <w:pStyle w:val="2"/>
        <w:rPr>
          <w:rFonts w:ascii="Arial" w:hAnsi="Arial" w:cs="Arial"/>
          <w:sz w:val="32"/>
          <w:szCs w:val="32"/>
        </w:rPr>
      </w:pPr>
    </w:p>
    <w:p w14:paraId="31AFCFAC">
      <w:pPr>
        <w:pStyle w:val="2"/>
        <w:rPr>
          <w:rFonts w:ascii="Arial" w:hAnsi="Arial" w:cs="Arial"/>
          <w:sz w:val="32"/>
          <w:szCs w:val="32"/>
        </w:rPr>
      </w:pPr>
    </w:p>
    <w:p w14:paraId="34BF5EB5">
      <w:pPr>
        <w:pStyle w:val="2"/>
        <w:rPr>
          <w:rFonts w:ascii="Arial" w:hAnsi="Arial" w:cs="Arial"/>
          <w:sz w:val="32"/>
          <w:szCs w:val="32"/>
        </w:rPr>
      </w:pPr>
    </w:p>
    <w:p w14:paraId="78CD9617">
      <w:pPr>
        <w:pStyle w:val="2"/>
        <w:rPr>
          <w:rFonts w:ascii="Arial" w:hAnsi="Arial" w:cs="Arial"/>
          <w:sz w:val="32"/>
          <w:szCs w:val="32"/>
        </w:rPr>
      </w:pPr>
    </w:p>
    <w:p w14:paraId="773BD522">
      <w:pPr>
        <w:pStyle w:val="2"/>
        <w:rPr>
          <w:rFonts w:ascii="Arial" w:hAnsi="Arial" w:cs="Arial"/>
          <w:sz w:val="32"/>
          <w:szCs w:val="32"/>
        </w:rPr>
      </w:pPr>
    </w:p>
    <w:p w14:paraId="79714145">
      <w:pPr>
        <w:pStyle w:val="2"/>
        <w:rPr>
          <w:rFonts w:ascii="Arial" w:hAnsi="Arial" w:cs="Arial"/>
          <w:sz w:val="32"/>
          <w:szCs w:val="32"/>
        </w:rPr>
      </w:pPr>
    </w:p>
    <w:p w14:paraId="68623196">
      <w:pPr>
        <w:pStyle w:val="15"/>
        <w:snapToGrid w:val="0"/>
        <w:jc w:val="center"/>
        <w:rPr>
          <w:rFonts w:ascii="Arial" w:hAnsi="Arial" w:cs="Arial"/>
          <w:sz w:val="32"/>
          <w:szCs w:val="32"/>
        </w:rPr>
      </w:pPr>
    </w:p>
    <w:p w14:paraId="25F6C60F">
      <w:pPr>
        <w:pStyle w:val="15"/>
        <w:snapToGrid w:val="0"/>
        <w:jc w:val="center"/>
        <w:rPr>
          <w:rFonts w:ascii="Arial" w:hAnsi="Arial" w:cs="Arial"/>
          <w:sz w:val="32"/>
          <w:szCs w:val="32"/>
        </w:rPr>
      </w:pPr>
    </w:p>
    <w:p w14:paraId="369B030B">
      <w:pPr>
        <w:spacing w:line="360" w:lineRule="auto"/>
        <w:rPr>
          <w:rFonts w:hint="eastAsia"/>
          <w:bCs/>
          <w:sz w:val="32"/>
          <w:szCs w:val="32"/>
        </w:rPr>
      </w:pPr>
    </w:p>
    <w:p w14:paraId="677037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11C306D">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（心肺复苏机医院公开挂网</w:t>
      </w:r>
      <w:r>
        <w:rPr>
          <w:rFonts w:hint="eastAsia" w:ascii="Times New Roman" w:hAnsi="Times New Roman" w:eastAsia="宋体" w:cs="Times New Roman"/>
          <w:b/>
          <w:bCs/>
          <w:kern w:val="44"/>
          <w:sz w:val="32"/>
          <w:szCs w:val="32"/>
          <w:lang w:val="en-US" w:eastAsia="zh-CN" w:bidi="ar-SA"/>
        </w:rPr>
        <w:t>）</w:t>
      </w:r>
    </w:p>
    <w:p w14:paraId="5CA17B34">
      <w:pPr>
        <w:spacing w:line="320" w:lineRule="exact"/>
        <w:jc w:val="left"/>
        <w:rPr>
          <w:sz w:val="24"/>
        </w:rPr>
      </w:pPr>
    </w:p>
    <w:p w14:paraId="40F78A9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十二</w:t>
      </w:r>
      <w:r>
        <w:rPr>
          <w:rFonts w:hint="eastAsia" w:ascii="宋体" w:hAnsi="宋体" w:cs="宋体"/>
          <w:bCs/>
          <w:sz w:val="32"/>
          <w:szCs w:val="32"/>
        </w:rPr>
        <w:t>月</w:t>
      </w:r>
    </w:p>
    <w:p w14:paraId="6404AC03">
      <w:pPr>
        <w:pStyle w:val="4"/>
        <w:numPr>
          <w:ilvl w:val="0"/>
          <w:numId w:val="0"/>
        </w:numPr>
        <w:spacing w:line="240" w:lineRule="auto"/>
        <w:ind w:leftChars="0"/>
        <w:jc w:val="center"/>
        <w:rPr>
          <w:rFonts w:hint="eastAsia" w:ascii="宋体" w:hAnsi="宋体" w:cs="宋体"/>
          <w:color w:val="auto"/>
          <w:sz w:val="44"/>
          <w:szCs w:val="44"/>
          <w:lang w:val="en-US" w:eastAsia="zh-CN"/>
        </w:rPr>
      </w:pPr>
    </w:p>
    <w:p w14:paraId="21DBEA31">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5A4DC1A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心肺复苏机</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5214F835">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13081471">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心肺复苏机</w:t>
      </w:r>
      <w:r>
        <w:rPr>
          <w:rFonts w:hint="eastAsia" w:asciiTheme="minorEastAsia" w:hAnsiTheme="minorEastAsia" w:eastAsiaTheme="minorEastAsia" w:cstheme="minorEastAsia"/>
          <w:b w:val="0"/>
          <w:bCs/>
          <w:color w:val="auto"/>
          <w:sz w:val="24"/>
          <w:szCs w:val="24"/>
          <w:lang w:val="en-US" w:eastAsia="zh-CN"/>
        </w:rPr>
        <w:t>项目</w:t>
      </w:r>
    </w:p>
    <w:p w14:paraId="1E06F045">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03D80DC6">
      <w:pPr>
        <w:pStyle w:val="15"/>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医院公开挂网</w:t>
      </w:r>
      <w:r>
        <w:rPr>
          <w:rFonts w:hint="eastAsia" w:asciiTheme="minorEastAsia" w:hAnsiTheme="minorEastAsia" w:eastAsiaTheme="minorEastAsia" w:cstheme="minorEastAsia"/>
          <w:bCs/>
          <w:color w:val="auto"/>
          <w:sz w:val="24"/>
          <w:szCs w:val="24"/>
          <w:lang w:val="en-US" w:eastAsia="zh-CN"/>
        </w:rPr>
        <w:t>，</w:t>
      </w:r>
      <w:bookmarkEnd w:id="0"/>
      <w:r>
        <w:rPr>
          <w:rFonts w:hint="eastAsia" w:asciiTheme="minorEastAsia" w:hAnsiTheme="minorEastAsia" w:eastAsiaTheme="minorEastAsia" w:cstheme="minorEastAsia"/>
          <w:bCs/>
          <w:color w:val="auto"/>
          <w:sz w:val="24"/>
          <w:szCs w:val="24"/>
          <w:lang w:val="en-US" w:eastAsia="zh-CN"/>
        </w:rPr>
        <w:t>按招标文件评分规则进行评审，以评审结果排序，综合评分得分相同的，按投标报价由低到高顺序排列，得分且投标报价相同的，按技术指标优劣顺序排列。</w:t>
      </w:r>
    </w:p>
    <w:p w14:paraId="47F4133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263986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049DA5CD">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31D4D3F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0393C9B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222F93A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B2B8B2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378D117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57C14EA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4209C1AA">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2A51C19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1FBB81C2">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57A00E8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213A03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4E57A0FD">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51D7EC7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19B898A">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34056F4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6601D7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44D2A56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7E352A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75D382DA">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2D946279">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1.7、技术参数负偏离大于5条的。</w:t>
      </w:r>
    </w:p>
    <w:p w14:paraId="0E9201E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3750C12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6547CA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CAF49B6">
      <w:pPr>
        <w:pStyle w:val="16"/>
        <w:rPr>
          <w:rFonts w:hint="eastAsia"/>
          <w:lang w:val="en-US" w:eastAsia="zh-CN"/>
        </w:rPr>
      </w:pPr>
    </w:p>
    <w:p w14:paraId="56DA009E">
      <w:pPr>
        <w:pStyle w:val="16"/>
        <w:jc w:val="both"/>
        <w:rPr>
          <w:rFonts w:hint="default"/>
          <w:lang w:val="en-US" w:eastAsia="zh-CN"/>
        </w:rPr>
      </w:pPr>
    </w:p>
    <w:p w14:paraId="616CC007">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91F23BE">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4F624BB8">
      <w:pPr>
        <w:pStyle w:val="16"/>
        <w:rPr>
          <w:rFonts w:hint="eastAsia" w:ascii="宋体" w:hAnsi="宋体" w:cs="宋体"/>
          <w:b/>
          <w:bCs/>
          <w:color w:val="auto"/>
          <w:sz w:val="44"/>
          <w:szCs w:val="44"/>
          <w:lang w:val="en-US" w:eastAsia="zh-CN"/>
        </w:rPr>
      </w:pPr>
    </w:p>
    <w:p w14:paraId="7E804C81">
      <w:pPr>
        <w:pStyle w:val="2"/>
        <w:rPr>
          <w:rFonts w:hint="eastAsia" w:ascii="宋体" w:hAnsi="宋体" w:cs="宋体"/>
          <w:b/>
          <w:bCs/>
          <w:color w:val="auto"/>
          <w:sz w:val="44"/>
          <w:szCs w:val="44"/>
          <w:lang w:val="en-US" w:eastAsia="zh-CN"/>
        </w:rPr>
      </w:pPr>
    </w:p>
    <w:p w14:paraId="0876C9E2">
      <w:pPr>
        <w:rPr>
          <w:rFonts w:hint="eastAsia" w:ascii="宋体" w:hAnsi="宋体" w:cs="宋体"/>
          <w:b/>
          <w:bCs/>
          <w:color w:val="auto"/>
          <w:sz w:val="44"/>
          <w:szCs w:val="44"/>
          <w:lang w:val="en-US" w:eastAsia="zh-CN"/>
        </w:rPr>
      </w:pPr>
    </w:p>
    <w:p w14:paraId="1C6E4EB8">
      <w:pPr>
        <w:pStyle w:val="14"/>
        <w:rPr>
          <w:rFonts w:hint="eastAsia"/>
          <w:lang w:val="en-US" w:eastAsia="zh-CN"/>
        </w:rPr>
      </w:pPr>
    </w:p>
    <w:p w14:paraId="59E83A7A">
      <w:pPr>
        <w:rPr>
          <w:rFonts w:hint="eastAsia"/>
          <w:lang w:val="en-US" w:eastAsia="zh-CN"/>
        </w:rPr>
      </w:pPr>
      <w:r>
        <w:rPr>
          <w:rFonts w:hint="eastAsia"/>
          <w:lang w:val="en-US" w:eastAsia="zh-CN"/>
        </w:rPr>
        <w:br w:type="page"/>
      </w:r>
    </w:p>
    <w:p w14:paraId="734E486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4FC709C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1DF0246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14:paraId="4A5E061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D377B5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725F2B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27175E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D37F91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1A181B">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20683B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D00CF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C21BBD9">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心肺复苏机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C17A62">
            <w:pPr>
              <w:jc w:val="center"/>
              <w:rPr>
                <w:rFonts w:hint="eastAsia" w:asciiTheme="minorEastAsia" w:hAnsiTheme="minorEastAsia" w:eastAsiaTheme="minorEastAsia" w:cstheme="minorEastAsia"/>
                <w:kern w:val="2"/>
                <w:sz w:val="24"/>
                <w:szCs w:val="24"/>
                <w:lang w:val="en-US" w:eastAsia="zh-CN"/>
              </w:rPr>
            </w:pPr>
            <w:r>
              <w:rPr>
                <w:rFonts w:hint="eastAsia"/>
                <w:lang w:val="en-US" w:eastAsia="zh-CN"/>
              </w:rPr>
              <w:t>2台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8391039">
            <w:pPr>
              <w:jc w:val="center"/>
              <w:rPr>
                <w:rFonts w:hint="default" w:asciiTheme="minorEastAsia" w:hAnsiTheme="minorEastAsia" w:eastAsiaTheme="minorEastAsia" w:cstheme="minorEastAsia"/>
                <w:kern w:val="2"/>
                <w:sz w:val="24"/>
                <w:szCs w:val="24"/>
                <w:lang w:val="en-US" w:eastAsia="zh-CN"/>
              </w:rPr>
            </w:pPr>
            <w:r>
              <w:rPr>
                <w:rFonts w:hint="eastAsia"/>
                <w:lang w:val="en-US" w:eastAsia="zh-CN"/>
              </w:rPr>
              <w:t>19</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1CFAA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342D5C6F">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6A0BC3D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6574DE6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1611CEB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14:paraId="24EFFA0A">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228E67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rPr>
      </w:pPr>
      <w:r>
        <w:rPr>
          <w:rFonts w:ascii="宋体" w:hAnsi="宋体"/>
          <w:sz w:val="24"/>
          <w:szCs w:val="24"/>
        </w:rPr>
        <w:t>1</w:t>
      </w:r>
      <w:r>
        <w:rPr>
          <w:rFonts w:hint="eastAsia" w:ascii="宋体" w:hAnsi="宋体"/>
          <w:sz w:val="24"/>
          <w:szCs w:val="24"/>
        </w:rPr>
        <w:t>、便携式电动胸腔按压机，适合院内院外心肺复苏急救。</w:t>
      </w:r>
    </w:p>
    <w:p w14:paraId="2A3929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按压技术：3D按压</w:t>
      </w:r>
      <w:r>
        <w:rPr>
          <w:rFonts w:hint="eastAsia" w:ascii="宋体" w:hAnsi="宋体" w:eastAsia="宋体" w:cs="Times New Roman"/>
          <w:sz w:val="24"/>
          <w:szCs w:val="24"/>
        </w:rPr>
        <w:t>，</w:t>
      </w:r>
      <w:r>
        <w:rPr>
          <w:rFonts w:hint="eastAsia" w:ascii="宋体" w:hAnsi="宋体" w:eastAsia="宋体" w:cs="Times New Roman"/>
          <w:sz w:val="24"/>
          <w:szCs w:val="24"/>
          <w:lang w:val="en-US"/>
        </w:rPr>
        <w:t>采用结合胸泵和心泵机制、模拟心脏搏动原理的智能心肺复苏技术，能比徒手CPR更高效率地改善血流动力学效应，减少复苏过程引起的损伤</w:t>
      </w:r>
      <w:r>
        <w:rPr>
          <w:rFonts w:hint="eastAsia" w:ascii="宋体" w:hAnsi="宋体" w:eastAsia="宋体" w:cs="Times New Roman"/>
          <w:sz w:val="24"/>
          <w:szCs w:val="24"/>
          <w:lang w:val="en-US" w:eastAsia="zh-CN"/>
        </w:rPr>
        <w:t>。</w:t>
      </w:r>
    </w:p>
    <w:p w14:paraId="36723E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r>
        <w:rPr>
          <w:rFonts w:hint="eastAsia" w:ascii="宋体" w:hAnsi="宋体" w:eastAsia="宋体" w:cs="Times New Roman"/>
          <w:sz w:val="24"/>
          <w:szCs w:val="24"/>
          <w:lang w:val="en-US" w:eastAsia="zh-CN"/>
        </w:rPr>
        <w:t>3</w:t>
      </w:r>
      <w:r>
        <w:rPr>
          <w:rFonts w:ascii="宋体" w:hAnsi="宋体"/>
          <w:sz w:val="24"/>
          <w:szCs w:val="24"/>
        </w:rPr>
        <w:t>、</w:t>
      </w:r>
      <w:r>
        <w:rPr>
          <w:rFonts w:hint="eastAsia" w:ascii="宋体" w:hAnsi="宋体"/>
          <w:sz w:val="24"/>
          <w:szCs w:val="24"/>
        </w:rPr>
        <w:t>按压频率：</w:t>
      </w:r>
      <w:r>
        <w:rPr>
          <w:rFonts w:hint="eastAsia" w:ascii="宋体" w:hAnsi="宋体" w:eastAsia="宋体" w:cs="Times New Roman"/>
          <w:sz w:val="24"/>
          <w:szCs w:val="24"/>
        </w:rPr>
        <w:t>≥100次/分钟</w:t>
      </w:r>
      <w:r>
        <w:rPr>
          <w:rFonts w:hint="eastAsia" w:ascii="宋体" w:hAnsi="宋体"/>
          <w:sz w:val="24"/>
          <w:szCs w:val="24"/>
          <w:lang w:val="en-US" w:eastAsia="zh-CN"/>
        </w:rPr>
        <w:t>，</w:t>
      </w:r>
      <w:r>
        <w:rPr>
          <w:rFonts w:hint="eastAsia" w:ascii="Cambria" w:hAnsi="Cambria" w:eastAsia="宋体" w:cs="Cambria"/>
          <w:sz w:val="24"/>
          <w:szCs w:val="24"/>
          <w:lang w:val="en-US" w:eastAsia="zh-CN"/>
        </w:rPr>
        <w:t>按压频率误差</w:t>
      </w:r>
      <w:r>
        <w:rPr>
          <w:rFonts w:hint="eastAsia" w:ascii="宋体" w:hAnsi="宋体"/>
          <w:sz w:val="24"/>
          <w:szCs w:val="24"/>
        </w:rPr>
        <w:t>≤±1次/分钟。</w:t>
      </w:r>
    </w:p>
    <w:p w14:paraId="12FF82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sz w:val="24"/>
          <w:szCs w:val="24"/>
          <w:lang w:val="en-US" w:eastAsia="zh-CN"/>
        </w:rPr>
      </w:pPr>
      <w:r>
        <w:rPr>
          <w:rFonts w:hint="eastAsia" w:ascii="宋体" w:hAnsi="宋体"/>
          <w:sz w:val="24"/>
          <w:szCs w:val="24"/>
          <w:lang w:val="en-US" w:eastAsia="zh-CN"/>
        </w:rPr>
        <w:t>4</w:t>
      </w:r>
      <w:r>
        <w:rPr>
          <w:rFonts w:ascii="宋体" w:hAnsi="宋体"/>
          <w:sz w:val="24"/>
          <w:szCs w:val="24"/>
        </w:rPr>
        <w:t>、</w:t>
      </w:r>
      <w:r>
        <w:rPr>
          <w:rFonts w:hint="eastAsia" w:ascii="宋体" w:hAnsi="宋体"/>
          <w:sz w:val="24"/>
          <w:szCs w:val="24"/>
        </w:rPr>
        <w:t>按压</w:t>
      </w:r>
      <w:r>
        <w:rPr>
          <w:rFonts w:hint="eastAsia" w:ascii="宋体" w:hAnsi="宋体"/>
          <w:sz w:val="24"/>
          <w:szCs w:val="24"/>
          <w:lang w:val="en-US" w:eastAsia="zh-CN"/>
        </w:rPr>
        <w:t>深度范围</w:t>
      </w:r>
      <w:r>
        <w:rPr>
          <w:rFonts w:hint="eastAsia" w:ascii="宋体" w:hAnsi="宋体"/>
          <w:sz w:val="24"/>
          <w:szCs w:val="24"/>
        </w:rPr>
        <w:t>：3.0-5.5厘米内</w:t>
      </w:r>
      <w:r>
        <w:rPr>
          <w:rFonts w:hint="eastAsia" w:ascii="宋体" w:hAnsi="宋体"/>
          <w:sz w:val="24"/>
          <w:szCs w:val="24"/>
          <w:lang w:eastAsia="zh-CN"/>
        </w:rPr>
        <w:t>，</w:t>
      </w:r>
      <w:r>
        <w:rPr>
          <w:rFonts w:hint="eastAsia" w:ascii="Cambria" w:hAnsi="Cambria" w:eastAsia="宋体" w:cs="Cambria"/>
          <w:sz w:val="24"/>
          <w:szCs w:val="24"/>
          <w:lang w:val="en-US" w:eastAsia="zh-CN"/>
        </w:rPr>
        <w:t>按压深误差</w:t>
      </w:r>
      <w:r>
        <w:rPr>
          <w:rFonts w:hint="eastAsia" w:ascii="宋体" w:hAnsi="宋体"/>
          <w:sz w:val="24"/>
          <w:szCs w:val="24"/>
        </w:rPr>
        <w:t>≤±0.2厘米。</w:t>
      </w:r>
    </w:p>
    <w:p w14:paraId="48F29A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rPr>
      </w:pPr>
      <w:r>
        <w:rPr>
          <w:rFonts w:hint="eastAsia" w:ascii="宋体" w:hAnsi="宋体" w:cs="宋体"/>
          <w:color w:val="000000"/>
          <w:kern w:val="0"/>
          <w:sz w:val="24"/>
          <w:szCs w:val="24"/>
          <w:lang w:val="en-US" w:eastAsia="zh-CN"/>
        </w:rPr>
        <w:t>★5</w:t>
      </w:r>
      <w:r>
        <w:rPr>
          <w:rFonts w:hint="eastAsia" w:ascii="宋体" w:hAnsi="宋体"/>
          <w:sz w:val="24"/>
          <w:szCs w:val="24"/>
        </w:rPr>
        <w:t>、主机绷带挂钩</w:t>
      </w:r>
      <w:r>
        <w:rPr>
          <w:rFonts w:hint="eastAsia" w:ascii="宋体" w:hAnsi="宋体"/>
          <w:sz w:val="24"/>
          <w:szCs w:val="24"/>
          <w:lang w:val="en-US" w:eastAsia="zh-CN"/>
        </w:rPr>
        <w:t>内侧</w:t>
      </w:r>
      <w:r>
        <w:rPr>
          <w:rFonts w:hint="eastAsia" w:ascii="宋体" w:hAnsi="宋体"/>
          <w:sz w:val="24"/>
          <w:szCs w:val="24"/>
        </w:rPr>
        <w:t>宽度：≤1</w:t>
      </w:r>
      <w:r>
        <w:rPr>
          <w:rFonts w:hint="eastAsia" w:ascii="宋体" w:hAnsi="宋体"/>
          <w:sz w:val="24"/>
          <w:szCs w:val="24"/>
          <w:lang w:val="en-US" w:eastAsia="zh-CN"/>
        </w:rPr>
        <w:t>8</w:t>
      </w:r>
      <w:r>
        <w:rPr>
          <w:rFonts w:hint="eastAsia" w:ascii="宋体" w:hAnsi="宋体"/>
          <w:sz w:val="24"/>
          <w:szCs w:val="24"/>
        </w:rPr>
        <w:t>5mm，确保按压期胸腔双侧向内收缩，避免按压动能外泄。</w:t>
      </w:r>
    </w:p>
    <w:p w14:paraId="45ED6D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、主机绷带挂钩高度：≥3</w:t>
      </w:r>
      <w:r>
        <w:rPr>
          <w:rFonts w:hint="eastAsia" w:ascii="宋体" w:hAnsi="宋体"/>
          <w:sz w:val="24"/>
          <w:szCs w:val="24"/>
          <w:lang w:val="en-US" w:eastAsia="zh-CN"/>
        </w:rPr>
        <w:t>0</w:t>
      </w:r>
      <w:r>
        <w:rPr>
          <w:rFonts w:hint="eastAsia" w:ascii="宋体" w:hAnsi="宋体"/>
          <w:sz w:val="24"/>
          <w:szCs w:val="24"/>
        </w:rPr>
        <w:t>mm，确保按压期按压动能可实时传至胸腔背部两侧并向内收缩，实现胸周全收缩效果，同时降低按压期主机的晃动。</w:t>
      </w:r>
    </w:p>
    <w:p w14:paraId="0CC8B3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固定绷带强度：材料为全柔性绷带，无任何硬质背板，固定绷带在承受≥250N拉力的情况下，不会断裂脱落影响使用。</w:t>
      </w:r>
    </w:p>
    <w:p w14:paraId="78B2B3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trike w:val="0"/>
          <w:dstrike w:val="0"/>
          <w:sz w:val="24"/>
          <w:szCs w:val="24"/>
        </w:rPr>
      </w:pPr>
      <w:r>
        <w:rPr>
          <w:rFonts w:hint="default" w:ascii="宋体" w:hAnsi="宋体" w:eastAsia="宋体" w:cs="宋体"/>
          <w:sz w:val="24"/>
          <w:szCs w:val="24"/>
          <w:lang w:val="en-US"/>
        </w:rPr>
        <w:t>8</w:t>
      </w:r>
      <w:r>
        <w:rPr>
          <w:rFonts w:hint="eastAsia" w:ascii="宋体" w:hAnsi="宋体" w:eastAsia="宋体" w:cs="宋体"/>
          <w:sz w:val="24"/>
          <w:szCs w:val="24"/>
          <w:lang w:val="en-US" w:eastAsia="zh-CN"/>
        </w:rPr>
        <w:t>、对允许使用心肺复苏机患者的胸高无限制。</w:t>
      </w:r>
      <w:r>
        <w:rPr>
          <w:rFonts w:hint="eastAsia" w:ascii="宋体" w:hAnsi="宋体" w:cs="宋体"/>
          <w:strike w:val="0"/>
          <w:dstrike w:val="0"/>
          <w:sz w:val="24"/>
          <w:szCs w:val="24"/>
          <w:lang w:val="en-US" w:eastAsia="zh-CN"/>
        </w:rPr>
        <w:t>（提供证明材料)</w:t>
      </w:r>
    </w:p>
    <w:p w14:paraId="3ACC8A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rPr>
      </w:pPr>
      <w:r>
        <w:rPr>
          <w:rFonts w:hint="default" w:ascii="宋体" w:hAnsi="宋体" w:cs="宋体"/>
          <w:color w:val="000000"/>
          <w:kern w:val="0"/>
          <w:sz w:val="24"/>
          <w:szCs w:val="24"/>
          <w:lang w:val="en-US"/>
        </w:rPr>
        <w:t>9</w:t>
      </w:r>
      <w:r>
        <w:rPr>
          <w:rFonts w:hint="eastAsia" w:ascii="宋体" w:hAnsi="宋体"/>
          <w:sz w:val="24"/>
          <w:szCs w:val="24"/>
          <w:lang w:val="en-US" w:eastAsia="zh-CN"/>
        </w:rPr>
        <w:t>、主机高度</w:t>
      </w:r>
      <w:r>
        <w:rPr>
          <w:rFonts w:hint="eastAsia" w:ascii="宋体" w:hAnsi="宋体"/>
          <w:sz w:val="24"/>
          <w:szCs w:val="24"/>
        </w:rPr>
        <w:t>≤</w:t>
      </w:r>
      <w:r>
        <w:rPr>
          <w:rFonts w:hint="default" w:ascii="宋体" w:hAnsi="宋体"/>
          <w:sz w:val="24"/>
          <w:szCs w:val="24"/>
          <w:lang w:val="en-US"/>
        </w:rPr>
        <w:t>17.8</w:t>
      </w:r>
      <w:r>
        <w:rPr>
          <w:rFonts w:hint="eastAsia" w:ascii="宋体" w:hAnsi="宋体"/>
          <w:sz w:val="24"/>
          <w:szCs w:val="24"/>
          <w:lang w:val="en-US" w:eastAsia="zh-CN"/>
        </w:rPr>
        <w:t>cm</w:t>
      </w:r>
      <w:r>
        <w:rPr>
          <w:rFonts w:hint="eastAsia" w:ascii="宋体" w:hAnsi="宋体" w:eastAsia="宋体" w:cs="Times New Roman"/>
          <w:sz w:val="24"/>
          <w:szCs w:val="24"/>
          <w:lang w:val="en-US"/>
        </w:rPr>
        <w:t>，便于在负压隔离仓内实施心肺复苏。</w:t>
      </w:r>
    </w:p>
    <w:p w14:paraId="3BD08E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auto"/>
          <w:sz w:val="24"/>
          <w:szCs w:val="24"/>
          <w:lang w:val="en-US"/>
        </w:rPr>
      </w:pPr>
      <w:r>
        <w:rPr>
          <w:rFonts w:hint="default" w:ascii="宋体" w:hAnsi="宋体"/>
          <w:sz w:val="24"/>
          <w:szCs w:val="24"/>
          <w:lang w:val="en-US"/>
        </w:rPr>
        <w:t>10</w:t>
      </w:r>
      <w:r>
        <w:rPr>
          <w:rFonts w:hint="eastAsia" w:ascii="宋体" w:hAnsi="宋体"/>
          <w:sz w:val="24"/>
          <w:szCs w:val="24"/>
          <w:lang w:val="en-US" w:eastAsia="zh-CN"/>
        </w:rPr>
        <w:t>、</w:t>
      </w:r>
      <w:r>
        <w:rPr>
          <w:rFonts w:hint="eastAsia" w:ascii="宋体" w:hAnsi="宋体"/>
          <w:sz w:val="24"/>
          <w:szCs w:val="24"/>
        </w:rPr>
        <w:t>车载运行性能：通过EN1789《医用车辆和其设备.道路救护车》测试</w:t>
      </w:r>
      <w:r>
        <w:rPr>
          <w:rFonts w:hint="eastAsia" w:ascii="宋体" w:hAnsi="宋体"/>
          <w:sz w:val="24"/>
          <w:szCs w:val="24"/>
          <w:lang w:eastAsia="zh-CN"/>
        </w:rPr>
        <w:t>，</w:t>
      </w:r>
      <w:r>
        <w:rPr>
          <w:rFonts w:hint="eastAsia" w:ascii="宋体" w:hAnsi="宋体"/>
          <w:sz w:val="24"/>
          <w:szCs w:val="24"/>
        </w:rPr>
        <w:t>具有测试报告。</w:t>
      </w:r>
      <w:r>
        <w:rPr>
          <w:rFonts w:hint="eastAsia" w:ascii="宋体" w:hAnsi="宋体" w:eastAsia="宋体" w:cs="Times New Roman"/>
          <w:color w:val="auto"/>
          <w:sz w:val="24"/>
          <w:szCs w:val="24"/>
          <w:lang w:val="en-US"/>
        </w:rPr>
        <w:t>在三级公路、行驶速度40km／h，运行200km状态下，能持续稳定实施胸腔按压，实际按压频率误差≤±1次/分钟，且实际按压深度误差≤±0.2厘米。</w:t>
      </w:r>
    </w:p>
    <w:p w14:paraId="397D7E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trike w:val="0"/>
          <w:dstrike w:val="0"/>
          <w:sz w:val="24"/>
          <w:szCs w:val="24"/>
        </w:rPr>
      </w:pPr>
      <w:r>
        <w:rPr>
          <w:rFonts w:hint="default" w:ascii="宋体" w:hAnsi="宋体" w:eastAsia="宋体" w:cs="Times New Roman"/>
          <w:color w:val="auto"/>
          <w:sz w:val="24"/>
          <w:szCs w:val="24"/>
          <w:lang w:val="en-US"/>
        </w:rPr>
        <w:t>11</w:t>
      </w:r>
      <w:r>
        <w:rPr>
          <w:rFonts w:hint="eastAsia" w:ascii="宋体" w:hAnsi="宋体" w:eastAsia="宋体" w:cs="Times New Roman"/>
          <w:color w:val="auto"/>
          <w:sz w:val="24"/>
          <w:szCs w:val="24"/>
          <w:lang w:val="en-US" w:eastAsia="zh-CN"/>
        </w:rPr>
        <w:t>、</w:t>
      </w:r>
      <w:r>
        <w:rPr>
          <w:rFonts w:hint="default" w:ascii="宋体" w:hAnsi="宋体" w:eastAsia="宋体" w:cs="Times New Roman"/>
          <w:color w:val="auto"/>
          <w:sz w:val="24"/>
          <w:szCs w:val="24"/>
          <w:lang w:val="en-US"/>
        </w:rPr>
        <w:t>抬动、移动及转运患者时，不应中断按压，确保更高的CCF。</w:t>
      </w:r>
      <w:r>
        <w:rPr>
          <w:rFonts w:hint="eastAsia" w:ascii="宋体" w:hAnsi="宋体" w:cs="宋体"/>
          <w:strike w:val="0"/>
          <w:dstrike w:val="0"/>
          <w:sz w:val="24"/>
          <w:szCs w:val="24"/>
          <w:lang w:val="en-US" w:eastAsia="zh-CN"/>
        </w:rPr>
        <w:t>（提供证明材料)</w:t>
      </w:r>
    </w:p>
    <w:p w14:paraId="1339C5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sz w:val="24"/>
          <w:szCs w:val="24"/>
          <w:lang w:val="en-US" w:eastAsia="zh-CN"/>
        </w:rPr>
        <w:t>12</w:t>
      </w:r>
      <w:r>
        <w:rPr>
          <w:rFonts w:hint="eastAsia" w:ascii="PingFang SC" w:hAnsi="PingFang SC" w:eastAsia="PingFang SC" w:cs="PingFang SC"/>
          <w:sz w:val="24"/>
          <w:szCs w:val="24"/>
          <w:lang w:val="en-US" w:eastAsia="zh-CN"/>
        </w:rPr>
        <w:t>、</w:t>
      </w:r>
      <w:r>
        <w:rPr>
          <w:rFonts w:hint="eastAsia" w:ascii="宋体" w:hAnsi="宋体"/>
          <w:color w:val="auto"/>
          <w:sz w:val="24"/>
          <w:szCs w:val="24"/>
        </w:rPr>
        <w:t>防电击类型分类：II 类外部电源供电的设备，具有双重绝缘或加强绝缘设计，无需专用接地线，满足紧急医疗服务环境中或移动的救护车内无地线环境使用</w:t>
      </w:r>
      <w:r>
        <w:rPr>
          <w:rFonts w:hint="eastAsia" w:ascii="宋体" w:hAnsi="宋体"/>
          <w:color w:val="auto"/>
          <w:sz w:val="24"/>
          <w:szCs w:val="24"/>
          <w:lang w:eastAsia="zh-CN"/>
        </w:rPr>
        <w:t>。</w:t>
      </w:r>
      <w:r>
        <w:rPr>
          <w:rFonts w:hint="eastAsia" w:ascii="宋体" w:hAnsi="宋体" w:cs="宋体"/>
          <w:strike w:val="0"/>
          <w:dstrike w:val="0"/>
          <w:sz w:val="24"/>
          <w:szCs w:val="24"/>
          <w:lang w:val="en-US" w:eastAsia="zh-CN"/>
        </w:rPr>
        <w:t>（提供证明材料)</w:t>
      </w:r>
    </w:p>
    <w:p w14:paraId="67A538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trike w:val="0"/>
          <w:dstrike w:val="0"/>
          <w:sz w:val="24"/>
          <w:szCs w:val="24"/>
        </w:rPr>
      </w:pPr>
      <w:r>
        <w:rPr>
          <w:rFonts w:hint="default" w:ascii="宋体" w:hAnsi="宋体" w:eastAsia="宋体" w:cs="Times New Roman"/>
          <w:color w:val="auto"/>
          <w:sz w:val="24"/>
          <w:szCs w:val="24"/>
          <w:lang w:val="en-US" w:eastAsia="zh-CN"/>
        </w:rPr>
        <w:t>13</w:t>
      </w:r>
      <w:r>
        <w:rPr>
          <w:rFonts w:hint="eastAsia" w:ascii="宋体" w:hAnsi="宋体" w:eastAsia="宋体" w:cs="Times New Roman"/>
          <w:color w:val="auto"/>
          <w:sz w:val="24"/>
          <w:szCs w:val="24"/>
          <w:lang w:val="en-US" w:eastAsia="zh-CN"/>
        </w:rPr>
        <w:t>、电池最长充电时间不超过4小时。</w:t>
      </w:r>
      <w:r>
        <w:rPr>
          <w:rFonts w:hint="eastAsia" w:ascii="宋体" w:hAnsi="宋体" w:cs="宋体"/>
          <w:strike w:val="0"/>
          <w:dstrike w:val="0"/>
          <w:sz w:val="24"/>
          <w:szCs w:val="24"/>
          <w:lang w:val="en-US" w:eastAsia="zh-CN"/>
        </w:rPr>
        <w:t>（提供证明材料)</w:t>
      </w:r>
    </w:p>
    <w:p w14:paraId="529CB1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z w:val="24"/>
          <w:szCs w:val="24"/>
          <w:lang w:val="en-US" w:eastAsia="zh-CN"/>
        </w:rPr>
      </w:pPr>
      <w:r>
        <w:rPr>
          <w:rFonts w:hint="eastAsia" w:ascii="宋体" w:hAnsi="宋体"/>
          <w:sz w:val="24"/>
          <w:szCs w:val="24"/>
          <w:lang w:val="en-US" w:eastAsia="zh-CN"/>
        </w:rPr>
        <w:t>1</w:t>
      </w:r>
      <w:r>
        <w:rPr>
          <w:rFonts w:hint="default" w:ascii="宋体" w:hAnsi="宋体"/>
          <w:sz w:val="24"/>
          <w:szCs w:val="24"/>
          <w:lang w:val="en-US" w:eastAsia="zh-CN"/>
        </w:rPr>
        <w:t>4</w:t>
      </w:r>
      <w:r>
        <w:rPr>
          <w:rFonts w:hint="eastAsia" w:ascii="宋体" w:hAnsi="宋体"/>
          <w:sz w:val="24"/>
          <w:szCs w:val="24"/>
          <w:lang w:val="en-US" w:eastAsia="zh-CN"/>
        </w:rPr>
        <w:t>、</w:t>
      </w:r>
      <w:r>
        <w:rPr>
          <w:rFonts w:hint="eastAsia" w:ascii="宋体" w:hAnsi="宋体"/>
          <w:sz w:val="24"/>
          <w:szCs w:val="24"/>
        </w:rPr>
        <w:t>最高持续工作作温度：≥ +45℃，满足炎夏野外急救需求</w:t>
      </w:r>
      <w:r>
        <w:rPr>
          <w:rFonts w:hint="eastAsia" w:ascii="宋体" w:hAnsi="宋体"/>
          <w:sz w:val="24"/>
          <w:szCs w:val="24"/>
          <w:lang w:eastAsia="zh-CN"/>
        </w:rPr>
        <w:t>。</w:t>
      </w:r>
      <w:r>
        <w:rPr>
          <w:rFonts w:hint="eastAsia" w:ascii="宋体" w:hAnsi="宋体" w:cs="宋体"/>
          <w:strike w:val="0"/>
          <w:dstrike w:val="0"/>
          <w:sz w:val="24"/>
          <w:szCs w:val="24"/>
          <w:lang w:val="en-US" w:eastAsia="zh-CN"/>
        </w:rPr>
        <w:t>（提供证明材料)</w:t>
      </w:r>
      <w:r>
        <w:rPr>
          <w:rFonts w:hint="eastAsia" w:ascii="宋体" w:hAnsi="宋体"/>
          <w:sz w:val="24"/>
          <w:szCs w:val="24"/>
          <w:lang w:val="en-US" w:eastAsia="zh-CN"/>
        </w:rPr>
        <w:t xml:space="preserve"> 1</w:t>
      </w:r>
      <w:r>
        <w:rPr>
          <w:rFonts w:hint="default" w:ascii="宋体" w:hAnsi="宋体"/>
          <w:sz w:val="24"/>
          <w:szCs w:val="24"/>
          <w:lang w:val="en-US" w:eastAsia="zh-CN"/>
        </w:rPr>
        <w:t>5</w:t>
      </w:r>
      <w:r>
        <w:rPr>
          <w:rFonts w:hint="eastAsia" w:ascii="宋体" w:hAnsi="宋体"/>
          <w:sz w:val="24"/>
          <w:szCs w:val="24"/>
          <w:lang w:val="en-US" w:eastAsia="zh-CN"/>
        </w:rPr>
        <w:t>、</w:t>
      </w:r>
      <w:r>
        <w:rPr>
          <w:rFonts w:hint="eastAsia" w:ascii="宋体" w:hAnsi="宋体"/>
          <w:sz w:val="24"/>
          <w:szCs w:val="24"/>
        </w:rPr>
        <w:t>最高持续工作相对湿度：≥90%，无冷凝，满足潮湿天气环境下的急救需求</w:t>
      </w:r>
      <w:r>
        <w:rPr>
          <w:rFonts w:hint="eastAsia" w:ascii="宋体" w:hAnsi="宋体"/>
          <w:sz w:val="24"/>
          <w:szCs w:val="24"/>
          <w:lang w:eastAsia="zh-CN"/>
        </w:rPr>
        <w:t>。</w:t>
      </w:r>
    </w:p>
    <w:p w14:paraId="45EC40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 1</w:t>
      </w:r>
      <w:r>
        <w:rPr>
          <w:rFonts w:hint="default" w:ascii="宋体" w:hAnsi="宋体" w:eastAsia="宋体" w:cs="Times New Roman"/>
          <w:sz w:val="24"/>
          <w:szCs w:val="24"/>
          <w:lang w:val="en-US" w:eastAsia="zh-CN"/>
        </w:rPr>
        <w:t>6</w:t>
      </w:r>
      <w:r>
        <w:rPr>
          <w:rFonts w:hint="eastAsia" w:ascii="宋体" w:hAnsi="宋体" w:eastAsia="宋体" w:cs="Times New Roman"/>
          <w:sz w:val="24"/>
          <w:szCs w:val="24"/>
          <w:lang w:val="en-US" w:eastAsia="zh-CN"/>
        </w:rPr>
        <w:t>、存储温度：-</w:t>
      </w:r>
      <w:r>
        <w:rPr>
          <w:rFonts w:hint="default" w:ascii="宋体" w:hAnsi="宋体" w:eastAsia="宋体" w:cs="Times New Roman"/>
          <w:sz w:val="24"/>
          <w:szCs w:val="24"/>
          <w:lang w:val="en-US" w:eastAsia="zh-CN"/>
        </w:rPr>
        <w:t>30</w:t>
      </w:r>
      <w:r>
        <w:rPr>
          <w:rFonts w:hint="eastAsia" w:ascii="宋体" w:hAnsi="宋体" w:eastAsia="宋体" w:cs="Times New Roman"/>
          <w:sz w:val="24"/>
          <w:szCs w:val="24"/>
          <w:lang w:val="en-US" w:eastAsia="zh-CN"/>
        </w:rPr>
        <w:t>℃至</w:t>
      </w:r>
      <w:r>
        <w:rPr>
          <w:rFonts w:hint="default" w:ascii="宋体" w:hAnsi="宋体" w:eastAsia="宋体" w:cs="Times New Roman"/>
          <w:sz w:val="24"/>
          <w:szCs w:val="24"/>
          <w:lang w:val="en-US" w:eastAsia="zh-CN"/>
        </w:rPr>
        <w:t>60</w:t>
      </w:r>
      <w:r>
        <w:rPr>
          <w:rFonts w:hint="eastAsia" w:ascii="宋体" w:hAnsi="宋体" w:eastAsia="宋体" w:cs="Times New Roman"/>
          <w:sz w:val="24"/>
          <w:szCs w:val="24"/>
          <w:lang w:val="en-US" w:eastAsia="zh-CN"/>
        </w:rPr>
        <w:t>℃。</w:t>
      </w:r>
    </w:p>
    <w:p w14:paraId="006FAB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trike/>
          <w:dstrike w:val="0"/>
          <w:sz w:val="24"/>
          <w:szCs w:val="24"/>
          <w:lang w:val="en-US" w:eastAsia="zh-CN"/>
        </w:rPr>
      </w:pPr>
      <w:r>
        <w:rPr>
          <w:rFonts w:hint="default" w:ascii="宋体" w:hAnsi="宋体"/>
          <w:sz w:val="24"/>
          <w:szCs w:val="24"/>
          <w:lang w:val="en-US" w:eastAsia="zh-CN"/>
        </w:rPr>
        <w:t xml:space="preserve"> </w:t>
      </w:r>
      <w:r>
        <w:rPr>
          <w:rFonts w:hint="eastAsia" w:ascii="宋体" w:hAnsi="宋体"/>
          <w:sz w:val="24"/>
          <w:szCs w:val="24"/>
          <w:lang w:val="en-US" w:eastAsia="zh-CN"/>
        </w:rPr>
        <w:t>1</w:t>
      </w:r>
      <w:r>
        <w:rPr>
          <w:rFonts w:hint="default" w:ascii="宋体" w:hAnsi="宋体"/>
          <w:sz w:val="24"/>
          <w:szCs w:val="24"/>
          <w:lang w:val="en-US" w:eastAsia="zh-CN"/>
        </w:rPr>
        <w:t>7</w:t>
      </w:r>
      <w:r>
        <w:rPr>
          <w:rFonts w:hint="eastAsia" w:ascii="宋体" w:hAnsi="宋体"/>
          <w:sz w:val="24"/>
          <w:szCs w:val="24"/>
          <w:lang w:val="en-US" w:eastAsia="zh-CN"/>
        </w:rPr>
        <w:t>、防电击的程度分类：CF 型，应用部分可与患者心脏直接接触的使用。</w:t>
      </w:r>
      <w:r>
        <w:rPr>
          <w:rFonts w:hint="eastAsia" w:ascii="宋体" w:hAnsi="宋体" w:cs="宋体"/>
          <w:strike w:val="0"/>
          <w:dstrike w:val="0"/>
          <w:sz w:val="24"/>
          <w:szCs w:val="24"/>
          <w:lang w:val="en-US" w:eastAsia="zh-CN"/>
        </w:rPr>
        <w:t>（提供证明材料)</w:t>
      </w:r>
    </w:p>
    <w:p w14:paraId="48D315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rPr>
      </w:pPr>
      <w:r>
        <w:rPr>
          <w:rFonts w:hint="eastAsia" w:ascii="宋体" w:hAnsi="宋体"/>
          <w:sz w:val="24"/>
          <w:szCs w:val="24"/>
          <w:lang w:val="en-US" w:eastAsia="zh-CN"/>
        </w:rPr>
        <w:t>1</w:t>
      </w:r>
      <w:r>
        <w:rPr>
          <w:rFonts w:hint="default" w:ascii="宋体" w:hAnsi="宋体"/>
          <w:sz w:val="24"/>
          <w:szCs w:val="24"/>
          <w:lang w:val="en-US" w:eastAsia="zh-CN"/>
        </w:rPr>
        <w:t>8</w:t>
      </w:r>
      <w:r>
        <w:rPr>
          <w:rFonts w:hint="eastAsia" w:ascii="宋体" w:hAnsi="宋体"/>
          <w:sz w:val="24"/>
          <w:szCs w:val="24"/>
          <w:lang w:val="en-US" w:eastAsia="zh-CN"/>
        </w:rPr>
        <w:t>、</w:t>
      </w:r>
      <w:r>
        <w:rPr>
          <w:rFonts w:hint="eastAsia" w:ascii="宋体" w:hAnsi="宋体"/>
          <w:sz w:val="24"/>
          <w:szCs w:val="24"/>
        </w:rPr>
        <w:t>主机重量</w:t>
      </w:r>
      <w:r>
        <w:rPr>
          <w:rFonts w:hint="eastAsia" w:ascii="宋体" w:hAnsi="宋体"/>
          <w:sz w:val="24"/>
          <w:szCs w:val="24"/>
          <w:lang w:eastAsia="zh-CN"/>
        </w:rPr>
        <w:t>（</w:t>
      </w:r>
      <w:r>
        <w:rPr>
          <w:rFonts w:hint="eastAsia" w:ascii="宋体" w:hAnsi="宋体"/>
          <w:sz w:val="24"/>
          <w:szCs w:val="24"/>
          <w:lang w:val="en-US" w:eastAsia="zh-CN"/>
        </w:rPr>
        <w:t>含电池）</w:t>
      </w:r>
      <w:r>
        <w:rPr>
          <w:rFonts w:hint="eastAsia" w:ascii="宋体" w:hAnsi="宋体"/>
          <w:sz w:val="24"/>
          <w:szCs w:val="24"/>
        </w:rPr>
        <w:t>：≤3.</w:t>
      </w:r>
      <w:r>
        <w:rPr>
          <w:rFonts w:hint="default" w:ascii="宋体" w:hAnsi="宋体"/>
          <w:sz w:val="24"/>
          <w:szCs w:val="24"/>
          <w:lang w:val="en-US"/>
        </w:rPr>
        <w:t>1</w:t>
      </w:r>
      <w:r>
        <w:rPr>
          <w:rFonts w:hint="eastAsia" w:ascii="宋体" w:hAnsi="宋体"/>
          <w:sz w:val="24"/>
          <w:szCs w:val="24"/>
        </w:rPr>
        <w:t>Kg</w:t>
      </w:r>
    </w:p>
    <w:p w14:paraId="41958F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trike/>
          <w:dstrike w:val="0"/>
          <w:sz w:val="24"/>
          <w:szCs w:val="24"/>
          <w:lang w:eastAsia="zh-CN"/>
        </w:rPr>
      </w:pPr>
      <w:r>
        <w:rPr>
          <w:rFonts w:hint="eastAsia" w:ascii="宋体" w:hAnsi="宋体" w:cs="宋体"/>
          <w:sz w:val="24"/>
          <w:szCs w:val="24"/>
          <w:lang w:val="en-US" w:eastAsia="zh-CN"/>
        </w:rPr>
        <w:t>19</w:t>
      </w:r>
      <w:r>
        <w:rPr>
          <w:rFonts w:hint="eastAsia" w:ascii="宋体" w:hAnsi="宋体" w:eastAsia="宋体" w:cs="宋体"/>
          <w:sz w:val="24"/>
          <w:szCs w:val="24"/>
          <w:lang w:val="en-US" w:eastAsia="zh-CN"/>
        </w:rPr>
        <w:t>、</w:t>
      </w:r>
      <w:r>
        <w:rPr>
          <w:rFonts w:hint="eastAsia" w:ascii="宋体" w:hAnsi="宋体" w:eastAsia="宋体" w:cs="宋体"/>
          <w:sz w:val="24"/>
          <w:szCs w:val="24"/>
        </w:rPr>
        <w:t>具有</w:t>
      </w:r>
      <w:r>
        <w:rPr>
          <w:rFonts w:hint="eastAsia" w:ascii="宋体" w:hAnsi="宋体" w:eastAsia="宋体" w:cs="宋体"/>
          <w:sz w:val="24"/>
          <w:szCs w:val="24"/>
          <w:lang w:val="en-US" w:eastAsia="zh-CN"/>
        </w:rPr>
        <w:t>心脏骤停（</w:t>
      </w:r>
      <w:r>
        <w:rPr>
          <w:rFonts w:hint="eastAsia" w:ascii="宋体" w:hAnsi="宋体" w:eastAsia="宋体" w:cs="宋体"/>
          <w:sz w:val="24"/>
          <w:szCs w:val="24"/>
        </w:rPr>
        <w:t>CA CPR</w:t>
      </w:r>
      <w:r>
        <w:rPr>
          <w:rFonts w:hint="eastAsia" w:ascii="宋体" w:hAnsi="宋体" w:eastAsia="宋体" w:cs="宋体"/>
          <w:sz w:val="24"/>
          <w:szCs w:val="24"/>
          <w:lang w:eastAsia="zh-CN"/>
        </w:rPr>
        <w:t>）</w:t>
      </w:r>
      <w:r>
        <w:rPr>
          <w:rFonts w:hint="eastAsia" w:ascii="宋体" w:hAnsi="宋体" w:eastAsia="宋体" w:cs="宋体"/>
          <w:sz w:val="24"/>
          <w:szCs w:val="24"/>
        </w:rPr>
        <w:t>质量数据管理软件，可查询、回顾和分析CPR质量数据，可将所选心肺复苏质量数据经过二次编辑后，以报告形式输出，展现多人群心肺复苏质量</w:t>
      </w:r>
      <w:r>
        <w:rPr>
          <w:rFonts w:hint="eastAsia" w:ascii="宋体" w:hAnsi="宋体" w:cs="宋体"/>
          <w:strike w:val="0"/>
          <w:dstrike w:val="0"/>
          <w:sz w:val="24"/>
          <w:szCs w:val="24"/>
          <w:lang w:val="en-US" w:eastAsia="zh-CN"/>
        </w:rPr>
        <w:t>（提供证明材料)</w:t>
      </w:r>
      <w:r>
        <w:rPr>
          <w:rFonts w:hint="eastAsia" w:ascii="宋体" w:hAnsi="宋体"/>
          <w:sz w:val="24"/>
          <w:szCs w:val="24"/>
          <w:lang w:val="en-US" w:eastAsia="zh-CN"/>
        </w:rPr>
        <w:t xml:space="preserve"> </w:t>
      </w:r>
      <w:r>
        <w:rPr>
          <w:rFonts w:hint="eastAsia" w:ascii="宋体" w:hAnsi="宋体" w:eastAsia="宋体" w:cs="宋体"/>
          <w:sz w:val="24"/>
          <w:szCs w:val="24"/>
        </w:rPr>
        <w:t>。</w:t>
      </w:r>
    </w:p>
    <w:p w14:paraId="42CC3793">
      <w:pPr>
        <w:pStyle w:val="20"/>
        <w:rPr>
          <w:rFonts w:hint="eastAsia"/>
          <w:lang w:val="en-US" w:eastAsia="zh-CN"/>
        </w:rPr>
      </w:pPr>
    </w:p>
    <w:p w14:paraId="4A1E4805">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0C59FE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42E782C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2、交货时间：按合同约定的日期交货。</w:t>
      </w:r>
    </w:p>
    <w:p w14:paraId="52277FA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3、交货地点：娄底市中心医院指定地点。</w:t>
      </w:r>
    </w:p>
    <w:p w14:paraId="4D7641D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4、付款方式：设备验收合格后，供应商将发票交到娄底市中心医院后按程序支付货款9</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%余款给乙方。</w:t>
      </w:r>
    </w:p>
    <w:p w14:paraId="4ADDCB1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 xml:space="preserve">5、质保与售后：整机保修 </w:t>
      </w:r>
      <w:r>
        <w:rPr>
          <w:rFonts w:hint="eastAsia" w:ascii="宋体" w:hAnsi="宋体" w:cs="宋体"/>
          <w:color w:val="auto"/>
          <w:sz w:val="24"/>
          <w:szCs w:val="24"/>
          <w:lang w:val="en-US" w:eastAsia="zh-CN"/>
        </w:rPr>
        <w:t>3</w:t>
      </w:r>
      <w:bookmarkStart w:id="5" w:name="_GoBack"/>
      <w:bookmarkEnd w:id="5"/>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7511B5C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38E37E7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6B6EF4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797341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76AB35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00CA25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85A48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25F4F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D7EAB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013DD0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20764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6CFA1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5572FCD4">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2231FA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6DF7B52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4C00B21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57BD8EB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000FDC6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0067CE2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70F6A1A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16832B0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78494CB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7218F46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6A560EA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7149A5D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6AE0E72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782B670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62C56C7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2ACD8B4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心肺复苏机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心肺复苏机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1B969E7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16F2507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922"/>
        <w:gridCol w:w="959"/>
        <w:gridCol w:w="1320"/>
        <w:gridCol w:w="940"/>
        <w:gridCol w:w="1654"/>
      </w:tblGrid>
      <w:tr w14:paraId="776B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616" w:type="dxa"/>
            <w:vAlign w:val="top"/>
          </w:tcPr>
          <w:p w14:paraId="6B9041D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922" w:type="dxa"/>
            <w:vAlign w:val="top"/>
          </w:tcPr>
          <w:p w14:paraId="589A6D9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959" w:type="dxa"/>
            <w:vAlign w:val="top"/>
          </w:tcPr>
          <w:p w14:paraId="13A5F2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17A7381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66E49A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739A9CD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1C38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616" w:type="dxa"/>
            <w:shd w:val="clear" w:color="auto" w:fill="auto"/>
            <w:vAlign w:val="center"/>
          </w:tcPr>
          <w:p w14:paraId="5A255F6A">
            <w:pPr>
              <w:keepNext w:val="0"/>
              <w:keepLines w:val="0"/>
              <w:widowControl/>
              <w:suppressLineNumbers w:val="0"/>
              <w:jc w:val="center"/>
              <w:textAlignment w:val="center"/>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4"/>
                <w:szCs w:val="24"/>
                <w:u w:val="none"/>
                <w:lang w:val="en-US" w:eastAsia="zh-CN" w:bidi="ar"/>
              </w:rPr>
              <w:t>心肺复苏机</w:t>
            </w:r>
          </w:p>
        </w:tc>
        <w:tc>
          <w:tcPr>
            <w:tcW w:w="922" w:type="dxa"/>
            <w:vAlign w:val="center"/>
          </w:tcPr>
          <w:p w14:paraId="36D86D3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59" w:type="dxa"/>
            <w:vAlign w:val="top"/>
          </w:tcPr>
          <w:p w14:paraId="40DA4FB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6F0502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shd w:val="clear" w:color="auto" w:fill="auto"/>
            <w:vAlign w:val="center"/>
          </w:tcPr>
          <w:p w14:paraId="5DD06ECF">
            <w:pPr>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2台</w:t>
            </w:r>
          </w:p>
        </w:tc>
        <w:tc>
          <w:tcPr>
            <w:tcW w:w="1654" w:type="dxa"/>
            <w:vAlign w:val="top"/>
          </w:tcPr>
          <w:p w14:paraId="244AC3D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6AA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1ADD506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4F43E6A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6FD9EA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83BFB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38E510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0789322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6117F65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5E4B0E1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72B0EB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F1811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256B0B4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329BA4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0CCF820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55BB6CB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0A45F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F1851D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2EA049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邓时敏</w:t>
      </w:r>
      <w:r>
        <w:rPr>
          <w:rFonts w:hint="eastAsia" w:ascii="宋体" w:hAnsi="宋体" w:eastAsia="宋体" w:cs="宋体"/>
          <w:color w:val="000000" w:themeColor="text1"/>
          <w:sz w:val="24"/>
          <w:u w:val="single"/>
          <w:lang w:val="en-US" w:eastAsia="zh-CN"/>
          <w14:textFill>
            <w14:solidFill>
              <w14:schemeClr w14:val="tx1"/>
            </w14:solidFill>
          </w14:textFill>
        </w:rPr>
        <w:t>13723814432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2EFF84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1663D4F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7DE90A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36DEC7C0">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104E2E4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64513F6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339FC12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50E832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070C966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508A1C2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4FD688E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46D3F3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5FBA8C6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61862D1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3BB1C59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60C2473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6185C4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7AAA96D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34B5B24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047F06B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1969050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3BD59AA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06E13C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039AB9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5A25E90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37F82CD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416971E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7D25D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3A3201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E9CFF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AE7190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5C018B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BF7279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190B18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DD2497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3B0AFB9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035EAB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1B9B8D1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6BB4943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60F54CB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7C601AB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3FC74B3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01142B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E264F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4A7AF7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227E596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78618AE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4699931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44A3F66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1C8A60A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3698CCE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0170C4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6AF987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w:t>
      </w:r>
      <w:r>
        <w:rPr>
          <w:rFonts w:hint="eastAsia" w:ascii="宋体" w:hAnsi="宋体" w:eastAsia="宋体" w:cs="宋体"/>
          <w:color w:val="000000" w:themeColor="text1"/>
          <w:sz w:val="24"/>
          <w:highlight w:val="none"/>
          <w:lang w:val="en-US" w:eastAsia="zh-CN"/>
          <w14:textFill>
            <w14:solidFill>
              <w14:schemeClr w14:val="tx1"/>
            </w14:solidFill>
          </w14:textFill>
        </w:rPr>
        <w:t>伍</w:t>
      </w:r>
      <w:r>
        <w:rPr>
          <w:rFonts w:hint="eastAsia" w:ascii="宋体" w:hAnsi="宋体" w:eastAsia="宋体" w:cs="宋体"/>
          <w:color w:val="000000" w:themeColor="text1"/>
          <w:sz w:val="24"/>
          <w:highlight w:val="none"/>
          <w14:textFill>
            <w14:solidFill>
              <w14:schemeClr w14:val="tx1"/>
            </w14:solidFill>
          </w14:textFill>
        </w:rPr>
        <w:t>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37F965D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16FF9F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52EBF1C2">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6E4EA4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823F35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0CF45D7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44A70C1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1421E0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732FD75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734B88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0FB1E9E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7B3FC5F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88BF38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DBC437F">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2091B72D">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03C4695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51BAD42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5C496FF9">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1D40C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14:paraId="33A8DB74">
      <w:pPr>
        <w:jc w:val="center"/>
        <w:rPr>
          <w:rFonts w:hint="eastAsia" w:ascii="仿宋" w:hAnsi="仿宋" w:eastAsia="仿宋" w:cs="仿宋"/>
          <w:sz w:val="24"/>
          <w:szCs w:val="24"/>
        </w:rPr>
      </w:pPr>
      <w:r>
        <w:rPr>
          <w:rFonts w:hint="eastAsia" w:ascii="仿宋" w:hAnsi="仿宋" w:eastAsia="仿宋" w:cs="仿宋"/>
          <w:sz w:val="24"/>
          <w:szCs w:val="24"/>
        </w:rPr>
        <w:t>本采购项目的权值见下表</w:t>
      </w:r>
    </w:p>
    <w:tbl>
      <w:tblPr>
        <w:tblStyle w:val="10"/>
        <w:tblW w:w="88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4705"/>
        <w:gridCol w:w="3439"/>
      </w:tblGrid>
      <w:tr w14:paraId="168B68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724" w:type="dxa"/>
            <w:tcBorders>
              <w:top w:val="double" w:color="auto" w:sz="4" w:space="0"/>
              <w:left w:val="double" w:color="auto" w:sz="4" w:space="0"/>
              <w:bottom w:val="single" w:color="auto" w:sz="6" w:space="0"/>
              <w:right w:val="single" w:color="auto" w:sz="6" w:space="0"/>
            </w:tcBorders>
            <w:noWrap w:val="0"/>
            <w:vAlign w:val="center"/>
          </w:tcPr>
          <w:p w14:paraId="7B5C54A1">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序号</w:t>
            </w:r>
          </w:p>
        </w:tc>
        <w:tc>
          <w:tcPr>
            <w:tcW w:w="4705" w:type="dxa"/>
            <w:tcBorders>
              <w:top w:val="double" w:color="auto" w:sz="4" w:space="0"/>
              <w:left w:val="single" w:color="auto" w:sz="6" w:space="0"/>
              <w:bottom w:val="single" w:color="auto" w:sz="6" w:space="0"/>
              <w:right w:val="single" w:color="auto" w:sz="6" w:space="0"/>
            </w:tcBorders>
            <w:noWrap w:val="0"/>
            <w:vAlign w:val="center"/>
          </w:tcPr>
          <w:p w14:paraId="786F7F1D">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项     目</w:t>
            </w:r>
          </w:p>
        </w:tc>
        <w:tc>
          <w:tcPr>
            <w:tcW w:w="3439" w:type="dxa"/>
            <w:tcBorders>
              <w:top w:val="double" w:color="auto" w:sz="4" w:space="0"/>
              <w:left w:val="single" w:color="auto" w:sz="6" w:space="0"/>
              <w:bottom w:val="single" w:color="auto" w:sz="6" w:space="0"/>
              <w:right w:val="double" w:color="auto" w:sz="4" w:space="0"/>
            </w:tcBorders>
            <w:noWrap w:val="0"/>
            <w:vAlign w:val="center"/>
          </w:tcPr>
          <w:p w14:paraId="5BE5D7AF">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权值的取值</w:t>
            </w:r>
          </w:p>
        </w:tc>
      </w:tr>
      <w:tr w14:paraId="4F6398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5A3C3223">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1</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0DD68621">
            <w:pPr>
              <w:jc w:val="center"/>
              <w:rPr>
                <w:rFonts w:hint="eastAsia" w:ascii="仿宋" w:hAnsi="仿宋" w:eastAsia="仿宋" w:cs="仿宋"/>
                <w:sz w:val="24"/>
                <w:szCs w:val="24"/>
                <w:lang w:val="ru-RU"/>
              </w:rPr>
            </w:pPr>
            <w:r>
              <w:rPr>
                <w:rFonts w:hint="eastAsia" w:ascii="仿宋" w:hAnsi="仿宋" w:eastAsia="仿宋" w:cs="仿宋"/>
                <w:sz w:val="24"/>
                <w:szCs w:val="24"/>
                <w:lang w:val="ru-RU" w:eastAsia="ru-RU"/>
              </w:rPr>
              <w:t>报价</w:t>
            </w:r>
            <w:r>
              <w:rPr>
                <w:rFonts w:hint="eastAsia" w:ascii="仿宋" w:hAnsi="仿宋" w:eastAsia="仿宋" w:cs="仿宋"/>
                <w:sz w:val="24"/>
                <w:szCs w:val="24"/>
                <w:lang w:val="ru-RU"/>
              </w:rPr>
              <w:t>（A1）</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5EA93002">
            <w:pPr>
              <w:jc w:val="center"/>
              <w:rPr>
                <w:rFonts w:hint="eastAsia" w:ascii="仿宋" w:hAnsi="仿宋" w:eastAsia="仿宋" w:cs="仿宋"/>
                <w:sz w:val="24"/>
                <w:szCs w:val="24"/>
              </w:rPr>
            </w:pPr>
            <w:r>
              <w:rPr>
                <w:rFonts w:hint="eastAsia" w:ascii="仿宋" w:hAnsi="仿宋" w:eastAsia="仿宋" w:cs="仿宋"/>
                <w:sz w:val="24"/>
                <w:szCs w:val="24"/>
              </w:rPr>
              <w:t>50%</w:t>
            </w:r>
          </w:p>
        </w:tc>
      </w:tr>
      <w:tr w14:paraId="51EFBE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458CE922">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2</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2663D0FB">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技术</w:t>
            </w:r>
            <w:r>
              <w:rPr>
                <w:rFonts w:hint="eastAsia" w:ascii="仿宋" w:hAnsi="仿宋" w:eastAsia="仿宋" w:cs="仿宋"/>
                <w:sz w:val="24"/>
                <w:szCs w:val="24"/>
                <w:lang w:val="ru-RU"/>
              </w:rPr>
              <w:t>（A2）</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451809CB">
            <w:pPr>
              <w:jc w:val="center"/>
              <w:rPr>
                <w:rFonts w:hint="eastAsia" w:ascii="仿宋" w:hAnsi="仿宋" w:eastAsia="仿宋" w:cs="仿宋"/>
                <w:sz w:val="24"/>
                <w:szCs w:val="24"/>
              </w:rPr>
            </w:pPr>
            <w:r>
              <w:rPr>
                <w:rFonts w:hint="eastAsia" w:ascii="仿宋" w:hAnsi="仿宋" w:eastAsia="仿宋" w:cs="仿宋"/>
                <w:sz w:val="24"/>
                <w:szCs w:val="24"/>
              </w:rPr>
              <w:t>40%</w:t>
            </w:r>
          </w:p>
        </w:tc>
      </w:tr>
      <w:tr w14:paraId="5F1018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2A422BD4">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3</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20662C52">
            <w:pPr>
              <w:jc w:val="center"/>
              <w:rPr>
                <w:rFonts w:hint="eastAsia" w:ascii="仿宋" w:hAnsi="仿宋" w:eastAsia="仿宋" w:cs="仿宋"/>
                <w:sz w:val="24"/>
                <w:szCs w:val="24"/>
                <w:lang w:val="ru-RU"/>
              </w:rPr>
            </w:pPr>
            <w:r>
              <w:rPr>
                <w:rFonts w:hint="eastAsia" w:ascii="仿宋" w:hAnsi="仿宋" w:eastAsia="仿宋" w:cs="仿宋"/>
                <w:sz w:val="24"/>
                <w:szCs w:val="24"/>
                <w:lang w:val="ru-RU"/>
              </w:rPr>
              <w:t>商务（A3）</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1DAEA950">
            <w:pPr>
              <w:jc w:val="center"/>
              <w:rPr>
                <w:rFonts w:hint="eastAsia" w:ascii="仿宋" w:hAnsi="仿宋" w:eastAsia="仿宋" w:cs="仿宋"/>
                <w:sz w:val="24"/>
                <w:szCs w:val="24"/>
              </w:rPr>
            </w:pPr>
            <w:r>
              <w:rPr>
                <w:rFonts w:hint="eastAsia" w:ascii="仿宋" w:hAnsi="仿宋" w:eastAsia="仿宋" w:cs="仿宋"/>
                <w:sz w:val="24"/>
                <w:szCs w:val="24"/>
              </w:rPr>
              <w:t>10%</w:t>
            </w:r>
          </w:p>
        </w:tc>
      </w:tr>
      <w:tr w14:paraId="55D77C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5429" w:type="dxa"/>
            <w:gridSpan w:val="2"/>
            <w:tcBorders>
              <w:top w:val="single" w:color="auto" w:sz="6" w:space="0"/>
              <w:left w:val="double" w:color="auto" w:sz="4" w:space="0"/>
              <w:bottom w:val="double" w:color="auto" w:sz="4" w:space="0"/>
              <w:right w:val="single" w:color="auto" w:sz="6" w:space="0"/>
            </w:tcBorders>
            <w:noWrap w:val="0"/>
            <w:vAlign w:val="center"/>
          </w:tcPr>
          <w:p w14:paraId="5208F17F">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rPr>
              <w:t>合计</w:t>
            </w:r>
          </w:p>
        </w:tc>
        <w:tc>
          <w:tcPr>
            <w:tcW w:w="3439" w:type="dxa"/>
            <w:tcBorders>
              <w:top w:val="single" w:color="auto" w:sz="6" w:space="0"/>
              <w:left w:val="single" w:color="auto" w:sz="6" w:space="0"/>
              <w:bottom w:val="double" w:color="auto" w:sz="4" w:space="0"/>
              <w:right w:val="double" w:color="auto" w:sz="4" w:space="0"/>
            </w:tcBorders>
            <w:noWrap w:val="0"/>
            <w:vAlign w:val="center"/>
          </w:tcPr>
          <w:p w14:paraId="1AEE8CD2">
            <w:pPr>
              <w:jc w:val="center"/>
              <w:rPr>
                <w:rFonts w:hint="eastAsia" w:ascii="仿宋" w:hAnsi="仿宋" w:eastAsia="仿宋" w:cs="仿宋"/>
                <w:sz w:val="24"/>
                <w:szCs w:val="24"/>
              </w:rPr>
            </w:pPr>
            <w:r>
              <w:rPr>
                <w:rFonts w:hint="eastAsia" w:ascii="仿宋" w:hAnsi="仿宋" w:eastAsia="仿宋" w:cs="仿宋"/>
                <w:sz w:val="24"/>
                <w:szCs w:val="24"/>
              </w:rPr>
              <w:t>1</w:t>
            </w:r>
          </w:p>
        </w:tc>
      </w:tr>
    </w:tbl>
    <w:p w14:paraId="26F8E0F5">
      <w:pPr>
        <w:jc w:val="center"/>
        <w:rPr>
          <w:rFonts w:hint="eastAsia" w:ascii="仿宋" w:hAnsi="仿宋" w:eastAsia="仿宋" w:cs="仿宋"/>
          <w:sz w:val="24"/>
          <w:szCs w:val="24"/>
        </w:rPr>
      </w:pPr>
      <w:r>
        <w:rPr>
          <w:rFonts w:hint="eastAsia" w:ascii="仿宋" w:hAnsi="仿宋" w:eastAsia="仿宋" w:cs="仿宋"/>
          <w:sz w:val="24"/>
          <w:szCs w:val="24"/>
        </w:rPr>
        <w:t>附表1.1投标报价评审标准表</w:t>
      </w:r>
    </w:p>
    <w:tbl>
      <w:tblPr>
        <w:tblStyle w:val="10"/>
        <w:tblW w:w="89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2159"/>
        <w:gridCol w:w="6249"/>
      </w:tblGrid>
      <w:tr w14:paraId="0CB9BA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2" w:type="dxa"/>
            <w:tcBorders>
              <w:top w:val="double" w:color="auto" w:sz="4" w:space="0"/>
              <w:left w:val="double" w:color="auto" w:sz="4" w:space="0"/>
              <w:bottom w:val="single" w:color="auto" w:sz="6" w:space="0"/>
              <w:right w:val="single" w:color="auto" w:sz="4" w:space="0"/>
            </w:tcBorders>
            <w:noWrap w:val="0"/>
            <w:vAlign w:val="center"/>
          </w:tcPr>
          <w:p w14:paraId="6FF28A86">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59" w:type="dxa"/>
            <w:tcBorders>
              <w:top w:val="double" w:color="auto" w:sz="4" w:space="0"/>
              <w:left w:val="single" w:color="auto" w:sz="4" w:space="0"/>
              <w:bottom w:val="single" w:color="auto" w:sz="6" w:space="0"/>
              <w:right w:val="single" w:color="auto" w:sz="4" w:space="0"/>
            </w:tcBorders>
            <w:noWrap w:val="0"/>
            <w:vAlign w:val="center"/>
          </w:tcPr>
          <w:p w14:paraId="19BBCE89">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49" w:type="dxa"/>
            <w:tcBorders>
              <w:top w:val="double" w:color="auto" w:sz="4" w:space="0"/>
              <w:left w:val="single" w:color="auto" w:sz="4" w:space="0"/>
              <w:bottom w:val="single" w:color="auto" w:sz="6" w:space="0"/>
              <w:right w:val="double" w:color="auto" w:sz="4" w:space="0"/>
            </w:tcBorders>
            <w:noWrap w:val="0"/>
            <w:vAlign w:val="center"/>
          </w:tcPr>
          <w:p w14:paraId="4C304DE2">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2CB650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2" w:type="dxa"/>
            <w:tcBorders>
              <w:top w:val="single" w:color="auto" w:sz="6" w:space="0"/>
              <w:left w:val="double" w:color="auto" w:sz="4" w:space="0"/>
              <w:bottom w:val="single" w:color="auto" w:sz="6" w:space="0"/>
              <w:right w:val="single" w:color="auto" w:sz="4" w:space="0"/>
            </w:tcBorders>
            <w:noWrap w:val="0"/>
            <w:vAlign w:val="center"/>
          </w:tcPr>
          <w:p w14:paraId="49869DAB">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59" w:type="dxa"/>
            <w:tcBorders>
              <w:top w:val="single" w:color="auto" w:sz="6" w:space="0"/>
              <w:left w:val="single" w:color="auto" w:sz="4" w:space="0"/>
              <w:bottom w:val="single" w:color="auto" w:sz="6" w:space="0"/>
              <w:right w:val="single" w:color="auto" w:sz="4" w:space="0"/>
            </w:tcBorders>
            <w:noWrap w:val="0"/>
            <w:vAlign w:val="center"/>
          </w:tcPr>
          <w:p w14:paraId="627C63A3">
            <w:pPr>
              <w:jc w:val="center"/>
              <w:rPr>
                <w:rFonts w:hint="eastAsia" w:ascii="仿宋" w:hAnsi="仿宋" w:eastAsia="仿宋" w:cs="仿宋"/>
                <w:sz w:val="24"/>
                <w:szCs w:val="24"/>
              </w:rPr>
            </w:pPr>
            <w:r>
              <w:rPr>
                <w:rFonts w:hint="eastAsia" w:ascii="仿宋" w:hAnsi="仿宋" w:eastAsia="仿宋" w:cs="仿宋"/>
                <w:sz w:val="24"/>
                <w:szCs w:val="24"/>
              </w:rPr>
              <w:t>价格评价项</w:t>
            </w:r>
          </w:p>
          <w:p w14:paraId="66CEA6E0">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6249" w:type="dxa"/>
            <w:tcBorders>
              <w:top w:val="single" w:color="auto" w:sz="6" w:space="0"/>
              <w:left w:val="single" w:color="auto" w:sz="4" w:space="0"/>
              <w:bottom w:val="single" w:color="auto" w:sz="6" w:space="0"/>
              <w:right w:val="double" w:color="auto" w:sz="4" w:space="0"/>
            </w:tcBorders>
            <w:noWrap w:val="0"/>
            <w:vAlign w:val="center"/>
          </w:tcPr>
          <w:p w14:paraId="629C1704">
            <w:pPr>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、满足招标文件要求且投标报价中最低的投标报价为评标基准价其价格分为满分；其他投标人的价格分统一按照以下公式计算：</w:t>
            </w:r>
          </w:p>
          <w:p w14:paraId="715DD4AA">
            <w:pPr>
              <w:jc w:val="left"/>
              <w:rPr>
                <w:rFonts w:hint="eastAsia" w:ascii="仿宋" w:hAnsi="仿宋" w:eastAsia="仿宋" w:cs="仿宋"/>
                <w:sz w:val="24"/>
                <w:szCs w:val="24"/>
              </w:rPr>
            </w:pPr>
            <w:r>
              <w:rPr>
                <w:rFonts w:hint="eastAsia" w:ascii="仿宋" w:hAnsi="仿宋" w:eastAsia="仿宋" w:cs="仿宋"/>
                <w:sz w:val="24"/>
                <w:szCs w:val="24"/>
              </w:rPr>
              <w:t>投标报价得分=（评标基准价/投标报价）×价格权值×100</w:t>
            </w:r>
          </w:p>
          <w:p w14:paraId="1D29E5C5">
            <w:p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35EDCBE">
            <w:p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、最终投标价以人民币元为单位，计算保留至小数点后2位（百分比亦然），小数点后第3位采取4舍5入</w:t>
            </w:r>
          </w:p>
        </w:tc>
      </w:tr>
    </w:tbl>
    <w:p w14:paraId="2D7F71DD">
      <w:pPr>
        <w:jc w:val="center"/>
        <w:rPr>
          <w:rFonts w:hint="eastAsia" w:ascii="仿宋" w:hAnsi="仿宋" w:eastAsia="仿宋" w:cs="仿宋"/>
          <w:sz w:val="24"/>
          <w:szCs w:val="24"/>
        </w:rPr>
      </w:pPr>
    </w:p>
    <w:p w14:paraId="623094E8">
      <w:pPr>
        <w:jc w:val="center"/>
        <w:rPr>
          <w:rFonts w:hint="eastAsia" w:ascii="仿宋" w:hAnsi="仿宋" w:eastAsia="仿宋" w:cs="仿宋"/>
          <w:sz w:val="24"/>
          <w:szCs w:val="24"/>
        </w:rPr>
      </w:pPr>
    </w:p>
    <w:p w14:paraId="4C9D0AE9">
      <w:pPr>
        <w:jc w:val="center"/>
        <w:rPr>
          <w:rFonts w:hint="eastAsia" w:ascii="仿宋" w:hAnsi="仿宋" w:eastAsia="仿宋" w:cs="仿宋"/>
          <w:sz w:val="24"/>
          <w:szCs w:val="24"/>
        </w:rPr>
      </w:pPr>
    </w:p>
    <w:p w14:paraId="7EC54E71">
      <w:pPr>
        <w:jc w:val="center"/>
        <w:rPr>
          <w:rFonts w:hint="eastAsia" w:ascii="仿宋" w:hAnsi="仿宋" w:eastAsia="仿宋" w:cs="仿宋"/>
          <w:sz w:val="24"/>
          <w:szCs w:val="24"/>
        </w:rPr>
      </w:pPr>
    </w:p>
    <w:p w14:paraId="1C8CFCEF">
      <w:pPr>
        <w:jc w:val="center"/>
        <w:rPr>
          <w:rFonts w:hint="eastAsia" w:ascii="仿宋" w:hAnsi="仿宋" w:eastAsia="仿宋" w:cs="仿宋"/>
          <w:sz w:val="24"/>
          <w:szCs w:val="24"/>
        </w:rPr>
      </w:pPr>
      <w:r>
        <w:rPr>
          <w:rFonts w:hint="eastAsia" w:ascii="仿宋" w:hAnsi="仿宋" w:eastAsia="仿宋" w:cs="仿宋"/>
          <w:sz w:val="24"/>
          <w:szCs w:val="24"/>
        </w:rPr>
        <w:br w:type="page"/>
      </w:r>
    </w:p>
    <w:p w14:paraId="1C2802C0">
      <w:pPr>
        <w:jc w:val="center"/>
        <w:rPr>
          <w:rFonts w:hint="eastAsia" w:ascii="仿宋" w:hAnsi="仿宋" w:eastAsia="仿宋" w:cs="仿宋"/>
          <w:sz w:val="24"/>
          <w:szCs w:val="24"/>
        </w:rPr>
      </w:pPr>
      <w:r>
        <w:rPr>
          <w:rFonts w:hint="eastAsia" w:ascii="仿宋" w:hAnsi="仿宋" w:eastAsia="仿宋" w:cs="仿宋"/>
          <w:sz w:val="24"/>
          <w:szCs w:val="24"/>
        </w:rPr>
        <w:t>附表1.2技术部分评审标准表</w:t>
      </w:r>
    </w:p>
    <w:tbl>
      <w:tblPr>
        <w:tblStyle w:val="10"/>
        <w:tblW w:w="89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773"/>
        <w:gridCol w:w="772"/>
        <w:gridCol w:w="4732"/>
      </w:tblGrid>
      <w:tr w14:paraId="67BA5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top w:val="double" w:color="auto" w:sz="4" w:space="0"/>
              <w:left w:val="double" w:color="auto" w:sz="4" w:space="0"/>
              <w:bottom w:val="single" w:color="auto" w:sz="6" w:space="0"/>
              <w:right w:val="single" w:color="auto" w:sz="4" w:space="0"/>
            </w:tcBorders>
            <w:noWrap w:val="0"/>
            <w:vAlign w:val="center"/>
          </w:tcPr>
          <w:p w14:paraId="4ABD97F5">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60" w:type="dxa"/>
            <w:tcBorders>
              <w:top w:val="double" w:color="auto" w:sz="4" w:space="0"/>
              <w:left w:val="single" w:color="auto" w:sz="4" w:space="0"/>
              <w:bottom w:val="single" w:color="auto" w:sz="6" w:space="0"/>
              <w:right w:val="single" w:color="auto" w:sz="4" w:space="0"/>
            </w:tcBorders>
            <w:noWrap w:val="0"/>
            <w:vAlign w:val="center"/>
          </w:tcPr>
          <w:p w14:paraId="60D1AA36">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77" w:type="dxa"/>
            <w:gridSpan w:val="3"/>
            <w:tcBorders>
              <w:top w:val="double" w:color="auto" w:sz="4" w:space="0"/>
              <w:left w:val="single" w:color="auto" w:sz="4" w:space="0"/>
              <w:bottom w:val="single" w:color="auto" w:sz="6" w:space="0"/>
              <w:right w:val="double" w:color="auto" w:sz="4" w:space="0"/>
            </w:tcBorders>
            <w:noWrap w:val="0"/>
            <w:vAlign w:val="center"/>
          </w:tcPr>
          <w:p w14:paraId="7DF387D8">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022B91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tcBorders>
              <w:top w:val="single" w:color="auto" w:sz="6" w:space="0"/>
              <w:left w:val="double" w:color="auto" w:sz="4" w:space="0"/>
              <w:bottom w:val="single" w:color="auto" w:sz="6" w:space="0"/>
              <w:right w:val="single" w:color="auto" w:sz="4" w:space="0"/>
            </w:tcBorders>
            <w:noWrap w:val="0"/>
            <w:vAlign w:val="center"/>
          </w:tcPr>
          <w:p w14:paraId="190CA800">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60" w:type="dxa"/>
            <w:tcBorders>
              <w:top w:val="single" w:color="auto" w:sz="6" w:space="0"/>
              <w:left w:val="single" w:color="auto" w:sz="4" w:space="0"/>
              <w:bottom w:val="single" w:color="auto" w:sz="6" w:space="0"/>
              <w:right w:val="single" w:color="auto" w:sz="6" w:space="0"/>
            </w:tcBorders>
            <w:noWrap w:val="0"/>
            <w:vAlign w:val="center"/>
          </w:tcPr>
          <w:p w14:paraId="3BF784E9">
            <w:pPr>
              <w:jc w:val="center"/>
              <w:rPr>
                <w:rFonts w:hint="eastAsia" w:ascii="仿宋" w:hAnsi="仿宋" w:eastAsia="仿宋" w:cs="仿宋"/>
                <w:sz w:val="24"/>
                <w:szCs w:val="24"/>
              </w:rPr>
            </w:pPr>
            <w:r>
              <w:rPr>
                <w:rFonts w:hint="eastAsia" w:ascii="仿宋" w:hAnsi="仿宋" w:eastAsia="仿宋" w:cs="仿宋"/>
                <w:sz w:val="24"/>
                <w:szCs w:val="24"/>
              </w:rPr>
              <w:t>技术评价项</w:t>
            </w:r>
          </w:p>
          <w:p w14:paraId="54BE0100">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773" w:type="dxa"/>
            <w:tcBorders>
              <w:top w:val="single" w:color="auto" w:sz="6" w:space="0"/>
              <w:left w:val="single" w:color="auto" w:sz="6" w:space="0"/>
              <w:bottom w:val="single" w:color="auto" w:sz="6" w:space="0"/>
              <w:right w:val="single" w:color="auto" w:sz="4" w:space="0"/>
            </w:tcBorders>
            <w:noWrap w:val="0"/>
            <w:vAlign w:val="center"/>
          </w:tcPr>
          <w:p w14:paraId="1186D70E">
            <w:pPr>
              <w:jc w:val="center"/>
              <w:rPr>
                <w:rFonts w:hint="eastAsia" w:ascii="仿宋" w:hAnsi="仿宋" w:eastAsia="仿宋" w:cs="仿宋"/>
                <w:sz w:val="24"/>
                <w:szCs w:val="24"/>
              </w:rPr>
            </w:pPr>
            <w:r>
              <w:rPr>
                <w:rFonts w:hint="eastAsia" w:ascii="仿宋" w:hAnsi="仿宋" w:eastAsia="仿宋" w:cs="仿宋"/>
                <w:sz w:val="24"/>
                <w:szCs w:val="24"/>
              </w:rPr>
              <w:t>技术参数</w:t>
            </w:r>
          </w:p>
        </w:tc>
        <w:tc>
          <w:tcPr>
            <w:tcW w:w="772" w:type="dxa"/>
            <w:tcBorders>
              <w:top w:val="single" w:color="auto" w:sz="6" w:space="0"/>
              <w:left w:val="single" w:color="auto" w:sz="4" w:space="0"/>
              <w:bottom w:val="single" w:color="auto" w:sz="6" w:space="0"/>
              <w:right w:val="single" w:color="auto" w:sz="6" w:space="0"/>
            </w:tcBorders>
            <w:noWrap w:val="0"/>
            <w:vAlign w:val="center"/>
          </w:tcPr>
          <w:p w14:paraId="70A33517">
            <w:pPr>
              <w:jc w:val="center"/>
              <w:rPr>
                <w:rFonts w:hint="eastAsia" w:ascii="仿宋" w:hAnsi="仿宋" w:eastAsia="仿宋" w:cs="仿宋"/>
                <w:sz w:val="24"/>
                <w:szCs w:val="24"/>
              </w:rPr>
            </w:pPr>
            <w:r>
              <w:rPr>
                <w:rFonts w:hint="eastAsia" w:ascii="仿宋" w:hAnsi="仿宋" w:eastAsia="仿宋" w:cs="仿宋"/>
                <w:sz w:val="24"/>
                <w:szCs w:val="24"/>
              </w:rPr>
              <w:t>100</w:t>
            </w:r>
          </w:p>
        </w:tc>
        <w:tc>
          <w:tcPr>
            <w:tcW w:w="4732" w:type="dxa"/>
            <w:tcBorders>
              <w:top w:val="single" w:color="auto" w:sz="6" w:space="0"/>
              <w:left w:val="single" w:color="auto" w:sz="6" w:space="0"/>
              <w:bottom w:val="single" w:color="auto" w:sz="6" w:space="0"/>
              <w:right w:val="double" w:color="auto" w:sz="4" w:space="0"/>
            </w:tcBorders>
            <w:noWrap w:val="0"/>
            <w:vAlign w:val="center"/>
          </w:tcPr>
          <w:p w14:paraId="43A9B5E1">
            <w:pPr>
              <w:jc w:val="left"/>
              <w:rPr>
                <w:rFonts w:hint="eastAsia" w:ascii="仿宋" w:hAnsi="仿宋" w:eastAsia="仿宋" w:cs="仿宋"/>
                <w:sz w:val="24"/>
                <w:szCs w:val="24"/>
              </w:rPr>
            </w:pPr>
            <w:r>
              <w:rPr>
                <w:rFonts w:hint="eastAsia" w:ascii="仿宋" w:hAnsi="仿宋" w:eastAsia="仿宋" w:cs="仿宋"/>
                <w:sz w:val="24"/>
                <w:szCs w:val="24"/>
              </w:rPr>
              <w:t>投标文件无技术条款响应/偏离表的本项计0分；</w:t>
            </w:r>
          </w:p>
          <w:p w14:paraId="48F5FA08">
            <w:pPr>
              <w:jc w:val="left"/>
              <w:rPr>
                <w:rFonts w:hint="eastAsia" w:ascii="仿宋" w:hAnsi="仿宋" w:eastAsia="仿宋" w:cs="仿宋"/>
                <w:sz w:val="24"/>
                <w:szCs w:val="24"/>
              </w:rPr>
            </w:pPr>
            <w:r>
              <w:rPr>
                <w:rFonts w:hint="eastAsia" w:ascii="仿宋" w:hAnsi="仿宋" w:eastAsia="仿宋" w:cs="仿宋"/>
                <w:sz w:val="24"/>
                <w:szCs w:val="24"/>
              </w:rPr>
              <w:t>1、技术参数满足招标文件要求无负偏离的本项计100分；</w:t>
            </w:r>
          </w:p>
          <w:p w14:paraId="656B4438">
            <w:pPr>
              <w:jc w:val="left"/>
              <w:rPr>
                <w:rFonts w:hint="eastAsia" w:ascii="仿宋" w:hAnsi="仿宋" w:eastAsia="仿宋" w:cs="仿宋"/>
                <w:sz w:val="24"/>
                <w:szCs w:val="24"/>
              </w:rPr>
            </w:pPr>
            <w:r>
              <w:rPr>
                <w:rFonts w:hint="eastAsia" w:ascii="仿宋" w:hAnsi="仿宋" w:eastAsia="仿宋" w:cs="仿宋"/>
                <w:sz w:val="24"/>
                <w:szCs w:val="24"/>
              </w:rPr>
              <w:t>2、标注“▲”的参数为重要参数，每一项负偏离或缺漏扣10分；</w:t>
            </w:r>
          </w:p>
          <w:p w14:paraId="74AE2967">
            <w:pPr>
              <w:jc w:val="left"/>
              <w:rPr>
                <w:rFonts w:hint="eastAsia" w:ascii="仿宋" w:hAnsi="仿宋" w:eastAsia="仿宋" w:cs="仿宋"/>
                <w:sz w:val="24"/>
                <w:szCs w:val="24"/>
              </w:rPr>
            </w:pPr>
            <w:r>
              <w:rPr>
                <w:rFonts w:hint="eastAsia" w:ascii="仿宋" w:hAnsi="仿宋" w:eastAsia="仿宋" w:cs="仿宋"/>
                <w:sz w:val="24"/>
                <w:szCs w:val="24"/>
              </w:rPr>
              <w:t>3、一般技术参数（即非“★”非“▲”号参数）存在负偏离，每条负偏离扣6分。</w:t>
            </w:r>
          </w:p>
          <w:p w14:paraId="0D4BCAD9">
            <w:pPr>
              <w:jc w:val="left"/>
              <w:rPr>
                <w:rFonts w:hint="eastAsia" w:ascii="仿宋" w:hAnsi="仿宋" w:eastAsia="仿宋" w:cs="仿宋"/>
                <w:sz w:val="24"/>
                <w:szCs w:val="24"/>
              </w:rPr>
            </w:pPr>
            <w:r>
              <w:rPr>
                <w:rFonts w:hint="eastAsia" w:ascii="仿宋" w:hAnsi="仿宋" w:eastAsia="仿宋" w:cs="仿宋"/>
                <w:sz w:val="24"/>
                <w:szCs w:val="24"/>
              </w:rPr>
              <w:t>（注：标注“▲”技术参数以及技术规格中要求该项参数提供有关证明文件的一般参数，投标人应提供证明材料，包括但不限于技术白皮书、产品彩页、检测报告等形式。如无相关证明文件或相关证明文件不完整，则按相应负偏离计算；此项只做评分因素，不做废标条件</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为实质性条款，任何一条负偏离视为无效投标</w:t>
            </w:r>
            <w:r>
              <w:rPr>
                <w:rFonts w:hint="eastAsia" w:ascii="仿宋" w:hAnsi="仿宋" w:eastAsia="仿宋" w:cs="仿宋"/>
                <w:sz w:val="24"/>
                <w:szCs w:val="24"/>
              </w:rPr>
              <w:t>）</w:t>
            </w:r>
          </w:p>
        </w:tc>
      </w:tr>
    </w:tbl>
    <w:p w14:paraId="1DED3EBA">
      <w:pPr>
        <w:jc w:val="center"/>
        <w:rPr>
          <w:rFonts w:hint="eastAsia" w:ascii="仿宋" w:hAnsi="仿宋" w:eastAsia="仿宋" w:cs="仿宋"/>
          <w:sz w:val="24"/>
          <w:szCs w:val="24"/>
        </w:rPr>
      </w:pPr>
    </w:p>
    <w:p w14:paraId="3F4C6C0D">
      <w:pPr>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附表1.3商务部分评审标准表</w:t>
      </w:r>
    </w:p>
    <w:tbl>
      <w:tblPr>
        <w:tblStyle w:val="10"/>
        <w:tblW w:w="89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877"/>
        <w:gridCol w:w="1377"/>
        <w:gridCol w:w="709"/>
        <w:gridCol w:w="4519"/>
      </w:tblGrid>
      <w:tr w14:paraId="28223F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3" w:type="dxa"/>
            <w:tcBorders>
              <w:tl2br w:val="nil"/>
              <w:tr2bl w:val="nil"/>
            </w:tcBorders>
            <w:noWrap w:val="0"/>
            <w:vAlign w:val="center"/>
          </w:tcPr>
          <w:p w14:paraId="6934DE1D">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877" w:type="dxa"/>
            <w:tcBorders>
              <w:tl2br w:val="nil"/>
              <w:tr2bl w:val="nil"/>
            </w:tcBorders>
            <w:noWrap w:val="0"/>
            <w:vAlign w:val="center"/>
          </w:tcPr>
          <w:p w14:paraId="5B32D4D9">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605" w:type="dxa"/>
            <w:gridSpan w:val="3"/>
            <w:tcBorders>
              <w:tl2br w:val="nil"/>
              <w:tr2bl w:val="nil"/>
            </w:tcBorders>
            <w:noWrap w:val="0"/>
            <w:vAlign w:val="center"/>
          </w:tcPr>
          <w:p w14:paraId="728ABA8C">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5D7584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restart"/>
            <w:tcBorders>
              <w:tl2br w:val="nil"/>
              <w:tr2bl w:val="nil"/>
            </w:tcBorders>
            <w:noWrap w:val="0"/>
            <w:vAlign w:val="center"/>
          </w:tcPr>
          <w:p w14:paraId="379EE6C2">
            <w:pPr>
              <w:jc w:val="center"/>
              <w:rPr>
                <w:rFonts w:hint="eastAsia" w:ascii="仿宋" w:hAnsi="仿宋" w:eastAsia="仿宋" w:cs="仿宋"/>
                <w:sz w:val="24"/>
                <w:szCs w:val="24"/>
              </w:rPr>
            </w:pPr>
            <w:r>
              <w:rPr>
                <w:rFonts w:hint="eastAsia" w:ascii="仿宋" w:hAnsi="仿宋" w:eastAsia="仿宋" w:cs="仿宋"/>
                <w:sz w:val="24"/>
                <w:szCs w:val="24"/>
              </w:rPr>
              <w:t>1</w:t>
            </w:r>
          </w:p>
        </w:tc>
        <w:tc>
          <w:tcPr>
            <w:tcW w:w="1877" w:type="dxa"/>
            <w:vMerge w:val="restart"/>
            <w:tcBorders>
              <w:tl2br w:val="nil"/>
              <w:tr2bl w:val="nil"/>
            </w:tcBorders>
            <w:noWrap w:val="0"/>
            <w:vAlign w:val="center"/>
          </w:tcPr>
          <w:p w14:paraId="05594D36">
            <w:pPr>
              <w:jc w:val="center"/>
              <w:rPr>
                <w:rFonts w:hint="eastAsia" w:ascii="仿宋" w:hAnsi="仿宋" w:eastAsia="仿宋" w:cs="仿宋"/>
                <w:sz w:val="24"/>
                <w:szCs w:val="24"/>
              </w:rPr>
            </w:pPr>
            <w:r>
              <w:rPr>
                <w:rFonts w:hint="eastAsia" w:ascii="仿宋" w:hAnsi="仿宋" w:eastAsia="仿宋" w:cs="仿宋"/>
                <w:sz w:val="24"/>
                <w:szCs w:val="24"/>
              </w:rPr>
              <w:t>商务评价项</w:t>
            </w:r>
          </w:p>
          <w:p w14:paraId="18737342">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1377" w:type="dxa"/>
            <w:tcBorders>
              <w:tl2br w:val="nil"/>
              <w:tr2bl w:val="nil"/>
            </w:tcBorders>
            <w:noWrap w:val="0"/>
            <w:vAlign w:val="center"/>
          </w:tcPr>
          <w:p w14:paraId="6F954FCB">
            <w:pPr>
              <w:jc w:val="center"/>
              <w:rPr>
                <w:rFonts w:hint="eastAsia" w:ascii="仿宋" w:hAnsi="仿宋" w:eastAsia="仿宋" w:cs="仿宋"/>
                <w:sz w:val="24"/>
                <w:szCs w:val="24"/>
              </w:rPr>
            </w:pPr>
            <w:r>
              <w:rPr>
                <w:rFonts w:hint="eastAsia" w:ascii="仿宋" w:hAnsi="仿宋" w:eastAsia="仿宋" w:cs="仿宋"/>
                <w:sz w:val="24"/>
                <w:szCs w:val="24"/>
              </w:rPr>
              <w:t>售后服务</w:t>
            </w:r>
          </w:p>
        </w:tc>
        <w:tc>
          <w:tcPr>
            <w:tcW w:w="709" w:type="dxa"/>
            <w:tcBorders>
              <w:tl2br w:val="nil"/>
              <w:tr2bl w:val="nil"/>
            </w:tcBorders>
            <w:noWrap w:val="0"/>
            <w:vAlign w:val="center"/>
          </w:tcPr>
          <w:p w14:paraId="43F42FD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4519" w:type="dxa"/>
            <w:tcBorders>
              <w:tl2br w:val="nil"/>
              <w:tr2bl w:val="nil"/>
            </w:tcBorders>
            <w:noWrap w:val="0"/>
            <w:vAlign w:val="center"/>
          </w:tcPr>
          <w:p w14:paraId="7E288AD2">
            <w:pPr>
              <w:jc w:val="left"/>
              <w:rPr>
                <w:rFonts w:hint="eastAsia" w:ascii="仿宋" w:hAnsi="仿宋" w:eastAsia="仿宋" w:cs="仿宋"/>
                <w:color w:val="FF0000"/>
                <w:sz w:val="24"/>
                <w:szCs w:val="24"/>
                <w:lang w:val="en-US" w:eastAsia="zh-CN"/>
              </w:rPr>
            </w:pPr>
            <w:r>
              <w:rPr>
                <w:rFonts w:hint="eastAsia" w:ascii="仿宋" w:hAnsi="仿宋" w:eastAsia="仿宋" w:cs="仿宋"/>
                <w:sz w:val="24"/>
                <w:szCs w:val="24"/>
              </w:rPr>
              <w:t>1、</w:t>
            </w:r>
            <w:r>
              <w:rPr>
                <w:rFonts w:hint="eastAsia" w:ascii="仿宋" w:hAnsi="仿宋" w:eastAsia="仿宋" w:cs="仿宋"/>
                <w:color w:val="FF0000"/>
                <w:sz w:val="24"/>
                <w:szCs w:val="24"/>
                <w:lang w:val="en-US" w:eastAsia="zh-CN"/>
              </w:rPr>
              <w:t>针对本项目有明确的售后服务方案，包括但不限于：①设备配送、安装、检验等；②发生故障后的补救措施及巡检服务；③售后服务维修人员详细情况；④维修的响应时间；⑤备品配件的清单及供应保障措施。</w:t>
            </w:r>
          </w:p>
          <w:p w14:paraId="79A9137A">
            <w:pPr>
              <w:jc w:val="left"/>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7分。存在一般缺陷的每项方案得3.5分（一般缺陷是指方案内容前后不一致或前后逻辑错误或内容有缺失，不影响项目的实施）。未提供或存在重大缺陷的每项方案不得分（重大缺陷是指方案凭空编造或与采购项目和采购需求无关，无法指导项目实施）。</w:t>
            </w:r>
          </w:p>
          <w:p w14:paraId="39F0AC33">
            <w:pPr>
              <w:jc w:val="left"/>
              <w:rPr>
                <w:rFonts w:hint="eastAsia" w:ascii="仿宋" w:hAnsi="仿宋" w:eastAsia="仿宋" w:cs="仿宋"/>
                <w:sz w:val="24"/>
                <w:szCs w:val="24"/>
              </w:rPr>
            </w:pPr>
            <w:r>
              <w:rPr>
                <w:rFonts w:hint="eastAsia" w:ascii="仿宋" w:hAnsi="仿宋" w:eastAsia="仿宋" w:cs="仿宋"/>
                <w:sz w:val="24"/>
                <w:szCs w:val="24"/>
              </w:rPr>
              <w:t>2、质保期在招标要求基础上再增加1年的加10分，增加2年以上的加20分，最高可加20分。</w:t>
            </w:r>
          </w:p>
        </w:tc>
      </w:tr>
      <w:tr w14:paraId="68EB04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17FBA835">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59FBC562">
            <w:pPr>
              <w:jc w:val="center"/>
              <w:rPr>
                <w:rFonts w:hint="eastAsia" w:ascii="仿宋" w:hAnsi="仿宋" w:eastAsia="仿宋" w:cs="仿宋"/>
                <w:sz w:val="24"/>
                <w:szCs w:val="24"/>
              </w:rPr>
            </w:pPr>
          </w:p>
        </w:tc>
        <w:tc>
          <w:tcPr>
            <w:tcW w:w="1377" w:type="dxa"/>
            <w:tcBorders>
              <w:tl2br w:val="nil"/>
              <w:tr2bl w:val="nil"/>
            </w:tcBorders>
            <w:noWrap w:val="0"/>
            <w:vAlign w:val="center"/>
          </w:tcPr>
          <w:p w14:paraId="3F1D6E03">
            <w:pPr>
              <w:jc w:val="center"/>
              <w:rPr>
                <w:rFonts w:hint="eastAsia" w:ascii="仿宋" w:hAnsi="仿宋" w:eastAsia="仿宋" w:cs="仿宋"/>
                <w:sz w:val="24"/>
                <w:szCs w:val="24"/>
              </w:rPr>
            </w:pPr>
            <w:r>
              <w:rPr>
                <w:rFonts w:hint="eastAsia" w:ascii="仿宋" w:hAnsi="仿宋" w:eastAsia="仿宋" w:cs="仿宋"/>
                <w:sz w:val="24"/>
                <w:szCs w:val="24"/>
              </w:rPr>
              <w:t>培训方案</w:t>
            </w:r>
          </w:p>
        </w:tc>
        <w:tc>
          <w:tcPr>
            <w:tcW w:w="709" w:type="dxa"/>
            <w:tcBorders>
              <w:tl2br w:val="nil"/>
              <w:tr2bl w:val="nil"/>
            </w:tcBorders>
            <w:noWrap w:val="0"/>
            <w:vAlign w:val="center"/>
          </w:tcPr>
          <w:p w14:paraId="55803E1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4519" w:type="dxa"/>
            <w:tcBorders>
              <w:tl2br w:val="nil"/>
              <w:tr2bl w:val="nil"/>
            </w:tcBorders>
            <w:noWrap w:val="0"/>
            <w:vAlign w:val="center"/>
          </w:tcPr>
          <w:p w14:paraId="3AF5A9F4">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针对本项目具有可行的技术培训方案，包括但不限于：①所提供设备的原理和技术性能；②操作维护方法；③安装调试、排除故障等各个方面</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4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④</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rPr>
              <w:t>培训</w:t>
            </w:r>
            <w:r>
              <w:rPr>
                <w:rFonts w:hint="eastAsia" w:ascii="仿宋" w:hAnsi="仿宋" w:eastAsia="仿宋" w:cs="仿宋"/>
                <w:color w:val="FF0000"/>
                <w:sz w:val="24"/>
                <w:szCs w:val="24"/>
                <w:lang w:eastAsia="zh-CN"/>
              </w:rPr>
              <w:t>计划安排</w:t>
            </w:r>
            <w:r>
              <w:rPr>
                <w:rFonts w:hint="eastAsia" w:ascii="仿宋" w:hAnsi="仿宋" w:eastAsia="仿宋" w:cs="仿宋"/>
                <w:color w:val="FF0000"/>
                <w:sz w:val="24"/>
                <w:szCs w:val="24"/>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5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⑤</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lang w:eastAsia="zh-CN"/>
              </w:rPr>
              <w:t>培训效果</w:t>
            </w:r>
            <w:r>
              <w:rPr>
                <w:rFonts w:hint="eastAsia" w:ascii="仿宋" w:hAnsi="仿宋" w:eastAsia="仿宋" w:cs="仿宋"/>
                <w:color w:val="FF0000"/>
                <w:sz w:val="24"/>
                <w:szCs w:val="24"/>
              </w:rPr>
              <w:t>等。</w:t>
            </w:r>
          </w:p>
          <w:p w14:paraId="2136E3B9">
            <w:pPr>
              <w:jc w:val="left"/>
              <w:rPr>
                <w:rFonts w:hint="eastAsia" w:ascii="仿宋" w:hAnsi="仿宋" w:eastAsia="仿宋" w:cs="仿宋"/>
                <w:sz w:val="24"/>
                <w:szCs w:val="24"/>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3分。存在一般缺陷的每项方案得1.5分（一般缺陷是指方案内容前后不一致或前后逻辑错误或内容有缺失，不影响项目的实施）。未提供或存在重大缺陷的每项方案不得分（重大缺陷是指方案凭空编造或与采购项目和采购需求无关，无法指导项目实施）。</w:t>
            </w:r>
          </w:p>
        </w:tc>
      </w:tr>
      <w:tr w14:paraId="495660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744A93DD">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23E22036">
            <w:pPr>
              <w:jc w:val="center"/>
              <w:rPr>
                <w:rFonts w:hint="eastAsia" w:ascii="仿宋" w:hAnsi="仿宋" w:eastAsia="仿宋" w:cs="仿宋"/>
                <w:sz w:val="24"/>
                <w:szCs w:val="24"/>
              </w:rPr>
            </w:pPr>
          </w:p>
        </w:tc>
        <w:tc>
          <w:tcPr>
            <w:tcW w:w="1377" w:type="dxa"/>
            <w:tcBorders>
              <w:tl2br w:val="nil"/>
              <w:tr2bl w:val="nil"/>
            </w:tcBorders>
            <w:noWrap w:val="0"/>
            <w:vAlign w:val="center"/>
          </w:tcPr>
          <w:p w14:paraId="71FC0A23">
            <w:pPr>
              <w:jc w:val="center"/>
              <w:rPr>
                <w:rFonts w:hint="eastAsia" w:ascii="仿宋" w:hAnsi="仿宋" w:eastAsia="仿宋" w:cs="仿宋"/>
                <w:sz w:val="24"/>
                <w:szCs w:val="24"/>
              </w:rPr>
            </w:pPr>
            <w:r>
              <w:rPr>
                <w:rFonts w:hint="eastAsia" w:ascii="仿宋" w:hAnsi="仿宋" w:eastAsia="仿宋" w:cs="仿宋"/>
                <w:sz w:val="24"/>
                <w:szCs w:val="24"/>
              </w:rPr>
              <w:t>类似业绩</w:t>
            </w:r>
          </w:p>
        </w:tc>
        <w:tc>
          <w:tcPr>
            <w:tcW w:w="709" w:type="dxa"/>
            <w:tcBorders>
              <w:tl2br w:val="nil"/>
              <w:tr2bl w:val="nil"/>
            </w:tcBorders>
            <w:noWrap w:val="0"/>
            <w:vAlign w:val="center"/>
          </w:tcPr>
          <w:p w14:paraId="2E371DF3">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519" w:type="dxa"/>
            <w:tcBorders>
              <w:tl2br w:val="nil"/>
              <w:tr2bl w:val="nil"/>
            </w:tcBorders>
            <w:noWrap w:val="0"/>
            <w:vAlign w:val="center"/>
          </w:tcPr>
          <w:p w14:paraId="56EC0EC0">
            <w:pPr>
              <w:jc w:val="left"/>
              <w:rPr>
                <w:rFonts w:hint="eastAsia" w:ascii="仿宋" w:hAnsi="仿宋" w:eastAsia="仿宋" w:cs="仿宋"/>
                <w:sz w:val="24"/>
                <w:szCs w:val="24"/>
              </w:rPr>
            </w:pPr>
            <w:r>
              <w:rPr>
                <w:rFonts w:hint="eastAsia" w:ascii="仿宋" w:hAnsi="仿宋" w:eastAsia="仿宋" w:cs="仿宋"/>
                <w:sz w:val="24"/>
                <w:szCs w:val="24"/>
              </w:rPr>
              <w:t>提供近两年以来同型号设备销售业绩证明材料（证明材料可以是中标通知书或中标公示截图或合同相关页面，且证明材料要体现中标设备的型号），每提供一份计1</w:t>
            </w:r>
            <w:r>
              <w:rPr>
                <w:rFonts w:hint="eastAsia" w:ascii="仿宋" w:hAnsi="仿宋" w:eastAsia="仿宋" w:cs="仿宋"/>
                <w:sz w:val="24"/>
                <w:szCs w:val="24"/>
                <w:lang w:val="en-US" w:eastAsia="zh-CN"/>
              </w:rPr>
              <w:t>5</w:t>
            </w:r>
            <w:r>
              <w:rPr>
                <w:rFonts w:hint="eastAsia" w:ascii="仿宋" w:hAnsi="仿宋" w:eastAsia="仿宋" w:cs="仿宋"/>
                <w:sz w:val="24"/>
                <w:szCs w:val="24"/>
              </w:rPr>
              <w:t>分，计满30分为止，未按要求提供不得分。</w:t>
            </w:r>
          </w:p>
        </w:tc>
      </w:tr>
    </w:tbl>
    <w:p w14:paraId="7C00227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7D986304">
      <w:pPr>
        <w:pStyle w:val="4"/>
        <w:numPr>
          <w:ilvl w:val="0"/>
          <w:numId w:val="0"/>
        </w:numPr>
        <w:spacing w:line="240" w:lineRule="auto"/>
        <w:ind w:left="2940" w:leftChars="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5858F05C">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1E082FAB">
      <w:pPr>
        <w:rPr>
          <w:rFonts w:hint="eastAsia" w:ascii="宋体" w:hAnsi="宋体" w:cs="宋体"/>
          <w:color w:val="auto"/>
        </w:rPr>
      </w:pPr>
    </w:p>
    <w:bookmarkEnd w:id="2"/>
    <w:p w14:paraId="666655F8">
      <w:pPr>
        <w:rPr>
          <w:rFonts w:hint="eastAsia"/>
          <w:color w:val="auto"/>
        </w:rPr>
      </w:pPr>
    </w:p>
    <w:p w14:paraId="01BC89E8">
      <w:pPr>
        <w:jc w:val="center"/>
        <w:rPr>
          <w:b/>
          <w:color w:val="auto"/>
          <w:sz w:val="24"/>
        </w:rPr>
      </w:pPr>
      <w:r>
        <w:rPr>
          <w:b/>
          <w:color w:val="auto"/>
          <w:sz w:val="28"/>
          <w:szCs w:val="28"/>
        </w:rPr>
        <w:t>第一部分、开标一览表</w:t>
      </w:r>
    </w:p>
    <w:p w14:paraId="7DE46551">
      <w:pPr>
        <w:jc w:val="center"/>
        <w:rPr>
          <w:b/>
          <w:color w:val="auto"/>
          <w:sz w:val="24"/>
        </w:rPr>
      </w:pPr>
    </w:p>
    <w:p w14:paraId="04A2D8ED">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43C8CC19">
      <w:pPr>
        <w:pStyle w:val="18"/>
        <w:rPr>
          <w:color w:val="auto"/>
        </w:rPr>
      </w:pPr>
    </w:p>
    <w:p w14:paraId="32E12350">
      <w:pPr>
        <w:adjustRightInd w:val="0"/>
        <w:snapToGrid w:val="0"/>
        <w:spacing w:line="360" w:lineRule="auto"/>
        <w:jc w:val="center"/>
        <w:rPr>
          <w:rFonts w:hint="eastAsia" w:ascii="宋体" w:hAnsi="宋体" w:cs="宋体"/>
          <w:b/>
          <w:color w:val="auto"/>
          <w:sz w:val="28"/>
          <w:szCs w:val="28"/>
        </w:rPr>
      </w:pPr>
    </w:p>
    <w:p w14:paraId="73F06409">
      <w:pPr>
        <w:adjustRightInd w:val="0"/>
        <w:snapToGrid w:val="0"/>
        <w:spacing w:line="360" w:lineRule="auto"/>
        <w:jc w:val="center"/>
        <w:rPr>
          <w:rFonts w:hint="eastAsia" w:ascii="宋体" w:hAnsi="宋体" w:cs="宋体"/>
          <w:b/>
          <w:color w:val="auto"/>
          <w:sz w:val="28"/>
          <w:szCs w:val="28"/>
        </w:rPr>
      </w:pPr>
    </w:p>
    <w:p w14:paraId="18CE62AF">
      <w:pPr>
        <w:adjustRightInd w:val="0"/>
        <w:snapToGrid w:val="0"/>
        <w:spacing w:line="360" w:lineRule="auto"/>
        <w:jc w:val="center"/>
        <w:rPr>
          <w:rFonts w:hint="eastAsia" w:ascii="宋体" w:hAnsi="宋体" w:cs="宋体"/>
          <w:b/>
          <w:color w:val="auto"/>
          <w:sz w:val="28"/>
          <w:szCs w:val="28"/>
        </w:rPr>
      </w:pPr>
    </w:p>
    <w:p w14:paraId="7AF5ABC7">
      <w:pPr>
        <w:adjustRightInd w:val="0"/>
        <w:snapToGrid w:val="0"/>
        <w:spacing w:line="360" w:lineRule="auto"/>
        <w:jc w:val="center"/>
        <w:rPr>
          <w:rFonts w:hint="eastAsia" w:ascii="宋体" w:hAnsi="宋体" w:cs="宋体"/>
          <w:b/>
          <w:color w:val="auto"/>
          <w:sz w:val="28"/>
          <w:szCs w:val="28"/>
        </w:rPr>
      </w:pPr>
    </w:p>
    <w:p w14:paraId="04B17FE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95513ED">
      <w:pPr>
        <w:pStyle w:val="17"/>
        <w:rPr>
          <w:rFonts w:hint="eastAsia"/>
          <w:lang w:eastAsia="zh-CN"/>
        </w:rPr>
      </w:pPr>
    </w:p>
    <w:p w14:paraId="7DD278F9">
      <w:pPr>
        <w:adjustRightInd w:val="0"/>
        <w:snapToGrid w:val="0"/>
        <w:spacing w:line="360" w:lineRule="auto"/>
        <w:jc w:val="center"/>
        <w:rPr>
          <w:rFonts w:hint="eastAsia" w:ascii="宋体" w:hAnsi="宋体" w:cs="宋体"/>
          <w:b/>
          <w:color w:val="auto"/>
          <w:sz w:val="24"/>
          <w:szCs w:val="20"/>
        </w:rPr>
      </w:pPr>
    </w:p>
    <w:p w14:paraId="404AEA4E">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7D78A8BA">
      <w:pPr>
        <w:adjustRightInd w:val="0"/>
        <w:snapToGrid w:val="0"/>
        <w:spacing w:line="360" w:lineRule="auto"/>
        <w:rPr>
          <w:rFonts w:hint="eastAsia" w:ascii="宋体" w:hAnsi="宋体" w:cs="宋体"/>
          <w:b/>
          <w:color w:val="auto"/>
          <w:sz w:val="28"/>
          <w:szCs w:val="28"/>
        </w:rPr>
      </w:pPr>
    </w:p>
    <w:p w14:paraId="607FB4A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5C639DD6">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66D124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253AAD46">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5546E4DB">
      <w:pPr>
        <w:adjustRightInd w:val="0"/>
        <w:snapToGrid w:val="0"/>
        <w:spacing w:line="360" w:lineRule="auto"/>
        <w:ind w:firstLine="480" w:firstLineChars="200"/>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2B3B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7D41AF5">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359A6A59">
      <w:pPr>
        <w:adjustRightInd w:val="0"/>
        <w:snapToGrid w:val="0"/>
        <w:spacing w:line="360" w:lineRule="auto"/>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71D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F23A3A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10A657BD">
      <w:pPr>
        <w:adjustRightInd w:val="0"/>
        <w:snapToGrid w:val="0"/>
        <w:spacing w:line="360" w:lineRule="auto"/>
        <w:rPr>
          <w:rFonts w:hint="eastAsia" w:ascii="宋体" w:hAnsi="宋体" w:cs="宋体"/>
          <w:color w:val="auto"/>
          <w:sz w:val="24"/>
        </w:rPr>
      </w:pPr>
    </w:p>
    <w:p w14:paraId="272F408B">
      <w:pPr>
        <w:adjustRightInd w:val="0"/>
        <w:snapToGrid w:val="0"/>
        <w:spacing w:line="360" w:lineRule="auto"/>
        <w:rPr>
          <w:rFonts w:hint="eastAsia" w:ascii="宋体" w:hAnsi="宋体" w:cs="宋体"/>
          <w:color w:val="auto"/>
          <w:sz w:val="24"/>
        </w:rPr>
      </w:pPr>
    </w:p>
    <w:p w14:paraId="2FCE791E">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40FEA3BE">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71D1DBF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6D79F3D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20A8A84">
      <w:pPr>
        <w:adjustRightInd w:val="0"/>
        <w:snapToGrid w:val="0"/>
        <w:spacing w:line="360" w:lineRule="auto"/>
        <w:rPr>
          <w:rFonts w:hint="eastAsia" w:ascii="宋体" w:hAnsi="宋体" w:cs="宋体"/>
          <w:b/>
          <w:color w:val="auto"/>
          <w:sz w:val="28"/>
          <w:szCs w:val="28"/>
        </w:rPr>
      </w:pPr>
    </w:p>
    <w:p w14:paraId="47EC2BA3">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1152A5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7D419C8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600664A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0DD1E3C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48E9CC0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3473874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455257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36D53F9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52C70748">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02CAF38">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562FDEBE">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30148509">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0676950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78EDBFBD">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1694EA">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60C5749C">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D1C3108">
      <w:pPr>
        <w:adjustRightInd w:val="0"/>
        <w:snapToGrid w:val="0"/>
        <w:spacing w:line="360" w:lineRule="auto"/>
        <w:jc w:val="center"/>
        <w:rPr>
          <w:rFonts w:hint="eastAsia" w:ascii="宋体" w:hAnsi="宋体" w:cs="宋体"/>
          <w:b/>
          <w:color w:val="auto"/>
          <w:sz w:val="24"/>
          <w:szCs w:val="20"/>
        </w:rPr>
      </w:pPr>
    </w:p>
    <w:p w14:paraId="0868FA9A">
      <w:pPr>
        <w:adjustRightInd w:val="0"/>
        <w:snapToGrid w:val="0"/>
        <w:spacing w:line="360" w:lineRule="auto"/>
        <w:rPr>
          <w:rFonts w:hint="eastAsia" w:ascii="宋体" w:hAnsi="宋体" w:cs="宋体"/>
          <w:b/>
          <w:color w:val="auto"/>
          <w:sz w:val="24"/>
          <w:szCs w:val="20"/>
        </w:rPr>
      </w:pPr>
    </w:p>
    <w:p w14:paraId="31A15CA0">
      <w:pPr>
        <w:adjustRightInd w:val="0"/>
        <w:snapToGrid w:val="0"/>
        <w:spacing w:line="360" w:lineRule="auto"/>
        <w:rPr>
          <w:rFonts w:hint="eastAsia" w:ascii="宋体" w:hAnsi="宋体" w:cs="宋体"/>
          <w:b/>
          <w:color w:val="auto"/>
          <w:sz w:val="24"/>
          <w:szCs w:val="20"/>
        </w:rPr>
      </w:pPr>
    </w:p>
    <w:p w14:paraId="4E500AD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527A5410">
      <w:pPr>
        <w:adjustRightInd w:val="0"/>
        <w:snapToGrid w:val="0"/>
        <w:spacing w:line="360" w:lineRule="auto"/>
        <w:jc w:val="center"/>
        <w:rPr>
          <w:rFonts w:hint="eastAsia" w:ascii="宋体" w:hAnsi="宋体" w:cs="宋体"/>
          <w:b/>
          <w:color w:val="auto"/>
          <w:sz w:val="24"/>
          <w:szCs w:val="20"/>
        </w:rPr>
      </w:pPr>
    </w:p>
    <w:p w14:paraId="29EC3A48">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764E5EC1">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2270334B">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28241FB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D84EE20">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1005F22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64CAEDE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052F124E">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18E31269">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23195598">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69BF5021">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2DA5A93F">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187A282C">
      <w:pPr>
        <w:jc w:val="left"/>
        <w:rPr>
          <w:rFonts w:hint="eastAsia" w:ascii="宋体" w:hAnsi="宋体" w:eastAsia="宋体" w:cs="Times New Roman"/>
          <w:b w:val="0"/>
          <w:bCs w:val="0"/>
          <w:color w:val="auto"/>
          <w:kern w:val="2"/>
          <w:sz w:val="24"/>
          <w:szCs w:val="24"/>
          <w:lang w:val="en-US" w:eastAsia="zh-CN" w:bidi="ar-SA"/>
        </w:rPr>
      </w:pPr>
    </w:p>
    <w:p w14:paraId="186BE2CE">
      <w:pPr>
        <w:jc w:val="left"/>
        <w:rPr>
          <w:rFonts w:hint="eastAsia" w:ascii="宋体" w:hAnsi="宋体" w:eastAsia="宋体" w:cs="Times New Roman"/>
          <w:b w:val="0"/>
          <w:bCs w:val="0"/>
          <w:color w:val="auto"/>
          <w:kern w:val="2"/>
          <w:sz w:val="24"/>
          <w:szCs w:val="24"/>
          <w:lang w:val="en-US" w:eastAsia="zh-CN" w:bidi="ar-SA"/>
        </w:rPr>
      </w:pPr>
    </w:p>
    <w:p w14:paraId="45B81BB6">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2492D1F5">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92238F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14:paraId="15869AFE">
      <w:pPr>
        <w:pStyle w:val="17"/>
        <w:rPr>
          <w:rFonts w:hint="eastAsia"/>
          <w:lang w:eastAsia="zh-CN"/>
        </w:rPr>
      </w:pPr>
    </w:p>
    <w:p w14:paraId="7AC946B4">
      <w:pPr>
        <w:spacing w:before="120" w:beforeLines="50" w:after="120" w:afterLines="50" w:line="276" w:lineRule="auto"/>
        <w:jc w:val="center"/>
        <w:rPr>
          <w:b/>
          <w:color w:val="auto"/>
          <w:sz w:val="24"/>
        </w:rPr>
      </w:pPr>
      <w:r>
        <w:rPr>
          <w:b/>
          <w:color w:val="auto"/>
          <w:sz w:val="24"/>
        </w:rPr>
        <w:t>采购需求响应/偏离表</w:t>
      </w:r>
    </w:p>
    <w:p w14:paraId="543E5CEA">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780F1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17A27484">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13E29C54">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36A0955D">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33342840">
            <w:pPr>
              <w:adjustRightInd w:val="0"/>
              <w:snapToGrid w:val="0"/>
              <w:spacing w:before="50" w:line="360" w:lineRule="auto"/>
              <w:jc w:val="center"/>
              <w:rPr>
                <w:color w:val="auto"/>
              </w:rPr>
            </w:pPr>
            <w:r>
              <w:rPr>
                <w:color w:val="auto"/>
              </w:rPr>
              <w:t>投标文件应答</w:t>
            </w:r>
          </w:p>
        </w:tc>
        <w:tc>
          <w:tcPr>
            <w:tcW w:w="1513" w:type="dxa"/>
            <w:noWrap w:val="0"/>
            <w:vAlign w:val="center"/>
          </w:tcPr>
          <w:p w14:paraId="05F03C7E">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285C8BBF">
            <w:pPr>
              <w:adjustRightInd w:val="0"/>
              <w:snapToGrid w:val="0"/>
              <w:spacing w:before="50" w:line="360" w:lineRule="auto"/>
              <w:ind w:left="-88" w:leftChars="-42"/>
              <w:jc w:val="center"/>
              <w:rPr>
                <w:color w:val="auto"/>
                <w:szCs w:val="21"/>
              </w:rPr>
            </w:pPr>
            <w:r>
              <w:rPr>
                <w:color w:val="auto"/>
                <w:szCs w:val="21"/>
              </w:rPr>
              <w:t>偏离说明</w:t>
            </w:r>
          </w:p>
        </w:tc>
      </w:tr>
      <w:tr w14:paraId="45DF7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54A9F09">
            <w:pPr>
              <w:adjustRightInd w:val="0"/>
              <w:snapToGrid w:val="0"/>
              <w:spacing w:before="50" w:line="360" w:lineRule="auto"/>
              <w:ind w:left="-88" w:leftChars="-42"/>
              <w:jc w:val="center"/>
              <w:rPr>
                <w:color w:val="auto"/>
                <w:szCs w:val="21"/>
              </w:rPr>
            </w:pPr>
          </w:p>
        </w:tc>
        <w:tc>
          <w:tcPr>
            <w:tcW w:w="1877" w:type="dxa"/>
            <w:noWrap w:val="0"/>
            <w:vAlign w:val="center"/>
          </w:tcPr>
          <w:p w14:paraId="3D63AB92">
            <w:pPr>
              <w:adjustRightInd w:val="0"/>
              <w:snapToGrid w:val="0"/>
              <w:spacing w:before="50" w:line="360" w:lineRule="auto"/>
              <w:ind w:left="-88" w:leftChars="-42"/>
              <w:jc w:val="center"/>
              <w:rPr>
                <w:color w:val="auto"/>
                <w:szCs w:val="21"/>
              </w:rPr>
            </w:pPr>
          </w:p>
        </w:tc>
        <w:tc>
          <w:tcPr>
            <w:tcW w:w="1671" w:type="dxa"/>
            <w:noWrap w:val="0"/>
            <w:vAlign w:val="center"/>
          </w:tcPr>
          <w:p w14:paraId="7937BF56">
            <w:pPr>
              <w:adjustRightInd w:val="0"/>
              <w:snapToGrid w:val="0"/>
              <w:spacing w:before="50" w:line="360" w:lineRule="auto"/>
              <w:ind w:left="-88" w:leftChars="-42"/>
              <w:jc w:val="center"/>
              <w:rPr>
                <w:color w:val="auto"/>
                <w:szCs w:val="21"/>
              </w:rPr>
            </w:pPr>
          </w:p>
        </w:tc>
        <w:tc>
          <w:tcPr>
            <w:tcW w:w="1608" w:type="dxa"/>
            <w:noWrap w:val="0"/>
            <w:vAlign w:val="center"/>
          </w:tcPr>
          <w:p w14:paraId="6A7E120B">
            <w:pPr>
              <w:adjustRightInd w:val="0"/>
              <w:snapToGrid w:val="0"/>
              <w:spacing w:before="50" w:line="360" w:lineRule="auto"/>
              <w:ind w:left="-88" w:leftChars="-42"/>
              <w:jc w:val="center"/>
              <w:rPr>
                <w:color w:val="auto"/>
                <w:szCs w:val="21"/>
              </w:rPr>
            </w:pPr>
          </w:p>
        </w:tc>
        <w:tc>
          <w:tcPr>
            <w:tcW w:w="1513" w:type="dxa"/>
            <w:noWrap w:val="0"/>
            <w:vAlign w:val="center"/>
          </w:tcPr>
          <w:p w14:paraId="6608B709">
            <w:pPr>
              <w:adjustRightInd w:val="0"/>
              <w:snapToGrid w:val="0"/>
              <w:spacing w:before="50" w:line="360" w:lineRule="auto"/>
              <w:ind w:left="-88" w:leftChars="-42"/>
              <w:jc w:val="center"/>
              <w:rPr>
                <w:color w:val="auto"/>
                <w:szCs w:val="21"/>
              </w:rPr>
            </w:pPr>
          </w:p>
        </w:tc>
        <w:tc>
          <w:tcPr>
            <w:tcW w:w="1061" w:type="dxa"/>
            <w:noWrap w:val="0"/>
            <w:vAlign w:val="center"/>
          </w:tcPr>
          <w:p w14:paraId="053C5D75">
            <w:pPr>
              <w:adjustRightInd w:val="0"/>
              <w:snapToGrid w:val="0"/>
              <w:spacing w:before="50" w:line="360" w:lineRule="auto"/>
              <w:ind w:left="-88" w:leftChars="-42"/>
              <w:jc w:val="center"/>
              <w:rPr>
                <w:color w:val="auto"/>
                <w:szCs w:val="21"/>
              </w:rPr>
            </w:pPr>
          </w:p>
        </w:tc>
      </w:tr>
      <w:tr w14:paraId="583DA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0679DF75">
            <w:pPr>
              <w:adjustRightInd w:val="0"/>
              <w:snapToGrid w:val="0"/>
              <w:spacing w:before="50" w:line="360" w:lineRule="auto"/>
              <w:ind w:left="-88" w:leftChars="-42"/>
              <w:jc w:val="center"/>
              <w:rPr>
                <w:color w:val="auto"/>
                <w:szCs w:val="21"/>
              </w:rPr>
            </w:pPr>
          </w:p>
        </w:tc>
        <w:tc>
          <w:tcPr>
            <w:tcW w:w="1877" w:type="dxa"/>
            <w:noWrap w:val="0"/>
            <w:vAlign w:val="center"/>
          </w:tcPr>
          <w:p w14:paraId="3C4232CC">
            <w:pPr>
              <w:adjustRightInd w:val="0"/>
              <w:snapToGrid w:val="0"/>
              <w:spacing w:before="50" w:line="360" w:lineRule="auto"/>
              <w:ind w:left="-88" w:leftChars="-42"/>
              <w:jc w:val="center"/>
              <w:rPr>
                <w:color w:val="auto"/>
                <w:szCs w:val="21"/>
              </w:rPr>
            </w:pPr>
          </w:p>
        </w:tc>
        <w:tc>
          <w:tcPr>
            <w:tcW w:w="1671" w:type="dxa"/>
            <w:noWrap w:val="0"/>
            <w:vAlign w:val="center"/>
          </w:tcPr>
          <w:p w14:paraId="035A6913">
            <w:pPr>
              <w:adjustRightInd w:val="0"/>
              <w:snapToGrid w:val="0"/>
              <w:spacing w:before="50" w:line="360" w:lineRule="auto"/>
              <w:ind w:left="-88" w:leftChars="-42"/>
              <w:jc w:val="center"/>
              <w:rPr>
                <w:color w:val="auto"/>
                <w:szCs w:val="21"/>
              </w:rPr>
            </w:pPr>
          </w:p>
        </w:tc>
        <w:tc>
          <w:tcPr>
            <w:tcW w:w="1608" w:type="dxa"/>
            <w:noWrap w:val="0"/>
            <w:vAlign w:val="center"/>
          </w:tcPr>
          <w:p w14:paraId="600B1C88">
            <w:pPr>
              <w:adjustRightInd w:val="0"/>
              <w:snapToGrid w:val="0"/>
              <w:spacing w:before="50" w:line="360" w:lineRule="auto"/>
              <w:ind w:left="-88" w:leftChars="-42"/>
              <w:jc w:val="center"/>
              <w:rPr>
                <w:color w:val="auto"/>
                <w:szCs w:val="21"/>
              </w:rPr>
            </w:pPr>
          </w:p>
        </w:tc>
        <w:tc>
          <w:tcPr>
            <w:tcW w:w="1513" w:type="dxa"/>
            <w:noWrap w:val="0"/>
            <w:vAlign w:val="center"/>
          </w:tcPr>
          <w:p w14:paraId="4AEEA1A2">
            <w:pPr>
              <w:adjustRightInd w:val="0"/>
              <w:snapToGrid w:val="0"/>
              <w:spacing w:before="50" w:line="360" w:lineRule="auto"/>
              <w:ind w:left="-88" w:leftChars="-42"/>
              <w:jc w:val="center"/>
              <w:rPr>
                <w:color w:val="auto"/>
                <w:szCs w:val="21"/>
              </w:rPr>
            </w:pPr>
          </w:p>
        </w:tc>
        <w:tc>
          <w:tcPr>
            <w:tcW w:w="1061" w:type="dxa"/>
            <w:noWrap w:val="0"/>
            <w:vAlign w:val="center"/>
          </w:tcPr>
          <w:p w14:paraId="287AAA17">
            <w:pPr>
              <w:adjustRightInd w:val="0"/>
              <w:snapToGrid w:val="0"/>
              <w:spacing w:before="50" w:line="360" w:lineRule="auto"/>
              <w:ind w:left="-88" w:leftChars="-42"/>
              <w:jc w:val="center"/>
              <w:rPr>
                <w:color w:val="auto"/>
                <w:szCs w:val="21"/>
              </w:rPr>
            </w:pPr>
          </w:p>
        </w:tc>
      </w:tr>
      <w:tr w14:paraId="2C933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061A06DE">
            <w:pPr>
              <w:adjustRightInd w:val="0"/>
              <w:snapToGrid w:val="0"/>
              <w:spacing w:before="50" w:line="360" w:lineRule="auto"/>
              <w:ind w:left="-88" w:leftChars="-42"/>
              <w:jc w:val="center"/>
              <w:rPr>
                <w:color w:val="auto"/>
                <w:szCs w:val="21"/>
              </w:rPr>
            </w:pPr>
          </w:p>
        </w:tc>
        <w:tc>
          <w:tcPr>
            <w:tcW w:w="1877" w:type="dxa"/>
            <w:noWrap w:val="0"/>
            <w:vAlign w:val="center"/>
          </w:tcPr>
          <w:p w14:paraId="59084BA3">
            <w:pPr>
              <w:adjustRightInd w:val="0"/>
              <w:snapToGrid w:val="0"/>
              <w:spacing w:before="50" w:line="360" w:lineRule="auto"/>
              <w:ind w:left="-88" w:leftChars="-42"/>
              <w:jc w:val="center"/>
              <w:rPr>
                <w:color w:val="auto"/>
                <w:szCs w:val="21"/>
              </w:rPr>
            </w:pPr>
          </w:p>
        </w:tc>
        <w:tc>
          <w:tcPr>
            <w:tcW w:w="1671" w:type="dxa"/>
            <w:noWrap w:val="0"/>
            <w:vAlign w:val="center"/>
          </w:tcPr>
          <w:p w14:paraId="45767A97">
            <w:pPr>
              <w:adjustRightInd w:val="0"/>
              <w:snapToGrid w:val="0"/>
              <w:spacing w:before="50" w:line="360" w:lineRule="auto"/>
              <w:ind w:left="-88" w:leftChars="-42"/>
              <w:jc w:val="center"/>
              <w:rPr>
                <w:color w:val="auto"/>
                <w:szCs w:val="21"/>
              </w:rPr>
            </w:pPr>
          </w:p>
        </w:tc>
        <w:tc>
          <w:tcPr>
            <w:tcW w:w="1608" w:type="dxa"/>
            <w:noWrap w:val="0"/>
            <w:vAlign w:val="center"/>
          </w:tcPr>
          <w:p w14:paraId="2AC26199">
            <w:pPr>
              <w:adjustRightInd w:val="0"/>
              <w:snapToGrid w:val="0"/>
              <w:spacing w:before="50" w:line="360" w:lineRule="auto"/>
              <w:ind w:left="-88" w:leftChars="-42"/>
              <w:jc w:val="center"/>
              <w:rPr>
                <w:color w:val="auto"/>
                <w:szCs w:val="21"/>
              </w:rPr>
            </w:pPr>
          </w:p>
        </w:tc>
        <w:tc>
          <w:tcPr>
            <w:tcW w:w="1513" w:type="dxa"/>
            <w:noWrap w:val="0"/>
            <w:vAlign w:val="center"/>
          </w:tcPr>
          <w:p w14:paraId="699F0019">
            <w:pPr>
              <w:adjustRightInd w:val="0"/>
              <w:snapToGrid w:val="0"/>
              <w:spacing w:before="50" w:line="360" w:lineRule="auto"/>
              <w:ind w:left="-88" w:leftChars="-42"/>
              <w:jc w:val="center"/>
              <w:rPr>
                <w:color w:val="auto"/>
                <w:szCs w:val="21"/>
              </w:rPr>
            </w:pPr>
          </w:p>
        </w:tc>
        <w:tc>
          <w:tcPr>
            <w:tcW w:w="1061" w:type="dxa"/>
            <w:noWrap w:val="0"/>
            <w:vAlign w:val="center"/>
          </w:tcPr>
          <w:p w14:paraId="12784041">
            <w:pPr>
              <w:adjustRightInd w:val="0"/>
              <w:snapToGrid w:val="0"/>
              <w:spacing w:before="50" w:line="360" w:lineRule="auto"/>
              <w:ind w:left="-88" w:leftChars="-42"/>
              <w:jc w:val="center"/>
              <w:rPr>
                <w:color w:val="auto"/>
                <w:szCs w:val="21"/>
              </w:rPr>
            </w:pPr>
          </w:p>
        </w:tc>
      </w:tr>
      <w:tr w14:paraId="73CF4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4CBDE334">
            <w:pPr>
              <w:rPr>
                <w:b/>
                <w:color w:val="auto"/>
              </w:rPr>
            </w:pPr>
          </w:p>
        </w:tc>
      </w:tr>
    </w:tbl>
    <w:p w14:paraId="36E411E9">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74792CB2">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0E4DAFF9">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4C5D3158">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本项目为综合评分法，所有参数必须在响应表中逐条应答。</w:t>
      </w:r>
    </w:p>
    <w:p w14:paraId="73A346E0">
      <w:pPr>
        <w:pStyle w:val="18"/>
        <w:rPr>
          <w:color w:val="auto"/>
        </w:rPr>
      </w:pPr>
    </w:p>
    <w:p w14:paraId="4EC681CA">
      <w:pPr>
        <w:pStyle w:val="17"/>
        <w:rPr>
          <w:rFonts w:hint="eastAsia"/>
          <w:lang w:eastAsia="zh-CN"/>
        </w:rPr>
      </w:pPr>
    </w:p>
    <w:p w14:paraId="597100E9"/>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PingFang SC">
    <w:altName w:val="宋体"/>
    <w:panose1 w:val="020B0400000000000000"/>
    <w:charset w:val="7A"/>
    <w:family w:val="auto"/>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7E09E">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48EFE">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748EFE">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635874D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ADA8B">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D7AF5">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4D7AF5">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3F3A6413">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8FC7A">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B67FE42"/>
    <w:multiLevelType w:val="singleLevel"/>
    <w:tmpl w:val="EB67FE4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7583825"/>
    <w:rsid w:val="086F75C9"/>
    <w:rsid w:val="09C0303A"/>
    <w:rsid w:val="0A3F4F3C"/>
    <w:rsid w:val="0A6D3244"/>
    <w:rsid w:val="0A8A74D4"/>
    <w:rsid w:val="0CAD77BD"/>
    <w:rsid w:val="0E331420"/>
    <w:rsid w:val="0EDD1643"/>
    <w:rsid w:val="0FB9029C"/>
    <w:rsid w:val="10897B23"/>
    <w:rsid w:val="10914EF9"/>
    <w:rsid w:val="10B8663C"/>
    <w:rsid w:val="12080B62"/>
    <w:rsid w:val="12994AC5"/>
    <w:rsid w:val="129F447F"/>
    <w:rsid w:val="12C86253"/>
    <w:rsid w:val="14E40477"/>
    <w:rsid w:val="15060AC8"/>
    <w:rsid w:val="15125EAE"/>
    <w:rsid w:val="15675A4C"/>
    <w:rsid w:val="17F91BB8"/>
    <w:rsid w:val="193E7D91"/>
    <w:rsid w:val="1943608F"/>
    <w:rsid w:val="19E40286"/>
    <w:rsid w:val="19E91315"/>
    <w:rsid w:val="1AF56B46"/>
    <w:rsid w:val="1C795D39"/>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CDC672B"/>
    <w:rsid w:val="2DD77C64"/>
    <w:rsid w:val="2DDA1E78"/>
    <w:rsid w:val="2DE00B8C"/>
    <w:rsid w:val="2EAC037F"/>
    <w:rsid w:val="2EB67A5C"/>
    <w:rsid w:val="302741D2"/>
    <w:rsid w:val="308B184D"/>
    <w:rsid w:val="309C1E01"/>
    <w:rsid w:val="30BB11DD"/>
    <w:rsid w:val="31F17CD1"/>
    <w:rsid w:val="324F4D43"/>
    <w:rsid w:val="33384C93"/>
    <w:rsid w:val="340F06E9"/>
    <w:rsid w:val="34C12F54"/>
    <w:rsid w:val="361110A5"/>
    <w:rsid w:val="366241E2"/>
    <w:rsid w:val="36B66AAC"/>
    <w:rsid w:val="36E47928"/>
    <w:rsid w:val="372F7378"/>
    <w:rsid w:val="37BA0809"/>
    <w:rsid w:val="38FF7404"/>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4D6AA3"/>
    <w:rsid w:val="4CAC1559"/>
    <w:rsid w:val="4D754257"/>
    <w:rsid w:val="4DCD6AB3"/>
    <w:rsid w:val="4EE7662F"/>
    <w:rsid w:val="50216DCD"/>
    <w:rsid w:val="50540C20"/>
    <w:rsid w:val="506258C6"/>
    <w:rsid w:val="51AC28BD"/>
    <w:rsid w:val="52183ACC"/>
    <w:rsid w:val="521E2A7F"/>
    <w:rsid w:val="53B55872"/>
    <w:rsid w:val="544055F2"/>
    <w:rsid w:val="54AD4386"/>
    <w:rsid w:val="55D8243C"/>
    <w:rsid w:val="581A7C72"/>
    <w:rsid w:val="583A4BD7"/>
    <w:rsid w:val="59C51B68"/>
    <w:rsid w:val="59C74B1F"/>
    <w:rsid w:val="5A886F59"/>
    <w:rsid w:val="5DB23133"/>
    <w:rsid w:val="604D5946"/>
    <w:rsid w:val="611B6B1B"/>
    <w:rsid w:val="618A48B9"/>
    <w:rsid w:val="62C222C2"/>
    <w:rsid w:val="632D7C40"/>
    <w:rsid w:val="64133D6A"/>
    <w:rsid w:val="64245572"/>
    <w:rsid w:val="66C30AF5"/>
    <w:rsid w:val="672737CD"/>
    <w:rsid w:val="678E4F5D"/>
    <w:rsid w:val="67F3562A"/>
    <w:rsid w:val="680E122C"/>
    <w:rsid w:val="6A4E1D63"/>
    <w:rsid w:val="6AA026F2"/>
    <w:rsid w:val="6B592423"/>
    <w:rsid w:val="6C486FE4"/>
    <w:rsid w:val="6CA409DF"/>
    <w:rsid w:val="6DE375E4"/>
    <w:rsid w:val="6E8E5287"/>
    <w:rsid w:val="6FAC3B48"/>
    <w:rsid w:val="6FAD463B"/>
    <w:rsid w:val="6FBE332C"/>
    <w:rsid w:val="70CE0BC9"/>
    <w:rsid w:val="71554367"/>
    <w:rsid w:val="71584067"/>
    <w:rsid w:val="71F26E91"/>
    <w:rsid w:val="72931CE4"/>
    <w:rsid w:val="735201FF"/>
    <w:rsid w:val="737B50A4"/>
    <w:rsid w:val="73F40E72"/>
    <w:rsid w:val="74566F5C"/>
    <w:rsid w:val="750117A8"/>
    <w:rsid w:val="755B2270"/>
    <w:rsid w:val="75E27514"/>
    <w:rsid w:val="7612420D"/>
    <w:rsid w:val="76920D75"/>
    <w:rsid w:val="76C47877"/>
    <w:rsid w:val="77423DFF"/>
    <w:rsid w:val="783B5EA9"/>
    <w:rsid w:val="79EB699D"/>
    <w:rsid w:val="79F871CC"/>
    <w:rsid w:val="7AFF5E62"/>
    <w:rsid w:val="7B0620DE"/>
    <w:rsid w:val="7BBF44BB"/>
    <w:rsid w:val="7BF15CE4"/>
    <w:rsid w:val="7C3A27E5"/>
    <w:rsid w:val="7D9727DD"/>
    <w:rsid w:val="7DCB30EB"/>
    <w:rsid w:val="7E2F518C"/>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qFormat/>
    <w:uiPriority w:val="99"/>
    <w:pPr>
      <w:spacing w:line="400" w:lineRule="exact"/>
      <w:ind w:left="630"/>
    </w:pPr>
    <w:rPr>
      <w:rFonts w:ascii="楷体_GB2312"/>
      <w:sz w:val="30"/>
      <w:szCs w:val="30"/>
    </w:rPr>
  </w:style>
  <w:style w:type="paragraph" w:styleId="6">
    <w:name w:val="Date"/>
    <w:basedOn w:val="1"/>
    <w:next w:val="1"/>
    <w:qFormat/>
    <w:uiPriority w:val="0"/>
    <w:rPr>
      <w:color w:val="000000"/>
      <w:kern w:val="0"/>
      <w:sz w:val="30"/>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rPr>
  </w:style>
  <w:style w:type="paragraph" w:customStyle="1" w:styleId="1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2"/>
    <w:qFormat/>
    <w:uiPriority w:val="0"/>
    <w:pPr>
      <w:jc w:val="center"/>
    </w:pPr>
    <w:rPr>
      <w:rFonts w:ascii="Arial" w:hAnsi="Arial" w:eastAsia="宋体"/>
      <w:b/>
      <w:sz w:val="28"/>
      <w:szCs w:val="24"/>
    </w:rPr>
  </w:style>
  <w:style w:type="paragraph" w:customStyle="1" w:styleId="17">
    <w:name w:val="列出段落1"/>
    <w:basedOn w:val="1"/>
    <w:qFormat/>
    <w:uiPriority w:val="99"/>
    <w:pPr>
      <w:ind w:firstLine="420" w:firstLineChars="200"/>
    </w:p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Text1I2"/>
    <w:basedOn w:val="21"/>
    <w:qFormat/>
    <w:uiPriority w:val="0"/>
    <w:pPr>
      <w:ind w:firstLine="420"/>
      <w:jc w:val="left"/>
    </w:pPr>
    <w:rPr>
      <w:rFonts w:ascii="Calibri" w:hAnsi="Calibri"/>
      <w:kern w:val="0"/>
    </w:rPr>
  </w:style>
  <w:style w:type="paragraph" w:customStyle="1" w:styleId="21">
    <w:name w:val="BodyText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9705</Words>
  <Characters>10155</Characters>
  <Lines>0</Lines>
  <Paragraphs>0</Paragraphs>
  <TotalTime>1</TotalTime>
  <ScaleCrop>false</ScaleCrop>
  <LinksUpToDate>false</LinksUpToDate>
  <CharactersWithSpaces>11101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2025-12-25T02:12:51Z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