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A7BE">
      <w:pPr>
        <w:pStyle w:val="14"/>
        <w:snapToGrid w:val="0"/>
        <w:jc w:val="center"/>
        <w:rPr>
          <w:rFonts w:hint="eastAsia" w:ascii="Arial" w:hAnsi="Arial" w:eastAsia="方正小标宋简体" w:cs="Arial"/>
          <w:sz w:val="72"/>
          <w:szCs w:val="72"/>
        </w:rPr>
      </w:pPr>
      <w:bookmarkStart w:id="0" w:name="_Toc16523570"/>
    </w:p>
    <w:p w14:paraId="038B8F1C">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118247B5">
      <w:pPr>
        <w:pStyle w:val="14"/>
        <w:snapToGrid w:val="0"/>
        <w:jc w:val="center"/>
        <w:rPr>
          <w:rFonts w:hint="eastAsia" w:ascii="Arial" w:hAnsi="Arial" w:eastAsia="方正小标宋简体" w:cs="Arial"/>
          <w:sz w:val="72"/>
          <w:szCs w:val="72"/>
        </w:rPr>
      </w:pPr>
    </w:p>
    <w:p w14:paraId="5BE19A1B">
      <w:pPr>
        <w:pStyle w:val="14"/>
        <w:snapToGrid w:val="0"/>
        <w:jc w:val="center"/>
        <w:rPr>
          <w:rFonts w:hint="eastAsia" w:ascii="Arial" w:hAnsi="Arial" w:eastAsia="方正小标宋简体" w:cs="Arial"/>
          <w:sz w:val="72"/>
          <w:szCs w:val="72"/>
        </w:rPr>
      </w:pPr>
    </w:p>
    <w:p w14:paraId="566BB6B5">
      <w:pPr>
        <w:pStyle w:val="14"/>
        <w:snapToGrid w:val="0"/>
        <w:jc w:val="center"/>
        <w:rPr>
          <w:rFonts w:hint="eastAsia" w:ascii="Arial" w:hAnsi="Arial" w:eastAsia="方正小标宋简体" w:cs="Arial"/>
          <w:sz w:val="72"/>
          <w:szCs w:val="72"/>
        </w:rPr>
      </w:pPr>
    </w:p>
    <w:p w14:paraId="5AE76749">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11401E3">
      <w:pPr>
        <w:pStyle w:val="14"/>
        <w:snapToGrid w:val="0"/>
        <w:jc w:val="center"/>
        <w:rPr>
          <w:rFonts w:ascii="Arial" w:hAnsi="Arial" w:cs="Arial"/>
          <w:sz w:val="32"/>
          <w:szCs w:val="32"/>
        </w:rPr>
      </w:pPr>
    </w:p>
    <w:p w14:paraId="463A15C2">
      <w:pPr>
        <w:pStyle w:val="15"/>
        <w:rPr>
          <w:rFonts w:ascii="Arial" w:hAnsi="Arial" w:cs="Arial"/>
          <w:sz w:val="32"/>
          <w:szCs w:val="32"/>
        </w:rPr>
      </w:pPr>
    </w:p>
    <w:p w14:paraId="0D0C4F98">
      <w:pPr>
        <w:pStyle w:val="9"/>
        <w:rPr>
          <w:rFonts w:ascii="Arial" w:hAnsi="Arial" w:cs="Arial"/>
          <w:sz w:val="32"/>
          <w:szCs w:val="32"/>
        </w:rPr>
      </w:pPr>
    </w:p>
    <w:p w14:paraId="043DB444">
      <w:pPr>
        <w:pStyle w:val="9"/>
        <w:rPr>
          <w:rFonts w:ascii="Arial" w:hAnsi="Arial" w:cs="Arial"/>
          <w:sz w:val="32"/>
          <w:szCs w:val="32"/>
        </w:rPr>
      </w:pPr>
    </w:p>
    <w:p w14:paraId="75A77DE1">
      <w:pPr>
        <w:pStyle w:val="9"/>
        <w:rPr>
          <w:rFonts w:ascii="Arial" w:hAnsi="Arial" w:cs="Arial"/>
          <w:sz w:val="32"/>
          <w:szCs w:val="32"/>
        </w:rPr>
      </w:pPr>
    </w:p>
    <w:p w14:paraId="75698A7F">
      <w:pPr>
        <w:pStyle w:val="9"/>
        <w:rPr>
          <w:rFonts w:ascii="Arial" w:hAnsi="Arial" w:cs="Arial"/>
          <w:sz w:val="32"/>
          <w:szCs w:val="32"/>
        </w:rPr>
      </w:pPr>
    </w:p>
    <w:p w14:paraId="079CA335">
      <w:pPr>
        <w:pStyle w:val="9"/>
        <w:rPr>
          <w:rFonts w:ascii="Arial" w:hAnsi="Arial" w:cs="Arial"/>
          <w:sz w:val="32"/>
          <w:szCs w:val="32"/>
        </w:rPr>
      </w:pPr>
    </w:p>
    <w:p w14:paraId="1E277320">
      <w:pPr>
        <w:pStyle w:val="9"/>
        <w:rPr>
          <w:rFonts w:ascii="Arial" w:hAnsi="Arial" w:cs="Arial"/>
          <w:sz w:val="32"/>
          <w:szCs w:val="32"/>
        </w:rPr>
      </w:pPr>
    </w:p>
    <w:p w14:paraId="78DD742A">
      <w:pPr>
        <w:pStyle w:val="9"/>
        <w:rPr>
          <w:rFonts w:ascii="Arial" w:hAnsi="Arial" w:cs="Arial"/>
          <w:sz w:val="32"/>
          <w:szCs w:val="32"/>
        </w:rPr>
      </w:pPr>
    </w:p>
    <w:p w14:paraId="6C7DE1C9">
      <w:pPr>
        <w:pStyle w:val="14"/>
        <w:snapToGrid w:val="0"/>
        <w:jc w:val="center"/>
        <w:rPr>
          <w:rFonts w:ascii="Arial" w:hAnsi="Arial" w:cs="Arial"/>
          <w:sz w:val="32"/>
          <w:szCs w:val="32"/>
        </w:rPr>
      </w:pPr>
    </w:p>
    <w:p w14:paraId="73E2B3B7">
      <w:pPr>
        <w:pStyle w:val="14"/>
        <w:snapToGrid w:val="0"/>
        <w:jc w:val="center"/>
        <w:rPr>
          <w:rFonts w:ascii="Arial" w:hAnsi="Arial" w:cs="Arial"/>
          <w:sz w:val="32"/>
          <w:szCs w:val="32"/>
        </w:rPr>
      </w:pPr>
    </w:p>
    <w:p w14:paraId="0433EE53">
      <w:pPr>
        <w:spacing w:line="360" w:lineRule="auto"/>
        <w:rPr>
          <w:rFonts w:hint="eastAsia"/>
          <w:bCs/>
          <w:sz w:val="32"/>
          <w:szCs w:val="32"/>
        </w:rPr>
      </w:pPr>
    </w:p>
    <w:p w14:paraId="0658F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7B37A12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（血液净化机医院公开挂网</w:t>
      </w:r>
      <w:r>
        <w:rPr>
          <w:rFonts w:hint="eastAsia" w:ascii="Times New Roman" w:hAnsi="Times New Roman" w:eastAsia="宋体" w:cs="Times New Roman"/>
          <w:b/>
          <w:bCs/>
          <w:kern w:val="44"/>
          <w:sz w:val="32"/>
          <w:szCs w:val="32"/>
          <w:lang w:val="en-US" w:eastAsia="zh-CN" w:bidi="ar-SA"/>
        </w:rPr>
        <w:t>）</w:t>
      </w:r>
    </w:p>
    <w:p w14:paraId="3651EDCB">
      <w:pPr>
        <w:spacing w:line="320" w:lineRule="exact"/>
        <w:jc w:val="left"/>
        <w:rPr>
          <w:sz w:val="24"/>
        </w:rPr>
      </w:pPr>
    </w:p>
    <w:p w14:paraId="3938F2D5">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lang w:val="en-US" w:eastAsia="zh-CN"/>
        </w:rPr>
        <w:t>二</w:t>
      </w:r>
      <w:r>
        <w:rPr>
          <w:rFonts w:hint="eastAsia" w:ascii="宋体" w:hAnsi="宋体" w:cs="宋体"/>
          <w:bCs/>
          <w:sz w:val="32"/>
          <w:szCs w:val="32"/>
        </w:rPr>
        <w:t>月</w:t>
      </w:r>
    </w:p>
    <w:p w14:paraId="57F3EC24">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1512EFC6">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22836B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血液净化机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01FF9D7F">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506C935E">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血液净化机</w:t>
      </w:r>
      <w:r>
        <w:rPr>
          <w:rFonts w:hint="eastAsia" w:asciiTheme="minorEastAsia" w:hAnsiTheme="minorEastAsia" w:eastAsiaTheme="minorEastAsia" w:cstheme="minorEastAsia"/>
          <w:b w:val="0"/>
          <w:bCs/>
          <w:color w:val="auto"/>
          <w:sz w:val="24"/>
          <w:szCs w:val="24"/>
          <w:lang w:val="en-US" w:eastAsia="zh-CN"/>
        </w:rPr>
        <w:t>项目</w:t>
      </w:r>
    </w:p>
    <w:p w14:paraId="2FCE2DFA">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AF9772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34B0698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005AE8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79903AAD">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088E53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FCC64BD">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AC1F59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0E319E9E">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A214A6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55ECB2E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84E20A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16A95F8E">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4698D35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76EEB3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4D3D337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143E281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14E71A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743ADE9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C5728D">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B8B726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2EC5A57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EDDC5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5B71B97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D4E46D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7118613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E721CD">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37425D99">
      <w:pPr>
        <w:pStyle w:val="15"/>
        <w:rPr>
          <w:rFonts w:hint="eastAsia"/>
          <w:lang w:val="en-US" w:eastAsia="zh-CN"/>
        </w:rPr>
      </w:pPr>
    </w:p>
    <w:p w14:paraId="374FD0B4">
      <w:pPr>
        <w:pStyle w:val="15"/>
        <w:jc w:val="both"/>
        <w:rPr>
          <w:rFonts w:hint="default"/>
          <w:lang w:val="en-US" w:eastAsia="zh-CN"/>
        </w:rPr>
      </w:pPr>
    </w:p>
    <w:p w14:paraId="52EE17E5">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D8D618">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5F01B8C">
      <w:pPr>
        <w:pStyle w:val="15"/>
        <w:rPr>
          <w:rFonts w:hint="eastAsia" w:ascii="宋体" w:hAnsi="宋体" w:cs="宋体"/>
          <w:b/>
          <w:bCs/>
          <w:color w:val="auto"/>
          <w:sz w:val="44"/>
          <w:szCs w:val="44"/>
          <w:lang w:val="en-US" w:eastAsia="zh-CN"/>
        </w:rPr>
      </w:pPr>
    </w:p>
    <w:p w14:paraId="23CEFB70">
      <w:pPr>
        <w:pStyle w:val="9"/>
        <w:rPr>
          <w:rFonts w:hint="eastAsia" w:ascii="宋体" w:hAnsi="宋体" w:cs="宋体"/>
          <w:b/>
          <w:bCs/>
          <w:color w:val="auto"/>
          <w:sz w:val="44"/>
          <w:szCs w:val="44"/>
          <w:lang w:val="en-US" w:eastAsia="zh-CN"/>
        </w:rPr>
      </w:pPr>
    </w:p>
    <w:p w14:paraId="4DFDB4A3">
      <w:pPr>
        <w:rPr>
          <w:rFonts w:hint="eastAsia" w:ascii="宋体" w:hAnsi="宋体" w:cs="宋体"/>
          <w:b/>
          <w:bCs/>
          <w:color w:val="auto"/>
          <w:sz w:val="44"/>
          <w:szCs w:val="44"/>
          <w:lang w:val="en-US" w:eastAsia="zh-CN"/>
        </w:rPr>
      </w:pPr>
    </w:p>
    <w:p w14:paraId="1BBA084E">
      <w:pPr>
        <w:pStyle w:val="13"/>
        <w:rPr>
          <w:rFonts w:hint="eastAsia"/>
          <w:lang w:val="en-US" w:eastAsia="zh-CN"/>
        </w:rPr>
      </w:pPr>
    </w:p>
    <w:p w14:paraId="554E9C1C">
      <w:pPr>
        <w:pStyle w:val="2"/>
        <w:rPr>
          <w:rFonts w:hint="eastAsia" w:ascii="宋体" w:hAnsi="宋体" w:cs="宋体"/>
          <w:b/>
          <w:bCs/>
          <w:color w:val="auto"/>
          <w:sz w:val="44"/>
          <w:szCs w:val="44"/>
          <w:lang w:val="en-US" w:eastAsia="zh-CN"/>
        </w:rPr>
      </w:pPr>
    </w:p>
    <w:p w14:paraId="73DCBADB">
      <w:pPr>
        <w:rPr>
          <w:rFonts w:hint="eastAsia" w:ascii="宋体" w:hAnsi="宋体" w:cs="宋体"/>
          <w:b/>
          <w:bCs/>
          <w:color w:val="auto"/>
          <w:sz w:val="44"/>
          <w:szCs w:val="44"/>
          <w:lang w:val="en-US" w:eastAsia="zh-CN"/>
        </w:rPr>
      </w:pPr>
    </w:p>
    <w:p w14:paraId="39B9861A">
      <w:pPr>
        <w:rPr>
          <w:rFonts w:hint="eastAsia" w:ascii="宋体" w:hAnsi="宋体" w:cs="宋体"/>
          <w:b/>
          <w:bCs/>
          <w:color w:val="auto"/>
          <w:sz w:val="44"/>
          <w:szCs w:val="44"/>
          <w:lang w:val="en-US" w:eastAsia="zh-CN"/>
        </w:rPr>
      </w:pPr>
    </w:p>
    <w:p w14:paraId="02669035">
      <w:pPr>
        <w:rPr>
          <w:rFonts w:hint="eastAsia"/>
          <w:lang w:val="en-US" w:eastAsia="zh-CN"/>
        </w:rPr>
      </w:pPr>
    </w:p>
    <w:p w14:paraId="1DE53FCC">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E476BC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52F2FB3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10DD95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BDBF2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8AF4D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3D532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891FA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ECF6E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091355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AB9D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012035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血液净化机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74EB5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F58A6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01EA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56CB66C4">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4880E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6296AF8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22E05C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49300B48">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4EC35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1915586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（一）、治疗模式要求</w:t>
      </w:r>
    </w:p>
    <w:p w14:paraId="7A41210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1、具备持续性血液滤过、持续性血液透析滤过、单纯血浆置换、双重血浆置换、血浆吸附等血液净化治疗功能，满足成人及儿童肾脏替代和人工肝治疗要求.</w:t>
      </w:r>
    </w:p>
    <w:p w14:paraId="682959B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2、可自由选择前稀释或后稀释，在CVVH时能同时进行前稀释和后稀释.</w:t>
      </w:r>
    </w:p>
    <w:p w14:paraId="6924E79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3、具备自设编程程序，可进行手动设置，自行设计临床需要的治疗模式.</w:t>
      </w:r>
    </w:p>
    <w:p w14:paraId="1AA416B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4、具备动脉压、静脉压、跨膜压、滤器入口压、一级膜外压、二级膜外压监测.</w:t>
      </w:r>
    </w:p>
    <w:p w14:paraId="3BD56C6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（二）、技术参数要求</w:t>
      </w:r>
    </w:p>
    <w:p w14:paraId="108AC66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1、彩色液晶触摸屏全中文显示，可实时显示治疗过程参数和曲线图形.</w:t>
      </w:r>
    </w:p>
    <w:p w14:paraId="33944F1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2、具备4个流量泵：血泵、置换液泵、透析液泵、滤过液泵。</w:t>
      </w:r>
    </w:p>
    <w:p w14:paraId="25EF990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（1）血液速：0，15～225mL/min</w:t>
      </w:r>
    </w:p>
    <w:p w14:paraId="198F463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（2）滤过液泵流速：0，5～120mL/min</w:t>
      </w:r>
    </w:p>
    <w:p w14:paraId="183AD0F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（3）透析液泵流速：0，2～50mL/min</w:t>
      </w:r>
    </w:p>
    <w:p w14:paraId="7F100CD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（4）置换液泵流速：0，4～120mL/min</w:t>
      </w:r>
    </w:p>
    <w:p w14:paraId="581EE2D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3、具备独立多功能精密注射泵，适用20ml、30ml、50ml多种规格注射器，可用于肝素、氯化钙等推注。注射泵持续流量0～20mL/h，追加剂量0.1ml/s.</w:t>
      </w:r>
    </w:p>
    <w:p w14:paraId="6AA21B0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4、流量泵和肝素泵的要求：4 个流量泵，至少一个抗凝泵，配置两个滤器夹持器.</w:t>
      </w:r>
    </w:p>
    <w:p w14:paraId="5224BDF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5、具备6个压力监测：</w:t>
      </w:r>
    </w:p>
    <w:p w14:paraId="17861AF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（1）动脉压：－300～300mmHg，±10mmHg</w:t>
      </w:r>
    </w:p>
    <w:p w14:paraId="50CAC91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（2）滤器入口压：－300～300mmHg，±10mmHg</w:t>
      </w:r>
    </w:p>
    <w:p w14:paraId="51DBB84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（3）静脉压：－300～300mmHg，±10mmHg</w:t>
      </w:r>
    </w:p>
    <w:p w14:paraId="0B5A77F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（4）一级膜外压：－300～300mmHg，±10mmHg</w:t>
      </w:r>
    </w:p>
    <w:p w14:paraId="6520714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（5）血浆入口压：－300～300mmHg，±10mmHg</w:t>
      </w:r>
    </w:p>
    <w:p w14:paraId="21DBA92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（6）二级膜外压：－300～300mmHg，±10mmHg</w:t>
      </w:r>
    </w:p>
    <w:p w14:paraId="3EC95CCB">
      <w:pPr>
        <w:spacing w:line="360" w:lineRule="auto"/>
        <w:ind w:firstLine="480" w:firstLineChars="200"/>
        <w:rPr>
          <w:rFonts w:hint="eastAsia" w:ascii="宋体" w:hAnsi="宋体"/>
          <w:b w:val="0"/>
          <w:bCs/>
          <w:color w:val="auto"/>
          <w:sz w:val="24"/>
        </w:rPr>
      </w:pPr>
    </w:p>
    <w:p w14:paraId="3880B6A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6、具备四组管路截止阀，自动开启、闭合动作，完成自动冲洗，出现异常时锁住管路，防止气泡进入人体.</w:t>
      </w:r>
    </w:p>
    <w:p w14:paraId="74B2AE9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7、加温方式：内置独立的透析液和置换液加温装置，双面热板加温度35～40℃.</w:t>
      </w:r>
    </w:p>
    <w:p w14:paraId="7517E7D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8、电子秤3个，每个称最大称重10Kg。</w:t>
      </w:r>
    </w:p>
    <w:p w14:paraId="6018D57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9、气泡监测，超声波检测方式，检测最小气泡体积≤0.02ml, 气泡报警限值不小于100ul.</w:t>
      </w:r>
    </w:p>
    <w:p w14:paraId="43B6DF2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10、补液断流，超声波检测方式.</w:t>
      </w:r>
    </w:p>
    <w:p w14:paraId="5D51CA7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11、滤液断流，超声波检测方式.</w:t>
      </w:r>
    </w:p>
    <w:p w14:paraId="635AFD9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12、漏血监测，利用光学原理，分辨率可达到千分之一.</w:t>
      </w:r>
    </w:p>
    <w:p w14:paraId="565B309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13、液面监测：静电容量变化方式.</w:t>
      </w:r>
    </w:p>
    <w:p w14:paraId="6B60D9A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14、后备电源：电源中断后，设备自带电池可继续使用≥15min.</w:t>
      </w:r>
    </w:p>
    <w:p w14:paraId="5827E3F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15、耗材要求：管路和滤器可拆分，可兼容多品牌的耗材（含国产耗材），满足临床多种需求，能够根据临床需求提供定制型管路。</w:t>
      </w:r>
    </w:p>
    <w:p w14:paraId="265D939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16、耗材最高限价不超过560元/套。</w:t>
      </w:r>
    </w:p>
    <w:p w14:paraId="1F07B41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（三）、配置清单</w:t>
      </w:r>
    </w:p>
    <w:p w14:paraId="677349E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序号</w:t>
      </w:r>
      <w:r>
        <w:rPr>
          <w:rFonts w:hint="eastAsia" w:ascii="宋体" w:hAnsi="宋体"/>
          <w:b w:val="0"/>
          <w:bCs/>
          <w:color w:val="auto"/>
          <w:sz w:val="24"/>
        </w:rPr>
        <w:tab/>
      </w:r>
      <w:r>
        <w:rPr>
          <w:rFonts w:hint="eastAsia" w:ascii="宋体" w:hAnsi="宋体"/>
          <w:b w:val="0"/>
          <w:bCs/>
          <w:color w:val="auto"/>
          <w:sz w:val="24"/>
        </w:rPr>
        <w:t>主机及配件名称</w:t>
      </w:r>
      <w:r>
        <w:rPr>
          <w:rFonts w:hint="eastAsia" w:ascii="宋体" w:hAnsi="宋体"/>
          <w:b w:val="0"/>
          <w:bCs/>
          <w:color w:val="auto"/>
          <w:sz w:val="24"/>
        </w:rPr>
        <w:tab/>
      </w:r>
      <w:r>
        <w:rPr>
          <w:rFonts w:hint="eastAsia" w:ascii="宋体" w:hAnsi="宋体"/>
          <w:b w:val="0"/>
          <w:bCs/>
          <w:color w:val="auto"/>
          <w:sz w:val="24"/>
        </w:rPr>
        <w:t>规格及数量</w:t>
      </w:r>
    </w:p>
    <w:p w14:paraId="28867BB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w:t>
      </w:r>
      <w:r>
        <w:rPr>
          <w:rFonts w:hint="eastAsia" w:ascii="宋体" w:hAnsi="宋体"/>
          <w:b w:val="0"/>
          <w:bCs/>
          <w:color w:val="auto"/>
          <w:sz w:val="24"/>
        </w:rPr>
        <w:tab/>
      </w:r>
      <w:r>
        <w:rPr>
          <w:rFonts w:hint="eastAsia" w:ascii="宋体" w:hAnsi="宋体"/>
          <w:b w:val="0"/>
          <w:bCs/>
          <w:color w:val="auto"/>
          <w:sz w:val="24"/>
        </w:rPr>
        <w:t>显示屏</w:t>
      </w:r>
      <w:r>
        <w:rPr>
          <w:rFonts w:hint="eastAsia" w:ascii="宋体" w:hAnsi="宋体"/>
          <w:b w:val="0"/>
          <w:bCs/>
          <w:color w:val="auto"/>
          <w:sz w:val="24"/>
        </w:rPr>
        <w:tab/>
      </w:r>
      <w:r>
        <w:rPr>
          <w:rFonts w:hint="eastAsia" w:ascii="宋体" w:hAnsi="宋体"/>
          <w:b w:val="0"/>
          <w:bCs/>
          <w:color w:val="auto"/>
          <w:sz w:val="24"/>
        </w:rPr>
        <w:t>1（≥10.1英寸彩色液晶触摸屏）</w:t>
      </w:r>
    </w:p>
    <w:p w14:paraId="1E4119A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w:t>
      </w:r>
      <w:r>
        <w:rPr>
          <w:rFonts w:hint="eastAsia" w:ascii="宋体" w:hAnsi="宋体"/>
          <w:b w:val="0"/>
          <w:bCs/>
          <w:color w:val="auto"/>
          <w:sz w:val="24"/>
        </w:rPr>
        <w:tab/>
      </w:r>
      <w:r>
        <w:rPr>
          <w:rFonts w:hint="eastAsia" w:ascii="宋体" w:hAnsi="宋体"/>
          <w:b w:val="0"/>
          <w:bCs/>
          <w:color w:val="auto"/>
          <w:sz w:val="24"/>
        </w:rPr>
        <w:t>流量泵</w:t>
      </w:r>
      <w:r>
        <w:rPr>
          <w:rFonts w:hint="eastAsia" w:ascii="宋体" w:hAnsi="宋体"/>
          <w:b w:val="0"/>
          <w:bCs/>
          <w:color w:val="auto"/>
          <w:sz w:val="24"/>
        </w:rPr>
        <w:tab/>
      </w:r>
      <w:r>
        <w:rPr>
          <w:rFonts w:hint="eastAsia" w:ascii="宋体" w:hAnsi="宋体"/>
          <w:b w:val="0"/>
          <w:bCs/>
          <w:color w:val="auto"/>
          <w:sz w:val="24"/>
        </w:rPr>
        <w:t>4（血泵、滤过液泵/分浆泵、置换液泵/返浆泵、透析液泵/弃浆泵）</w:t>
      </w:r>
    </w:p>
    <w:p w14:paraId="7CF6A00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w:t>
      </w:r>
      <w:r>
        <w:rPr>
          <w:rFonts w:hint="eastAsia" w:ascii="宋体" w:hAnsi="宋体"/>
          <w:b w:val="0"/>
          <w:bCs/>
          <w:color w:val="auto"/>
          <w:sz w:val="24"/>
        </w:rPr>
        <w:tab/>
      </w:r>
      <w:r>
        <w:rPr>
          <w:rFonts w:hint="eastAsia" w:ascii="宋体" w:hAnsi="宋体"/>
          <w:b w:val="0"/>
          <w:bCs/>
          <w:color w:val="auto"/>
          <w:sz w:val="24"/>
        </w:rPr>
        <w:t>肝素泵</w:t>
      </w:r>
      <w:r>
        <w:rPr>
          <w:rFonts w:hint="eastAsia" w:ascii="宋体" w:hAnsi="宋体"/>
          <w:b w:val="0"/>
          <w:bCs/>
          <w:color w:val="auto"/>
          <w:sz w:val="24"/>
        </w:rPr>
        <w:tab/>
      </w:r>
      <w:r>
        <w:rPr>
          <w:rFonts w:hint="eastAsia" w:ascii="宋体" w:hAnsi="宋体"/>
          <w:b w:val="0"/>
          <w:bCs/>
          <w:color w:val="auto"/>
          <w:sz w:val="24"/>
        </w:rPr>
        <w:t>1</w:t>
      </w:r>
    </w:p>
    <w:p w14:paraId="1A71F4E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w:t>
      </w:r>
      <w:r>
        <w:rPr>
          <w:rFonts w:hint="eastAsia" w:ascii="宋体" w:hAnsi="宋体"/>
          <w:b w:val="0"/>
          <w:bCs/>
          <w:color w:val="auto"/>
          <w:sz w:val="24"/>
        </w:rPr>
        <w:tab/>
      </w:r>
      <w:r>
        <w:rPr>
          <w:rFonts w:hint="eastAsia" w:ascii="宋体" w:hAnsi="宋体"/>
          <w:b w:val="0"/>
          <w:bCs/>
          <w:color w:val="auto"/>
          <w:sz w:val="24"/>
        </w:rPr>
        <w:t>体外循环监测系统：</w:t>
      </w:r>
    </w:p>
    <w:p w14:paraId="1B98632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4.1</w:t>
      </w:r>
      <w:r>
        <w:rPr>
          <w:rFonts w:hint="eastAsia" w:ascii="宋体" w:hAnsi="宋体"/>
          <w:b w:val="0"/>
          <w:bCs/>
          <w:color w:val="auto"/>
          <w:sz w:val="24"/>
        </w:rPr>
        <w:tab/>
      </w:r>
      <w:r>
        <w:rPr>
          <w:rFonts w:hint="eastAsia" w:ascii="宋体" w:hAnsi="宋体"/>
          <w:b w:val="0"/>
          <w:bCs/>
          <w:color w:val="auto"/>
          <w:sz w:val="24"/>
        </w:rPr>
        <w:t>动脉压监测</w:t>
      </w:r>
      <w:r>
        <w:rPr>
          <w:rFonts w:hint="eastAsia" w:ascii="宋体" w:hAnsi="宋体"/>
          <w:b w:val="0"/>
          <w:bCs/>
          <w:color w:val="auto"/>
          <w:sz w:val="24"/>
        </w:rPr>
        <w:tab/>
      </w:r>
      <w:r>
        <w:rPr>
          <w:rFonts w:hint="eastAsia" w:ascii="宋体" w:hAnsi="宋体"/>
          <w:b w:val="0"/>
          <w:bCs/>
          <w:color w:val="auto"/>
          <w:sz w:val="24"/>
        </w:rPr>
        <w:t>1</w:t>
      </w:r>
    </w:p>
    <w:p w14:paraId="36C204A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4.2</w:t>
      </w:r>
      <w:r>
        <w:rPr>
          <w:rFonts w:hint="eastAsia" w:ascii="宋体" w:hAnsi="宋体"/>
          <w:b w:val="0"/>
          <w:bCs/>
          <w:color w:val="auto"/>
          <w:sz w:val="24"/>
        </w:rPr>
        <w:tab/>
      </w:r>
      <w:r>
        <w:rPr>
          <w:rFonts w:hint="eastAsia" w:ascii="宋体" w:hAnsi="宋体"/>
          <w:b w:val="0"/>
          <w:bCs/>
          <w:color w:val="auto"/>
          <w:sz w:val="24"/>
        </w:rPr>
        <w:t>静脉压监测</w:t>
      </w:r>
      <w:r>
        <w:rPr>
          <w:rFonts w:hint="eastAsia" w:ascii="宋体" w:hAnsi="宋体"/>
          <w:b w:val="0"/>
          <w:bCs/>
          <w:color w:val="auto"/>
          <w:sz w:val="24"/>
        </w:rPr>
        <w:tab/>
      </w:r>
      <w:r>
        <w:rPr>
          <w:rFonts w:hint="eastAsia" w:ascii="宋体" w:hAnsi="宋体"/>
          <w:b w:val="0"/>
          <w:bCs/>
          <w:color w:val="auto"/>
          <w:sz w:val="24"/>
        </w:rPr>
        <w:t>1</w:t>
      </w:r>
    </w:p>
    <w:p w14:paraId="2CF4178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4.3</w:t>
      </w:r>
      <w:r>
        <w:rPr>
          <w:rFonts w:hint="eastAsia" w:ascii="宋体" w:hAnsi="宋体"/>
          <w:b w:val="0"/>
          <w:bCs/>
          <w:color w:val="auto"/>
          <w:sz w:val="24"/>
        </w:rPr>
        <w:tab/>
      </w:r>
      <w:r>
        <w:rPr>
          <w:rFonts w:hint="eastAsia" w:ascii="宋体" w:hAnsi="宋体"/>
          <w:b w:val="0"/>
          <w:bCs/>
          <w:color w:val="auto"/>
          <w:sz w:val="24"/>
        </w:rPr>
        <w:t>跨膜压监测</w:t>
      </w:r>
      <w:r>
        <w:rPr>
          <w:rFonts w:hint="eastAsia" w:ascii="宋体" w:hAnsi="宋体"/>
          <w:b w:val="0"/>
          <w:bCs/>
          <w:color w:val="auto"/>
          <w:sz w:val="24"/>
        </w:rPr>
        <w:tab/>
      </w:r>
      <w:r>
        <w:rPr>
          <w:rFonts w:hint="eastAsia" w:ascii="宋体" w:hAnsi="宋体"/>
          <w:b w:val="0"/>
          <w:bCs/>
          <w:color w:val="auto"/>
          <w:sz w:val="24"/>
        </w:rPr>
        <w:t>1</w:t>
      </w:r>
    </w:p>
    <w:p w14:paraId="370AB69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4.4</w:t>
      </w:r>
      <w:r>
        <w:rPr>
          <w:rFonts w:hint="eastAsia" w:ascii="宋体" w:hAnsi="宋体"/>
          <w:b w:val="0"/>
          <w:bCs/>
          <w:color w:val="auto"/>
          <w:sz w:val="24"/>
        </w:rPr>
        <w:tab/>
      </w:r>
      <w:r>
        <w:rPr>
          <w:rFonts w:hint="eastAsia" w:ascii="宋体" w:hAnsi="宋体"/>
          <w:b w:val="0"/>
          <w:bCs/>
          <w:color w:val="auto"/>
          <w:sz w:val="24"/>
        </w:rPr>
        <w:t>滤器入口压监测</w:t>
      </w:r>
      <w:r>
        <w:rPr>
          <w:rFonts w:hint="eastAsia" w:ascii="宋体" w:hAnsi="宋体"/>
          <w:b w:val="0"/>
          <w:bCs/>
          <w:color w:val="auto"/>
          <w:sz w:val="24"/>
        </w:rPr>
        <w:tab/>
      </w:r>
      <w:r>
        <w:rPr>
          <w:rFonts w:hint="eastAsia" w:ascii="宋体" w:hAnsi="宋体"/>
          <w:b w:val="0"/>
          <w:bCs/>
          <w:color w:val="auto"/>
          <w:sz w:val="24"/>
        </w:rPr>
        <w:t>1</w:t>
      </w:r>
    </w:p>
    <w:p w14:paraId="40F4F18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4.5</w:t>
      </w:r>
      <w:r>
        <w:rPr>
          <w:rFonts w:hint="eastAsia" w:ascii="宋体" w:hAnsi="宋体"/>
          <w:b w:val="0"/>
          <w:bCs/>
          <w:color w:val="auto"/>
          <w:sz w:val="24"/>
        </w:rPr>
        <w:tab/>
      </w:r>
      <w:r>
        <w:rPr>
          <w:rFonts w:hint="eastAsia" w:ascii="宋体" w:hAnsi="宋体"/>
          <w:b w:val="0"/>
          <w:bCs/>
          <w:color w:val="auto"/>
          <w:sz w:val="24"/>
        </w:rPr>
        <w:t>血浆入口压监测</w:t>
      </w:r>
      <w:r>
        <w:rPr>
          <w:rFonts w:hint="eastAsia" w:ascii="宋体" w:hAnsi="宋体"/>
          <w:b w:val="0"/>
          <w:bCs/>
          <w:color w:val="auto"/>
          <w:sz w:val="24"/>
        </w:rPr>
        <w:tab/>
      </w:r>
      <w:r>
        <w:rPr>
          <w:rFonts w:hint="eastAsia" w:ascii="宋体" w:hAnsi="宋体"/>
          <w:b w:val="0"/>
          <w:bCs/>
          <w:color w:val="auto"/>
          <w:sz w:val="24"/>
        </w:rPr>
        <w:t>1</w:t>
      </w:r>
    </w:p>
    <w:p w14:paraId="504150D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4.6</w:t>
      </w:r>
      <w:r>
        <w:rPr>
          <w:rFonts w:hint="eastAsia" w:ascii="宋体" w:hAnsi="宋体"/>
          <w:b w:val="0"/>
          <w:bCs/>
          <w:color w:val="auto"/>
          <w:sz w:val="24"/>
        </w:rPr>
        <w:tab/>
      </w:r>
      <w:r>
        <w:rPr>
          <w:rFonts w:hint="eastAsia" w:ascii="宋体" w:hAnsi="宋体"/>
          <w:b w:val="0"/>
          <w:bCs/>
          <w:color w:val="auto"/>
          <w:sz w:val="24"/>
        </w:rPr>
        <w:t>一级膜外压监测</w:t>
      </w:r>
      <w:r>
        <w:rPr>
          <w:rFonts w:hint="eastAsia" w:ascii="宋体" w:hAnsi="宋体"/>
          <w:b w:val="0"/>
          <w:bCs/>
          <w:color w:val="auto"/>
          <w:sz w:val="24"/>
        </w:rPr>
        <w:tab/>
      </w:r>
      <w:r>
        <w:rPr>
          <w:rFonts w:hint="eastAsia" w:ascii="宋体" w:hAnsi="宋体"/>
          <w:b w:val="0"/>
          <w:bCs/>
          <w:color w:val="auto"/>
          <w:sz w:val="24"/>
        </w:rPr>
        <w:t>1</w:t>
      </w:r>
    </w:p>
    <w:p w14:paraId="01D6C6A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4.7</w:t>
      </w:r>
      <w:r>
        <w:rPr>
          <w:rFonts w:hint="eastAsia" w:ascii="宋体" w:hAnsi="宋体"/>
          <w:b w:val="0"/>
          <w:bCs/>
          <w:color w:val="auto"/>
          <w:sz w:val="24"/>
        </w:rPr>
        <w:tab/>
      </w:r>
      <w:r>
        <w:rPr>
          <w:rFonts w:hint="eastAsia" w:ascii="宋体" w:hAnsi="宋体"/>
          <w:b w:val="0"/>
          <w:bCs/>
          <w:color w:val="auto"/>
          <w:sz w:val="24"/>
        </w:rPr>
        <w:t>二级膜外压监测</w:t>
      </w:r>
      <w:r>
        <w:rPr>
          <w:rFonts w:hint="eastAsia" w:ascii="宋体" w:hAnsi="宋体"/>
          <w:b w:val="0"/>
          <w:bCs/>
          <w:color w:val="auto"/>
          <w:sz w:val="24"/>
        </w:rPr>
        <w:tab/>
      </w:r>
      <w:r>
        <w:rPr>
          <w:rFonts w:hint="eastAsia" w:ascii="宋体" w:hAnsi="宋体"/>
          <w:b w:val="0"/>
          <w:bCs/>
          <w:color w:val="auto"/>
          <w:sz w:val="24"/>
        </w:rPr>
        <w:t>1</w:t>
      </w:r>
    </w:p>
    <w:p w14:paraId="1D4BC42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4.8</w:t>
      </w:r>
      <w:r>
        <w:rPr>
          <w:rFonts w:hint="eastAsia" w:ascii="宋体" w:hAnsi="宋体"/>
          <w:b w:val="0"/>
          <w:bCs/>
          <w:color w:val="auto"/>
          <w:sz w:val="24"/>
        </w:rPr>
        <w:tab/>
      </w:r>
      <w:r>
        <w:rPr>
          <w:rFonts w:hint="eastAsia" w:ascii="宋体" w:hAnsi="宋体"/>
          <w:b w:val="0"/>
          <w:bCs/>
          <w:color w:val="auto"/>
          <w:sz w:val="24"/>
        </w:rPr>
        <w:t>空气检测器</w:t>
      </w:r>
      <w:r>
        <w:rPr>
          <w:rFonts w:hint="eastAsia" w:ascii="宋体" w:hAnsi="宋体"/>
          <w:b w:val="0"/>
          <w:bCs/>
          <w:color w:val="auto"/>
          <w:sz w:val="24"/>
        </w:rPr>
        <w:tab/>
      </w:r>
      <w:r>
        <w:rPr>
          <w:rFonts w:hint="eastAsia" w:ascii="宋体" w:hAnsi="宋体"/>
          <w:b w:val="0"/>
          <w:bCs/>
          <w:color w:val="auto"/>
          <w:sz w:val="24"/>
        </w:rPr>
        <w:t>3（静脉端气泡检测、补液断流检测、血浆断流检测）</w:t>
      </w:r>
    </w:p>
    <w:p w14:paraId="39B374E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4.9</w:t>
      </w:r>
      <w:r>
        <w:rPr>
          <w:rFonts w:hint="eastAsia" w:ascii="宋体" w:hAnsi="宋体"/>
          <w:b w:val="0"/>
          <w:bCs/>
          <w:color w:val="auto"/>
          <w:sz w:val="24"/>
        </w:rPr>
        <w:tab/>
      </w:r>
      <w:r>
        <w:rPr>
          <w:rFonts w:hint="eastAsia" w:ascii="宋体" w:hAnsi="宋体"/>
          <w:b w:val="0"/>
          <w:bCs/>
          <w:color w:val="auto"/>
          <w:sz w:val="24"/>
        </w:rPr>
        <w:t>静脉管路夹</w:t>
      </w:r>
      <w:r>
        <w:rPr>
          <w:rFonts w:hint="eastAsia" w:ascii="宋体" w:hAnsi="宋体"/>
          <w:b w:val="0"/>
          <w:bCs/>
          <w:color w:val="auto"/>
          <w:sz w:val="24"/>
        </w:rPr>
        <w:tab/>
      </w:r>
      <w:r>
        <w:rPr>
          <w:rFonts w:hint="eastAsia" w:ascii="宋体" w:hAnsi="宋体"/>
          <w:b w:val="0"/>
          <w:bCs/>
          <w:color w:val="auto"/>
          <w:sz w:val="24"/>
        </w:rPr>
        <w:t>1</w:t>
      </w:r>
    </w:p>
    <w:p w14:paraId="440D571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4.10</w:t>
      </w:r>
      <w:r>
        <w:rPr>
          <w:rFonts w:hint="eastAsia" w:ascii="宋体" w:hAnsi="宋体"/>
          <w:b w:val="0"/>
          <w:bCs/>
          <w:color w:val="auto"/>
          <w:sz w:val="24"/>
        </w:rPr>
        <w:tab/>
      </w:r>
      <w:r>
        <w:rPr>
          <w:rFonts w:hint="eastAsia" w:ascii="宋体" w:hAnsi="宋体"/>
          <w:b w:val="0"/>
          <w:bCs/>
          <w:color w:val="auto"/>
          <w:sz w:val="24"/>
        </w:rPr>
        <w:t>漏血检测器</w:t>
      </w:r>
      <w:r>
        <w:rPr>
          <w:rFonts w:hint="eastAsia" w:ascii="宋体" w:hAnsi="宋体"/>
          <w:b w:val="0"/>
          <w:bCs/>
          <w:color w:val="auto"/>
          <w:sz w:val="24"/>
        </w:rPr>
        <w:tab/>
      </w:r>
      <w:r>
        <w:rPr>
          <w:rFonts w:hint="eastAsia" w:ascii="宋体" w:hAnsi="宋体"/>
          <w:b w:val="0"/>
          <w:bCs/>
          <w:color w:val="auto"/>
          <w:sz w:val="24"/>
        </w:rPr>
        <w:t>1</w:t>
      </w:r>
    </w:p>
    <w:p w14:paraId="23B7D92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4.11</w:t>
      </w:r>
      <w:r>
        <w:rPr>
          <w:rFonts w:hint="eastAsia" w:ascii="宋体" w:hAnsi="宋体"/>
          <w:b w:val="0"/>
          <w:bCs/>
          <w:color w:val="auto"/>
          <w:sz w:val="24"/>
        </w:rPr>
        <w:tab/>
      </w:r>
      <w:r>
        <w:rPr>
          <w:rFonts w:hint="eastAsia" w:ascii="宋体" w:hAnsi="宋体"/>
          <w:b w:val="0"/>
          <w:bCs/>
          <w:color w:val="auto"/>
          <w:sz w:val="24"/>
        </w:rPr>
        <w:t>液位监测器</w:t>
      </w:r>
      <w:r>
        <w:rPr>
          <w:rFonts w:hint="eastAsia" w:ascii="宋体" w:hAnsi="宋体"/>
          <w:b w:val="0"/>
          <w:bCs/>
          <w:color w:val="auto"/>
          <w:sz w:val="24"/>
        </w:rPr>
        <w:tab/>
      </w:r>
      <w:r>
        <w:rPr>
          <w:rFonts w:hint="eastAsia" w:ascii="宋体" w:hAnsi="宋体"/>
          <w:b w:val="0"/>
          <w:bCs/>
          <w:color w:val="auto"/>
          <w:sz w:val="24"/>
        </w:rPr>
        <w:t>2</w:t>
      </w:r>
    </w:p>
    <w:p w14:paraId="74E113A5">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w:t>
      </w:r>
      <w:r>
        <w:rPr>
          <w:rFonts w:hint="eastAsia" w:ascii="宋体" w:hAnsi="宋体"/>
          <w:b w:val="0"/>
          <w:bCs/>
          <w:color w:val="auto"/>
          <w:sz w:val="24"/>
        </w:rPr>
        <w:tab/>
      </w:r>
      <w:r>
        <w:rPr>
          <w:rFonts w:hint="eastAsia" w:ascii="宋体" w:hAnsi="宋体"/>
          <w:b w:val="0"/>
          <w:bCs/>
          <w:color w:val="auto"/>
          <w:sz w:val="24"/>
        </w:rPr>
        <w:t>液体平衡称重系统</w:t>
      </w:r>
      <w:r>
        <w:rPr>
          <w:rFonts w:hint="eastAsia" w:ascii="宋体" w:hAnsi="宋体"/>
          <w:b w:val="0"/>
          <w:bCs/>
          <w:color w:val="auto"/>
          <w:sz w:val="24"/>
        </w:rPr>
        <w:tab/>
      </w:r>
      <w:r>
        <w:rPr>
          <w:rFonts w:hint="eastAsia" w:ascii="宋体" w:hAnsi="宋体"/>
          <w:b w:val="0"/>
          <w:bCs/>
          <w:color w:val="auto"/>
          <w:sz w:val="24"/>
        </w:rPr>
        <w:t>3</w:t>
      </w:r>
    </w:p>
    <w:p w14:paraId="388A5DA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w:t>
      </w:r>
      <w:r>
        <w:rPr>
          <w:rFonts w:hint="eastAsia" w:ascii="宋体" w:hAnsi="宋体"/>
          <w:b w:val="0"/>
          <w:bCs/>
          <w:color w:val="auto"/>
          <w:sz w:val="24"/>
        </w:rPr>
        <w:tab/>
      </w:r>
      <w:r>
        <w:rPr>
          <w:rFonts w:hint="eastAsia" w:ascii="宋体" w:hAnsi="宋体"/>
          <w:b w:val="0"/>
          <w:bCs/>
          <w:color w:val="auto"/>
          <w:sz w:val="24"/>
        </w:rPr>
        <w:t>加热系统</w:t>
      </w:r>
      <w:r>
        <w:rPr>
          <w:rFonts w:hint="eastAsia" w:ascii="宋体" w:hAnsi="宋体"/>
          <w:b w:val="0"/>
          <w:bCs/>
          <w:color w:val="auto"/>
          <w:sz w:val="24"/>
        </w:rPr>
        <w:tab/>
      </w:r>
      <w:r>
        <w:rPr>
          <w:rFonts w:hint="eastAsia" w:ascii="宋体" w:hAnsi="宋体"/>
          <w:b w:val="0"/>
          <w:bCs/>
          <w:color w:val="auto"/>
          <w:sz w:val="24"/>
        </w:rPr>
        <w:t>1（双面板加温）</w:t>
      </w:r>
    </w:p>
    <w:p w14:paraId="1CD30D0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w:t>
      </w:r>
      <w:r>
        <w:rPr>
          <w:rFonts w:hint="eastAsia" w:ascii="宋体" w:hAnsi="宋体"/>
          <w:b w:val="0"/>
          <w:bCs/>
          <w:color w:val="auto"/>
          <w:sz w:val="24"/>
        </w:rPr>
        <w:tab/>
      </w:r>
      <w:r>
        <w:rPr>
          <w:rFonts w:hint="eastAsia" w:ascii="宋体" w:hAnsi="宋体"/>
          <w:b w:val="0"/>
          <w:bCs/>
          <w:color w:val="auto"/>
          <w:sz w:val="24"/>
        </w:rPr>
        <w:t>管路截止阀</w:t>
      </w:r>
      <w:r>
        <w:rPr>
          <w:rFonts w:hint="eastAsia" w:ascii="宋体" w:hAnsi="宋体"/>
          <w:b w:val="0"/>
          <w:bCs/>
          <w:color w:val="auto"/>
          <w:sz w:val="24"/>
        </w:rPr>
        <w:tab/>
      </w:r>
      <w:r>
        <w:rPr>
          <w:rFonts w:hint="eastAsia" w:ascii="宋体" w:hAnsi="宋体"/>
          <w:b w:val="0"/>
          <w:bCs/>
          <w:color w:val="auto"/>
          <w:sz w:val="24"/>
        </w:rPr>
        <w:t>4（电磁开闭式）</w:t>
      </w:r>
    </w:p>
    <w:p w14:paraId="1FE9B62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8</w:t>
      </w:r>
      <w:r>
        <w:rPr>
          <w:rFonts w:hint="eastAsia" w:ascii="宋体" w:hAnsi="宋体"/>
          <w:b w:val="0"/>
          <w:bCs/>
          <w:color w:val="auto"/>
          <w:sz w:val="24"/>
        </w:rPr>
        <w:tab/>
      </w:r>
      <w:r>
        <w:rPr>
          <w:rFonts w:hint="eastAsia" w:ascii="宋体" w:hAnsi="宋体"/>
          <w:b w:val="0"/>
          <w:bCs/>
          <w:color w:val="auto"/>
          <w:sz w:val="24"/>
        </w:rPr>
        <w:t>滤器夹持器</w:t>
      </w:r>
      <w:r>
        <w:rPr>
          <w:rFonts w:hint="eastAsia" w:ascii="宋体" w:hAnsi="宋体"/>
          <w:b w:val="0"/>
          <w:bCs/>
          <w:color w:val="auto"/>
          <w:sz w:val="24"/>
        </w:rPr>
        <w:tab/>
      </w:r>
      <w:r>
        <w:rPr>
          <w:rFonts w:hint="eastAsia" w:ascii="宋体" w:hAnsi="宋体"/>
          <w:b w:val="0"/>
          <w:bCs/>
          <w:color w:val="auto"/>
          <w:sz w:val="24"/>
        </w:rPr>
        <w:t>2（自动振摇夹持器）</w:t>
      </w:r>
    </w:p>
    <w:p w14:paraId="7934CE8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9</w:t>
      </w:r>
      <w:r>
        <w:rPr>
          <w:rFonts w:hint="eastAsia" w:ascii="宋体" w:hAnsi="宋体"/>
          <w:b w:val="0"/>
          <w:bCs/>
          <w:color w:val="auto"/>
          <w:sz w:val="24"/>
        </w:rPr>
        <w:tab/>
      </w:r>
      <w:r>
        <w:rPr>
          <w:rFonts w:hint="eastAsia" w:ascii="宋体" w:hAnsi="宋体"/>
          <w:b w:val="0"/>
          <w:bCs/>
          <w:color w:val="auto"/>
          <w:sz w:val="24"/>
        </w:rPr>
        <w:t>输液杆</w:t>
      </w:r>
      <w:r>
        <w:rPr>
          <w:rFonts w:hint="eastAsia" w:ascii="宋体" w:hAnsi="宋体"/>
          <w:b w:val="0"/>
          <w:bCs/>
          <w:color w:val="auto"/>
          <w:sz w:val="24"/>
        </w:rPr>
        <w:tab/>
      </w:r>
      <w:r>
        <w:rPr>
          <w:rFonts w:hint="eastAsia" w:ascii="宋体" w:hAnsi="宋体"/>
          <w:b w:val="0"/>
          <w:bCs/>
          <w:color w:val="auto"/>
          <w:sz w:val="24"/>
        </w:rPr>
        <w:t>1</w:t>
      </w:r>
    </w:p>
    <w:p w14:paraId="204AE6D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10</w:t>
      </w:r>
      <w:r>
        <w:rPr>
          <w:rFonts w:hint="eastAsia" w:ascii="宋体" w:hAnsi="宋体"/>
          <w:b w:val="0"/>
          <w:bCs/>
          <w:color w:val="auto"/>
          <w:sz w:val="24"/>
        </w:rPr>
        <w:tab/>
      </w:r>
      <w:r>
        <w:rPr>
          <w:rFonts w:hint="eastAsia" w:ascii="宋体" w:hAnsi="宋体"/>
          <w:b w:val="0"/>
          <w:bCs/>
          <w:color w:val="auto"/>
          <w:sz w:val="24"/>
        </w:rPr>
        <w:t>锂电池</w:t>
      </w:r>
      <w:r>
        <w:rPr>
          <w:rFonts w:hint="eastAsia" w:ascii="宋体" w:hAnsi="宋体"/>
          <w:b w:val="0"/>
          <w:bCs/>
          <w:color w:val="auto"/>
          <w:sz w:val="24"/>
        </w:rPr>
        <w:tab/>
      </w:r>
      <w:r>
        <w:rPr>
          <w:rFonts w:hint="eastAsia" w:ascii="宋体" w:hAnsi="宋体"/>
          <w:b w:val="0"/>
          <w:bCs/>
          <w:color w:val="auto"/>
          <w:sz w:val="24"/>
        </w:rPr>
        <w:t>1</w:t>
      </w:r>
    </w:p>
    <w:p w14:paraId="1EE7B83D">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4D300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4E76A8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D3069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0CA413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1E6652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4E3232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09284C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89D4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C6A4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ECD4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544E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1E64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47BD9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6F651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6ECD7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458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32876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1A7B5CF7">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jc w:val="right"/>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血液净化机</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血液净化机</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243DDE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血液净化机</w:t>
            </w:r>
          </w:p>
        </w:tc>
        <w:tc>
          <w:tcPr>
            <w:tcW w:w="1500" w:type="dxa"/>
            <w:vAlign w:val="center"/>
          </w:tcPr>
          <w:p w14:paraId="747B32D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p>
        </w:tc>
        <w:tc>
          <w:tcPr>
            <w:tcW w:w="1457" w:type="dxa"/>
            <w:vAlign w:val="center"/>
          </w:tcPr>
          <w:p w14:paraId="355A57D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p>
        </w:tc>
        <w:tc>
          <w:tcPr>
            <w:tcW w:w="1320" w:type="dxa"/>
            <w:vAlign w:val="center"/>
          </w:tcPr>
          <w:p w14:paraId="65E7D48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000000" w:themeColor="text1"/>
                <w:sz w:val="24"/>
                <w:lang w:val="en-US" w:eastAsia="zh-CN"/>
                <w14:textFill>
                  <w14:solidFill>
                    <w14:schemeClr w14:val="tx1"/>
                  </w14:solidFill>
                </w14:textFill>
              </w:rPr>
            </w:pPr>
          </w:p>
        </w:tc>
        <w:tc>
          <w:tcPr>
            <w:tcW w:w="1377" w:type="dxa"/>
            <w:vAlign w:val="center"/>
          </w:tcPr>
          <w:p w14:paraId="09D2071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1388" w:type="dxa"/>
            <w:vAlign w:val="center"/>
          </w:tcPr>
          <w:p w14:paraId="59666CA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000000" w:themeColor="text1"/>
                <w:sz w:val="24"/>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18CC58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70934E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C0755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26723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本合同设备无需与甲方使用的信息系统对接。</w:t>
      </w:r>
      <w:bookmarkStart w:id="4" w:name="_GoBack"/>
      <w:bookmarkEnd w:id="4"/>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 xml:space="preserve">3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 血液净化机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054FB33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27D6C4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86AB435">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7CF203A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26678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0A195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67D7D56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76FF08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5D8789E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D71BA51">
      <w:pPr>
        <w:rPr>
          <w:rFonts w:hint="eastAsia" w:ascii="宋体" w:hAnsi="宋体" w:cs="宋体"/>
          <w:color w:val="auto"/>
        </w:rPr>
      </w:pPr>
    </w:p>
    <w:bookmarkEnd w:id="1"/>
    <w:p w14:paraId="58F95619">
      <w:pPr>
        <w:rPr>
          <w:rFonts w:hint="eastAsia"/>
          <w:color w:val="auto"/>
        </w:rPr>
      </w:pPr>
    </w:p>
    <w:p w14:paraId="31C5C3F9">
      <w:pPr>
        <w:jc w:val="center"/>
        <w:rPr>
          <w:b/>
          <w:color w:val="auto"/>
          <w:sz w:val="24"/>
        </w:rPr>
      </w:pPr>
      <w:r>
        <w:rPr>
          <w:b/>
          <w:color w:val="auto"/>
          <w:sz w:val="28"/>
          <w:szCs w:val="28"/>
        </w:rPr>
        <w:t>第一部分、开标一览表</w:t>
      </w:r>
    </w:p>
    <w:p w14:paraId="62487F97">
      <w:pPr>
        <w:jc w:val="center"/>
        <w:rPr>
          <w:b/>
          <w:color w:val="auto"/>
          <w:sz w:val="24"/>
        </w:rPr>
      </w:pPr>
    </w:p>
    <w:p w14:paraId="1F7A122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2655F7FD">
      <w:pPr>
        <w:pStyle w:val="17"/>
        <w:rPr>
          <w:color w:val="auto"/>
        </w:rPr>
      </w:pPr>
    </w:p>
    <w:p w14:paraId="55613DF2">
      <w:pPr>
        <w:adjustRightInd w:val="0"/>
        <w:snapToGrid w:val="0"/>
        <w:spacing w:line="360" w:lineRule="auto"/>
        <w:jc w:val="center"/>
        <w:rPr>
          <w:rFonts w:hint="eastAsia" w:ascii="宋体" w:hAnsi="宋体" w:cs="宋体"/>
          <w:b/>
          <w:color w:val="auto"/>
          <w:sz w:val="28"/>
          <w:szCs w:val="28"/>
        </w:rPr>
      </w:pPr>
    </w:p>
    <w:p w14:paraId="46FD03EB">
      <w:pPr>
        <w:adjustRightInd w:val="0"/>
        <w:snapToGrid w:val="0"/>
        <w:spacing w:line="360" w:lineRule="auto"/>
        <w:jc w:val="center"/>
        <w:rPr>
          <w:rFonts w:hint="eastAsia" w:ascii="宋体" w:hAnsi="宋体" w:cs="宋体"/>
          <w:b/>
          <w:color w:val="auto"/>
          <w:sz w:val="28"/>
          <w:szCs w:val="28"/>
        </w:rPr>
      </w:pPr>
    </w:p>
    <w:p w14:paraId="60F70840">
      <w:pPr>
        <w:adjustRightInd w:val="0"/>
        <w:snapToGrid w:val="0"/>
        <w:spacing w:line="360" w:lineRule="auto"/>
        <w:jc w:val="center"/>
        <w:rPr>
          <w:rFonts w:hint="eastAsia" w:ascii="宋体" w:hAnsi="宋体" w:cs="宋体"/>
          <w:b/>
          <w:color w:val="auto"/>
          <w:sz w:val="28"/>
          <w:szCs w:val="28"/>
        </w:rPr>
      </w:pPr>
    </w:p>
    <w:p w14:paraId="6C0ABC23">
      <w:pPr>
        <w:adjustRightInd w:val="0"/>
        <w:snapToGrid w:val="0"/>
        <w:spacing w:line="360" w:lineRule="auto"/>
        <w:jc w:val="center"/>
        <w:rPr>
          <w:rFonts w:hint="eastAsia" w:ascii="宋体" w:hAnsi="宋体" w:cs="宋体"/>
          <w:b/>
          <w:color w:val="auto"/>
          <w:sz w:val="28"/>
          <w:szCs w:val="28"/>
        </w:rPr>
      </w:pPr>
    </w:p>
    <w:p w14:paraId="1B5DCF7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82492D2">
      <w:pPr>
        <w:pStyle w:val="16"/>
        <w:rPr>
          <w:rFonts w:hint="eastAsia"/>
          <w:lang w:eastAsia="zh-CN"/>
        </w:rPr>
      </w:pPr>
    </w:p>
    <w:p w14:paraId="01FA44F5">
      <w:pPr>
        <w:adjustRightInd w:val="0"/>
        <w:snapToGrid w:val="0"/>
        <w:spacing w:line="360" w:lineRule="auto"/>
        <w:jc w:val="center"/>
        <w:rPr>
          <w:rFonts w:hint="eastAsia" w:ascii="宋体" w:hAnsi="宋体" w:cs="宋体"/>
          <w:b/>
          <w:color w:val="auto"/>
          <w:sz w:val="24"/>
          <w:szCs w:val="20"/>
        </w:rPr>
      </w:pPr>
    </w:p>
    <w:p w14:paraId="4B872B3C">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D551272">
      <w:pPr>
        <w:adjustRightInd w:val="0"/>
        <w:snapToGrid w:val="0"/>
        <w:spacing w:line="360" w:lineRule="auto"/>
        <w:rPr>
          <w:rFonts w:hint="eastAsia" w:ascii="宋体" w:hAnsi="宋体" w:cs="宋体"/>
          <w:b/>
          <w:color w:val="auto"/>
          <w:sz w:val="28"/>
          <w:szCs w:val="28"/>
        </w:rPr>
      </w:pPr>
    </w:p>
    <w:p w14:paraId="5AB9F523">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541B40E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82354F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06DC4B0">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20811356">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D1B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43CC14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8F5AD9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FDA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E9F7C4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363D887">
      <w:pPr>
        <w:adjustRightInd w:val="0"/>
        <w:snapToGrid w:val="0"/>
        <w:spacing w:line="360" w:lineRule="auto"/>
        <w:rPr>
          <w:rFonts w:hint="eastAsia" w:ascii="宋体" w:hAnsi="宋体" w:cs="宋体"/>
          <w:color w:val="auto"/>
          <w:sz w:val="24"/>
        </w:rPr>
      </w:pPr>
    </w:p>
    <w:p w14:paraId="2DB14D42">
      <w:pPr>
        <w:adjustRightInd w:val="0"/>
        <w:snapToGrid w:val="0"/>
        <w:spacing w:line="360" w:lineRule="auto"/>
        <w:rPr>
          <w:rFonts w:hint="eastAsia" w:ascii="宋体" w:hAnsi="宋体" w:cs="宋体"/>
          <w:color w:val="auto"/>
          <w:sz w:val="24"/>
        </w:rPr>
      </w:pPr>
    </w:p>
    <w:p w14:paraId="19716B66">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415832">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43084A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7347CE2">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C8E385C">
      <w:pPr>
        <w:adjustRightInd w:val="0"/>
        <w:snapToGrid w:val="0"/>
        <w:spacing w:line="360" w:lineRule="auto"/>
        <w:rPr>
          <w:rFonts w:hint="eastAsia" w:ascii="宋体" w:hAnsi="宋体" w:cs="宋体"/>
          <w:b/>
          <w:color w:val="auto"/>
          <w:sz w:val="28"/>
          <w:szCs w:val="28"/>
        </w:rPr>
      </w:pPr>
    </w:p>
    <w:p w14:paraId="7DE3215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0E72F5B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4574AA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02C2AC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9756CD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483B3FD">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7FC28A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16123A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617C63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35A8E83B">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0F6F3A2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17B4DF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475FEC0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6C8874A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D9D4CF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EB717ED">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32D2A0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9440766">
      <w:pPr>
        <w:adjustRightInd w:val="0"/>
        <w:snapToGrid w:val="0"/>
        <w:spacing w:line="360" w:lineRule="auto"/>
        <w:jc w:val="center"/>
        <w:rPr>
          <w:rFonts w:hint="eastAsia" w:ascii="宋体" w:hAnsi="宋体" w:cs="宋体"/>
          <w:b/>
          <w:color w:val="auto"/>
          <w:sz w:val="24"/>
          <w:szCs w:val="20"/>
        </w:rPr>
      </w:pPr>
    </w:p>
    <w:p w14:paraId="77CDE386">
      <w:pPr>
        <w:adjustRightInd w:val="0"/>
        <w:snapToGrid w:val="0"/>
        <w:spacing w:line="360" w:lineRule="auto"/>
        <w:rPr>
          <w:rFonts w:hint="eastAsia" w:ascii="宋体" w:hAnsi="宋体" w:cs="宋体"/>
          <w:b/>
          <w:color w:val="auto"/>
          <w:sz w:val="24"/>
          <w:szCs w:val="20"/>
        </w:rPr>
      </w:pPr>
    </w:p>
    <w:p w14:paraId="2C4BB08C">
      <w:pPr>
        <w:adjustRightInd w:val="0"/>
        <w:snapToGrid w:val="0"/>
        <w:spacing w:line="360" w:lineRule="auto"/>
        <w:rPr>
          <w:rFonts w:hint="eastAsia" w:ascii="宋体" w:hAnsi="宋体" w:cs="宋体"/>
          <w:b/>
          <w:color w:val="auto"/>
          <w:sz w:val="24"/>
          <w:szCs w:val="20"/>
        </w:rPr>
      </w:pPr>
    </w:p>
    <w:p w14:paraId="7DADB51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763F68F">
      <w:pPr>
        <w:adjustRightInd w:val="0"/>
        <w:snapToGrid w:val="0"/>
        <w:spacing w:line="360" w:lineRule="auto"/>
        <w:jc w:val="center"/>
        <w:rPr>
          <w:rFonts w:hint="eastAsia" w:ascii="宋体" w:hAnsi="宋体" w:cs="宋体"/>
          <w:b/>
          <w:color w:val="auto"/>
          <w:sz w:val="24"/>
          <w:szCs w:val="20"/>
        </w:rPr>
      </w:pPr>
    </w:p>
    <w:p w14:paraId="76CE6A7E">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13F22D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5AFD0EEA">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00B1BB85">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47687E3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1A283E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18C00E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08F3E629">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5A05D6AF">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7781E9D">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DAFB95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2E8BBD2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F953991">
      <w:pPr>
        <w:jc w:val="left"/>
        <w:rPr>
          <w:rFonts w:hint="eastAsia" w:ascii="宋体" w:hAnsi="宋体" w:eastAsia="宋体" w:cs="Times New Roman"/>
          <w:b w:val="0"/>
          <w:bCs w:val="0"/>
          <w:color w:val="auto"/>
          <w:kern w:val="2"/>
          <w:sz w:val="24"/>
          <w:szCs w:val="24"/>
          <w:lang w:val="en-US" w:eastAsia="zh-CN" w:bidi="ar-SA"/>
        </w:rPr>
      </w:pPr>
    </w:p>
    <w:p w14:paraId="0ACEA2C2">
      <w:pPr>
        <w:jc w:val="left"/>
        <w:rPr>
          <w:rFonts w:hint="eastAsia" w:ascii="宋体" w:hAnsi="宋体" w:eastAsia="宋体" w:cs="Times New Roman"/>
          <w:b w:val="0"/>
          <w:bCs w:val="0"/>
          <w:color w:val="auto"/>
          <w:kern w:val="2"/>
          <w:sz w:val="24"/>
          <w:szCs w:val="24"/>
          <w:lang w:val="en-US" w:eastAsia="zh-CN" w:bidi="ar-SA"/>
        </w:rPr>
      </w:pPr>
    </w:p>
    <w:p w14:paraId="4AB8083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97B5B0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5C25D3D9">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084C9A56">
      <w:pPr>
        <w:pStyle w:val="16"/>
        <w:rPr>
          <w:rFonts w:hint="eastAsia"/>
          <w:lang w:eastAsia="zh-CN"/>
        </w:rPr>
      </w:pPr>
    </w:p>
    <w:p w14:paraId="34E9536D">
      <w:pPr>
        <w:spacing w:before="120" w:beforeLines="50" w:after="120" w:afterLines="50" w:line="276" w:lineRule="auto"/>
        <w:jc w:val="center"/>
        <w:rPr>
          <w:b/>
          <w:color w:val="auto"/>
          <w:sz w:val="24"/>
        </w:rPr>
      </w:pPr>
      <w:r>
        <w:rPr>
          <w:b/>
          <w:color w:val="auto"/>
          <w:sz w:val="24"/>
        </w:rPr>
        <w:t>采购需求响应/偏离表</w:t>
      </w:r>
    </w:p>
    <w:p w14:paraId="11F9250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79DD4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ACE5FE0">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55C0622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59A2966C">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75A7A31B">
            <w:pPr>
              <w:adjustRightInd w:val="0"/>
              <w:snapToGrid w:val="0"/>
              <w:spacing w:before="50" w:line="360" w:lineRule="auto"/>
              <w:jc w:val="center"/>
              <w:rPr>
                <w:color w:val="auto"/>
              </w:rPr>
            </w:pPr>
            <w:r>
              <w:rPr>
                <w:color w:val="auto"/>
              </w:rPr>
              <w:t>投标文件应答</w:t>
            </w:r>
          </w:p>
        </w:tc>
        <w:tc>
          <w:tcPr>
            <w:tcW w:w="1513" w:type="dxa"/>
            <w:noWrap w:val="0"/>
            <w:vAlign w:val="center"/>
          </w:tcPr>
          <w:p w14:paraId="0504FA2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2B603E18">
            <w:pPr>
              <w:adjustRightInd w:val="0"/>
              <w:snapToGrid w:val="0"/>
              <w:spacing w:before="50" w:line="360" w:lineRule="auto"/>
              <w:ind w:left="-88" w:leftChars="-42"/>
              <w:jc w:val="center"/>
              <w:rPr>
                <w:color w:val="auto"/>
                <w:szCs w:val="21"/>
              </w:rPr>
            </w:pPr>
            <w:r>
              <w:rPr>
                <w:color w:val="auto"/>
                <w:szCs w:val="21"/>
              </w:rPr>
              <w:t>偏离说明</w:t>
            </w:r>
          </w:p>
        </w:tc>
      </w:tr>
      <w:tr w14:paraId="714F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6893C6E">
            <w:pPr>
              <w:adjustRightInd w:val="0"/>
              <w:snapToGrid w:val="0"/>
              <w:spacing w:before="50" w:line="360" w:lineRule="auto"/>
              <w:ind w:left="-88" w:leftChars="-42"/>
              <w:jc w:val="center"/>
              <w:rPr>
                <w:color w:val="auto"/>
                <w:szCs w:val="21"/>
              </w:rPr>
            </w:pPr>
          </w:p>
        </w:tc>
        <w:tc>
          <w:tcPr>
            <w:tcW w:w="1877" w:type="dxa"/>
            <w:noWrap w:val="0"/>
            <w:vAlign w:val="center"/>
          </w:tcPr>
          <w:p w14:paraId="463B7397">
            <w:pPr>
              <w:adjustRightInd w:val="0"/>
              <w:snapToGrid w:val="0"/>
              <w:spacing w:before="50" w:line="360" w:lineRule="auto"/>
              <w:ind w:left="-88" w:leftChars="-42"/>
              <w:jc w:val="center"/>
              <w:rPr>
                <w:color w:val="auto"/>
                <w:szCs w:val="21"/>
              </w:rPr>
            </w:pPr>
          </w:p>
        </w:tc>
        <w:tc>
          <w:tcPr>
            <w:tcW w:w="1671" w:type="dxa"/>
            <w:noWrap w:val="0"/>
            <w:vAlign w:val="center"/>
          </w:tcPr>
          <w:p w14:paraId="45B8CFF1">
            <w:pPr>
              <w:adjustRightInd w:val="0"/>
              <w:snapToGrid w:val="0"/>
              <w:spacing w:before="50" w:line="360" w:lineRule="auto"/>
              <w:ind w:left="-88" w:leftChars="-42"/>
              <w:jc w:val="center"/>
              <w:rPr>
                <w:color w:val="auto"/>
                <w:szCs w:val="21"/>
              </w:rPr>
            </w:pPr>
          </w:p>
        </w:tc>
        <w:tc>
          <w:tcPr>
            <w:tcW w:w="1608" w:type="dxa"/>
            <w:noWrap w:val="0"/>
            <w:vAlign w:val="center"/>
          </w:tcPr>
          <w:p w14:paraId="07F2C981">
            <w:pPr>
              <w:adjustRightInd w:val="0"/>
              <w:snapToGrid w:val="0"/>
              <w:spacing w:before="50" w:line="360" w:lineRule="auto"/>
              <w:ind w:left="-88" w:leftChars="-42"/>
              <w:jc w:val="center"/>
              <w:rPr>
                <w:color w:val="auto"/>
                <w:szCs w:val="21"/>
              </w:rPr>
            </w:pPr>
          </w:p>
        </w:tc>
        <w:tc>
          <w:tcPr>
            <w:tcW w:w="1513" w:type="dxa"/>
            <w:noWrap w:val="0"/>
            <w:vAlign w:val="center"/>
          </w:tcPr>
          <w:p w14:paraId="09F98F90">
            <w:pPr>
              <w:adjustRightInd w:val="0"/>
              <w:snapToGrid w:val="0"/>
              <w:spacing w:before="50" w:line="360" w:lineRule="auto"/>
              <w:ind w:left="-88" w:leftChars="-42"/>
              <w:jc w:val="center"/>
              <w:rPr>
                <w:color w:val="auto"/>
                <w:szCs w:val="21"/>
              </w:rPr>
            </w:pPr>
          </w:p>
        </w:tc>
        <w:tc>
          <w:tcPr>
            <w:tcW w:w="1061" w:type="dxa"/>
            <w:noWrap w:val="0"/>
            <w:vAlign w:val="center"/>
          </w:tcPr>
          <w:p w14:paraId="6702EC67">
            <w:pPr>
              <w:adjustRightInd w:val="0"/>
              <w:snapToGrid w:val="0"/>
              <w:spacing w:before="50" w:line="360" w:lineRule="auto"/>
              <w:ind w:left="-88" w:leftChars="-42"/>
              <w:jc w:val="center"/>
              <w:rPr>
                <w:color w:val="auto"/>
                <w:szCs w:val="21"/>
              </w:rPr>
            </w:pPr>
          </w:p>
        </w:tc>
      </w:tr>
      <w:tr w14:paraId="63CCF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0C78547C">
            <w:pPr>
              <w:adjustRightInd w:val="0"/>
              <w:snapToGrid w:val="0"/>
              <w:spacing w:before="50" w:line="360" w:lineRule="auto"/>
              <w:ind w:left="-88" w:leftChars="-42"/>
              <w:jc w:val="center"/>
              <w:rPr>
                <w:color w:val="auto"/>
                <w:szCs w:val="21"/>
              </w:rPr>
            </w:pPr>
          </w:p>
        </w:tc>
        <w:tc>
          <w:tcPr>
            <w:tcW w:w="1877" w:type="dxa"/>
            <w:noWrap w:val="0"/>
            <w:vAlign w:val="center"/>
          </w:tcPr>
          <w:p w14:paraId="37CA41BC">
            <w:pPr>
              <w:adjustRightInd w:val="0"/>
              <w:snapToGrid w:val="0"/>
              <w:spacing w:before="50" w:line="360" w:lineRule="auto"/>
              <w:ind w:left="-88" w:leftChars="-42"/>
              <w:jc w:val="center"/>
              <w:rPr>
                <w:color w:val="auto"/>
                <w:szCs w:val="21"/>
              </w:rPr>
            </w:pPr>
          </w:p>
        </w:tc>
        <w:tc>
          <w:tcPr>
            <w:tcW w:w="1671" w:type="dxa"/>
            <w:noWrap w:val="0"/>
            <w:vAlign w:val="center"/>
          </w:tcPr>
          <w:p w14:paraId="495468D3">
            <w:pPr>
              <w:adjustRightInd w:val="0"/>
              <w:snapToGrid w:val="0"/>
              <w:spacing w:before="50" w:line="360" w:lineRule="auto"/>
              <w:ind w:left="-88" w:leftChars="-42"/>
              <w:jc w:val="center"/>
              <w:rPr>
                <w:color w:val="auto"/>
                <w:szCs w:val="21"/>
              </w:rPr>
            </w:pPr>
          </w:p>
        </w:tc>
        <w:tc>
          <w:tcPr>
            <w:tcW w:w="1608" w:type="dxa"/>
            <w:noWrap w:val="0"/>
            <w:vAlign w:val="center"/>
          </w:tcPr>
          <w:p w14:paraId="708A71E2">
            <w:pPr>
              <w:adjustRightInd w:val="0"/>
              <w:snapToGrid w:val="0"/>
              <w:spacing w:before="50" w:line="360" w:lineRule="auto"/>
              <w:ind w:left="-88" w:leftChars="-42"/>
              <w:jc w:val="center"/>
              <w:rPr>
                <w:color w:val="auto"/>
                <w:szCs w:val="21"/>
              </w:rPr>
            </w:pPr>
          </w:p>
        </w:tc>
        <w:tc>
          <w:tcPr>
            <w:tcW w:w="1513" w:type="dxa"/>
            <w:noWrap w:val="0"/>
            <w:vAlign w:val="center"/>
          </w:tcPr>
          <w:p w14:paraId="17F94BDF">
            <w:pPr>
              <w:adjustRightInd w:val="0"/>
              <w:snapToGrid w:val="0"/>
              <w:spacing w:before="50" w:line="360" w:lineRule="auto"/>
              <w:ind w:left="-88" w:leftChars="-42"/>
              <w:jc w:val="center"/>
              <w:rPr>
                <w:color w:val="auto"/>
                <w:szCs w:val="21"/>
              </w:rPr>
            </w:pPr>
          </w:p>
        </w:tc>
        <w:tc>
          <w:tcPr>
            <w:tcW w:w="1061" w:type="dxa"/>
            <w:noWrap w:val="0"/>
            <w:vAlign w:val="center"/>
          </w:tcPr>
          <w:p w14:paraId="1865EC09">
            <w:pPr>
              <w:adjustRightInd w:val="0"/>
              <w:snapToGrid w:val="0"/>
              <w:spacing w:before="50" w:line="360" w:lineRule="auto"/>
              <w:ind w:left="-88" w:leftChars="-42"/>
              <w:jc w:val="center"/>
              <w:rPr>
                <w:color w:val="auto"/>
                <w:szCs w:val="21"/>
              </w:rPr>
            </w:pPr>
          </w:p>
        </w:tc>
      </w:tr>
      <w:tr w14:paraId="22E3B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AA62B93">
            <w:pPr>
              <w:adjustRightInd w:val="0"/>
              <w:snapToGrid w:val="0"/>
              <w:spacing w:before="50" w:line="360" w:lineRule="auto"/>
              <w:ind w:left="-88" w:leftChars="-42"/>
              <w:jc w:val="center"/>
              <w:rPr>
                <w:color w:val="auto"/>
                <w:szCs w:val="21"/>
              </w:rPr>
            </w:pPr>
          </w:p>
        </w:tc>
        <w:tc>
          <w:tcPr>
            <w:tcW w:w="1877" w:type="dxa"/>
            <w:noWrap w:val="0"/>
            <w:vAlign w:val="center"/>
          </w:tcPr>
          <w:p w14:paraId="76098BBA">
            <w:pPr>
              <w:adjustRightInd w:val="0"/>
              <w:snapToGrid w:val="0"/>
              <w:spacing w:before="50" w:line="360" w:lineRule="auto"/>
              <w:ind w:left="-88" w:leftChars="-42"/>
              <w:jc w:val="center"/>
              <w:rPr>
                <w:color w:val="auto"/>
                <w:szCs w:val="21"/>
              </w:rPr>
            </w:pPr>
          </w:p>
        </w:tc>
        <w:tc>
          <w:tcPr>
            <w:tcW w:w="1671" w:type="dxa"/>
            <w:noWrap w:val="0"/>
            <w:vAlign w:val="center"/>
          </w:tcPr>
          <w:p w14:paraId="6E08FC8C">
            <w:pPr>
              <w:adjustRightInd w:val="0"/>
              <w:snapToGrid w:val="0"/>
              <w:spacing w:before="50" w:line="360" w:lineRule="auto"/>
              <w:ind w:left="-88" w:leftChars="-42"/>
              <w:jc w:val="center"/>
              <w:rPr>
                <w:color w:val="auto"/>
                <w:szCs w:val="21"/>
              </w:rPr>
            </w:pPr>
          </w:p>
        </w:tc>
        <w:tc>
          <w:tcPr>
            <w:tcW w:w="1608" w:type="dxa"/>
            <w:noWrap w:val="0"/>
            <w:vAlign w:val="center"/>
          </w:tcPr>
          <w:p w14:paraId="319A1FB6">
            <w:pPr>
              <w:adjustRightInd w:val="0"/>
              <w:snapToGrid w:val="0"/>
              <w:spacing w:before="50" w:line="360" w:lineRule="auto"/>
              <w:ind w:left="-88" w:leftChars="-42"/>
              <w:jc w:val="center"/>
              <w:rPr>
                <w:color w:val="auto"/>
                <w:szCs w:val="21"/>
              </w:rPr>
            </w:pPr>
          </w:p>
        </w:tc>
        <w:tc>
          <w:tcPr>
            <w:tcW w:w="1513" w:type="dxa"/>
            <w:noWrap w:val="0"/>
            <w:vAlign w:val="center"/>
          </w:tcPr>
          <w:p w14:paraId="76639BFD">
            <w:pPr>
              <w:adjustRightInd w:val="0"/>
              <w:snapToGrid w:val="0"/>
              <w:spacing w:before="50" w:line="360" w:lineRule="auto"/>
              <w:ind w:left="-88" w:leftChars="-42"/>
              <w:jc w:val="center"/>
              <w:rPr>
                <w:color w:val="auto"/>
                <w:szCs w:val="21"/>
              </w:rPr>
            </w:pPr>
          </w:p>
        </w:tc>
        <w:tc>
          <w:tcPr>
            <w:tcW w:w="1061" w:type="dxa"/>
            <w:noWrap w:val="0"/>
            <w:vAlign w:val="center"/>
          </w:tcPr>
          <w:p w14:paraId="19C51A80">
            <w:pPr>
              <w:adjustRightInd w:val="0"/>
              <w:snapToGrid w:val="0"/>
              <w:spacing w:before="50" w:line="360" w:lineRule="auto"/>
              <w:ind w:left="-88" w:leftChars="-42"/>
              <w:jc w:val="center"/>
              <w:rPr>
                <w:color w:val="auto"/>
                <w:szCs w:val="21"/>
              </w:rPr>
            </w:pPr>
          </w:p>
        </w:tc>
      </w:tr>
      <w:tr w14:paraId="0C2B3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31E9BB12">
            <w:pPr>
              <w:rPr>
                <w:b/>
                <w:color w:val="auto"/>
              </w:rPr>
            </w:pPr>
          </w:p>
        </w:tc>
      </w:tr>
    </w:tbl>
    <w:p w14:paraId="1FAEA1D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7725404D">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7B53DC4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4071EF0B">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5C680C40">
      <w:pPr>
        <w:pStyle w:val="17"/>
        <w:rPr>
          <w:color w:val="auto"/>
        </w:rPr>
      </w:pPr>
    </w:p>
    <w:p w14:paraId="508F6F6F">
      <w:pPr>
        <w:pStyle w:val="16"/>
        <w:rPr>
          <w:rFonts w:hint="eastAsia"/>
          <w:lang w:eastAsia="zh-CN"/>
        </w:rPr>
      </w:pPr>
    </w:p>
    <w:p w14:paraId="6144577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857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D437F">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0D437F">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54A0F2AE">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A032">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FF3D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FF3D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32A68389">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54A1">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DD1643"/>
    <w:rsid w:val="0F706265"/>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8662</Words>
  <Characters>9314</Characters>
  <Lines>0</Lines>
  <Paragraphs>0</Paragraphs>
  <TotalTime>0</TotalTime>
  <ScaleCrop>false</ScaleCrop>
  <LinksUpToDate>false</LinksUpToDate>
  <CharactersWithSpaces>10241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2025-12-19T00:39:25Z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