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EED3ED">
      <w:pPr>
        <w:pStyle w:val="15"/>
        <w:snapToGrid w:val="0"/>
        <w:jc w:val="center"/>
        <w:rPr>
          <w:rFonts w:hint="eastAsia" w:ascii="Arial" w:hAnsi="Arial" w:eastAsia="方正小标宋简体" w:cs="Arial"/>
          <w:sz w:val="72"/>
          <w:szCs w:val="72"/>
        </w:rPr>
      </w:pPr>
      <w:bookmarkStart w:id="0" w:name="_Toc16523570"/>
    </w:p>
    <w:p w14:paraId="6165DD46">
      <w:pPr>
        <w:pStyle w:val="15"/>
        <w:snapToGrid w:val="0"/>
        <w:jc w:val="center"/>
        <w:rPr>
          <w:rFonts w:hint="eastAsia" w:ascii="Arial" w:hAnsi="Arial" w:eastAsia="方正小标宋简体" w:cs="Arial"/>
          <w:sz w:val="72"/>
          <w:szCs w:val="72"/>
        </w:rPr>
      </w:pPr>
      <w:r>
        <w:rPr>
          <w:rFonts w:hint="eastAsia" w:ascii="Arial" w:hAnsi="Arial" w:eastAsia="方正小标宋简体" w:cs="Arial"/>
          <w:sz w:val="72"/>
          <w:szCs w:val="72"/>
        </w:rPr>
        <w:t>娄底市中心医院</w:t>
      </w:r>
    </w:p>
    <w:p w14:paraId="240C7846">
      <w:pPr>
        <w:pStyle w:val="15"/>
        <w:snapToGrid w:val="0"/>
        <w:jc w:val="center"/>
        <w:rPr>
          <w:rFonts w:hint="eastAsia" w:ascii="Arial" w:hAnsi="Arial" w:eastAsia="方正小标宋简体" w:cs="Arial"/>
          <w:sz w:val="72"/>
          <w:szCs w:val="72"/>
        </w:rPr>
      </w:pPr>
    </w:p>
    <w:p w14:paraId="635FE321">
      <w:pPr>
        <w:pStyle w:val="15"/>
        <w:snapToGrid w:val="0"/>
        <w:jc w:val="center"/>
        <w:rPr>
          <w:rFonts w:hint="eastAsia" w:ascii="Arial" w:hAnsi="Arial" w:eastAsia="方正小标宋简体" w:cs="Arial"/>
          <w:sz w:val="72"/>
          <w:szCs w:val="72"/>
        </w:rPr>
      </w:pPr>
    </w:p>
    <w:p w14:paraId="69D3AD3F">
      <w:pPr>
        <w:pStyle w:val="15"/>
        <w:snapToGrid w:val="0"/>
        <w:jc w:val="center"/>
        <w:rPr>
          <w:rFonts w:hint="eastAsia" w:ascii="Arial" w:hAnsi="Arial" w:eastAsia="方正小标宋简体" w:cs="Arial"/>
          <w:sz w:val="72"/>
          <w:szCs w:val="72"/>
        </w:rPr>
      </w:pPr>
    </w:p>
    <w:p w14:paraId="6760F3CC">
      <w:pPr>
        <w:pStyle w:val="15"/>
        <w:snapToGrid w:val="0"/>
        <w:jc w:val="center"/>
        <w:rPr>
          <w:rFonts w:ascii="Arial" w:hAnsi="Arial" w:eastAsia="方正小标宋简体" w:cs="Arial"/>
          <w:sz w:val="36"/>
          <w:szCs w:val="36"/>
        </w:rPr>
      </w:pPr>
      <w:r>
        <w:rPr>
          <w:rFonts w:hint="eastAsia" w:ascii="Arial" w:hAnsi="Arial" w:eastAsia="方正小标宋简体" w:cs="Arial"/>
          <w:sz w:val="72"/>
          <w:szCs w:val="72"/>
          <w:lang w:val="en-US" w:eastAsia="zh-CN"/>
        </w:rPr>
        <w:t>采购</w:t>
      </w:r>
      <w:r>
        <w:rPr>
          <w:rFonts w:ascii="Arial" w:hAnsi="Arial" w:eastAsia="方正小标宋简体" w:cs="Arial"/>
          <w:sz w:val="72"/>
          <w:szCs w:val="72"/>
        </w:rPr>
        <w:t>文件</w:t>
      </w:r>
    </w:p>
    <w:p w14:paraId="136B4FFC">
      <w:pPr>
        <w:pStyle w:val="15"/>
        <w:snapToGrid w:val="0"/>
        <w:jc w:val="center"/>
        <w:rPr>
          <w:rFonts w:ascii="Arial" w:hAnsi="Arial" w:cs="Arial"/>
          <w:sz w:val="32"/>
          <w:szCs w:val="32"/>
        </w:rPr>
      </w:pPr>
    </w:p>
    <w:p w14:paraId="344FBE05">
      <w:pPr>
        <w:pStyle w:val="16"/>
        <w:rPr>
          <w:rFonts w:ascii="Arial" w:hAnsi="Arial" w:cs="Arial"/>
          <w:sz w:val="32"/>
          <w:szCs w:val="32"/>
        </w:rPr>
      </w:pPr>
    </w:p>
    <w:p w14:paraId="3072D5FC">
      <w:pPr>
        <w:pStyle w:val="9"/>
        <w:rPr>
          <w:rFonts w:ascii="Arial" w:hAnsi="Arial" w:cs="Arial"/>
          <w:sz w:val="32"/>
          <w:szCs w:val="32"/>
        </w:rPr>
      </w:pPr>
    </w:p>
    <w:p w14:paraId="1CD32D3E">
      <w:pPr>
        <w:pStyle w:val="9"/>
        <w:rPr>
          <w:rFonts w:ascii="Arial" w:hAnsi="Arial" w:cs="Arial"/>
          <w:sz w:val="32"/>
          <w:szCs w:val="32"/>
        </w:rPr>
      </w:pPr>
    </w:p>
    <w:p w14:paraId="191865C5">
      <w:pPr>
        <w:pStyle w:val="9"/>
        <w:rPr>
          <w:rFonts w:ascii="Arial" w:hAnsi="Arial" w:cs="Arial"/>
          <w:sz w:val="32"/>
          <w:szCs w:val="32"/>
        </w:rPr>
      </w:pPr>
    </w:p>
    <w:p w14:paraId="00BD03D4">
      <w:pPr>
        <w:pStyle w:val="9"/>
        <w:rPr>
          <w:rFonts w:ascii="Arial" w:hAnsi="Arial" w:cs="Arial"/>
          <w:sz w:val="32"/>
          <w:szCs w:val="32"/>
        </w:rPr>
      </w:pPr>
    </w:p>
    <w:p w14:paraId="5B1AF6E9">
      <w:pPr>
        <w:pStyle w:val="9"/>
        <w:rPr>
          <w:rFonts w:ascii="Arial" w:hAnsi="Arial" w:cs="Arial"/>
          <w:sz w:val="32"/>
          <w:szCs w:val="32"/>
        </w:rPr>
      </w:pPr>
    </w:p>
    <w:p w14:paraId="5EDC9EA3">
      <w:pPr>
        <w:pStyle w:val="9"/>
        <w:rPr>
          <w:rFonts w:ascii="Arial" w:hAnsi="Arial" w:cs="Arial"/>
          <w:sz w:val="32"/>
          <w:szCs w:val="32"/>
        </w:rPr>
      </w:pPr>
    </w:p>
    <w:p w14:paraId="163589A0">
      <w:pPr>
        <w:pStyle w:val="9"/>
        <w:rPr>
          <w:rFonts w:ascii="Arial" w:hAnsi="Arial" w:cs="Arial"/>
          <w:sz w:val="32"/>
          <w:szCs w:val="32"/>
        </w:rPr>
      </w:pPr>
    </w:p>
    <w:p w14:paraId="22B3FB66">
      <w:pPr>
        <w:pStyle w:val="15"/>
        <w:snapToGrid w:val="0"/>
        <w:jc w:val="center"/>
        <w:rPr>
          <w:rFonts w:ascii="Arial" w:hAnsi="Arial" w:cs="Arial"/>
          <w:sz w:val="32"/>
          <w:szCs w:val="32"/>
        </w:rPr>
      </w:pPr>
    </w:p>
    <w:p w14:paraId="66BAB724">
      <w:pPr>
        <w:pStyle w:val="15"/>
        <w:snapToGrid w:val="0"/>
        <w:jc w:val="center"/>
        <w:rPr>
          <w:rFonts w:ascii="Arial" w:hAnsi="Arial" w:cs="Arial"/>
          <w:sz w:val="32"/>
          <w:szCs w:val="32"/>
        </w:rPr>
      </w:pPr>
    </w:p>
    <w:p w14:paraId="5BE24A3F">
      <w:pPr>
        <w:spacing w:line="360" w:lineRule="auto"/>
        <w:rPr>
          <w:rFonts w:hint="eastAsia"/>
          <w:bCs/>
          <w:sz w:val="32"/>
          <w:szCs w:val="32"/>
        </w:rPr>
      </w:pPr>
    </w:p>
    <w:p w14:paraId="677D4FE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27" w:lineRule="atLeast"/>
        <w:ind w:left="0" w:right="0"/>
        <w:jc w:val="center"/>
        <w:rPr>
          <w:rFonts w:hint="eastAsia"/>
          <w:bCs/>
          <w:sz w:val="32"/>
          <w:szCs w:val="32"/>
        </w:rPr>
      </w:pPr>
      <w:r>
        <w:rPr>
          <w:rFonts w:hint="eastAsia"/>
          <w:bCs/>
          <w:sz w:val="32"/>
          <w:szCs w:val="32"/>
        </w:rPr>
        <w:t>项目名称：</w:t>
      </w:r>
      <w:r>
        <w:rPr>
          <w:rFonts w:hint="eastAsia"/>
          <w:bCs/>
          <w:sz w:val="32"/>
          <w:szCs w:val="32"/>
          <w:lang w:val="en-US" w:eastAsia="zh-CN"/>
        </w:rPr>
        <w:t>娄底市中心医院设备科医疗器械采购项目</w:t>
      </w:r>
    </w:p>
    <w:p w14:paraId="018BCF4F">
      <w:pPr>
        <w:jc w:val="center"/>
        <w:rPr>
          <w:rFonts w:hint="default" w:ascii="Times New Roman" w:hAnsi="Times New Roman" w:eastAsia="宋体" w:cs="Times New Roman"/>
          <w:b/>
          <w:bCs/>
          <w:kern w:val="44"/>
          <w:sz w:val="32"/>
          <w:szCs w:val="32"/>
          <w:lang w:val="en-US" w:eastAsia="zh-CN" w:bidi="ar-SA"/>
        </w:rPr>
      </w:pPr>
      <w:r>
        <w:rPr>
          <w:rFonts w:hint="eastAsia" w:cs="Times New Roman"/>
          <w:b/>
          <w:bCs/>
          <w:kern w:val="44"/>
          <w:sz w:val="32"/>
          <w:szCs w:val="32"/>
          <w:lang w:val="en-US" w:eastAsia="zh-CN" w:bidi="ar-SA"/>
        </w:rPr>
        <w:t>（超声经颅多普勒血流分析仪医院公开挂网</w:t>
      </w:r>
      <w:r>
        <w:rPr>
          <w:rFonts w:hint="eastAsia" w:ascii="Times New Roman" w:hAnsi="Times New Roman" w:eastAsia="宋体" w:cs="Times New Roman"/>
          <w:b/>
          <w:bCs/>
          <w:kern w:val="44"/>
          <w:sz w:val="32"/>
          <w:szCs w:val="32"/>
          <w:lang w:val="en-US" w:eastAsia="zh-CN" w:bidi="ar-SA"/>
        </w:rPr>
        <w:t>）</w:t>
      </w:r>
    </w:p>
    <w:p w14:paraId="5FDDD31C">
      <w:pPr>
        <w:spacing w:line="320" w:lineRule="exact"/>
        <w:jc w:val="left"/>
        <w:rPr>
          <w:sz w:val="24"/>
        </w:rPr>
      </w:pPr>
    </w:p>
    <w:p w14:paraId="1995CCAC">
      <w:pPr>
        <w:spacing w:line="320" w:lineRule="exact"/>
        <w:ind w:firstLine="3520" w:firstLineChars="1100"/>
        <w:jc w:val="both"/>
        <w:rPr>
          <w:rFonts w:hint="eastAsia" w:ascii="宋体" w:hAnsi="宋体" w:cs="宋体"/>
          <w:bCs/>
          <w:sz w:val="32"/>
          <w:szCs w:val="32"/>
        </w:rPr>
      </w:pPr>
      <w:r>
        <w:rPr>
          <w:rFonts w:hint="eastAsia" w:ascii="宋体" w:hAnsi="宋体" w:cs="宋体"/>
          <w:bCs/>
          <w:sz w:val="32"/>
          <w:szCs w:val="32"/>
        </w:rPr>
        <w:t>二〇二</w:t>
      </w:r>
      <w:r>
        <w:rPr>
          <w:rFonts w:hint="eastAsia" w:ascii="宋体" w:hAnsi="宋体" w:cs="宋体"/>
          <w:bCs/>
          <w:sz w:val="32"/>
          <w:szCs w:val="32"/>
          <w:lang w:eastAsia="zh-CN"/>
        </w:rPr>
        <w:t>五</w:t>
      </w:r>
      <w:r>
        <w:rPr>
          <w:rFonts w:hint="eastAsia" w:ascii="宋体" w:hAnsi="宋体" w:cs="宋体"/>
          <w:bCs/>
          <w:sz w:val="32"/>
          <w:szCs w:val="32"/>
        </w:rPr>
        <w:t>年</w:t>
      </w:r>
      <w:r>
        <w:rPr>
          <w:rFonts w:hint="eastAsia" w:ascii="宋体" w:hAnsi="宋体" w:cs="宋体"/>
          <w:bCs/>
          <w:sz w:val="32"/>
          <w:szCs w:val="32"/>
          <w:lang w:eastAsia="zh-CN"/>
        </w:rPr>
        <w:t>十二</w:t>
      </w:r>
      <w:r>
        <w:rPr>
          <w:rFonts w:hint="eastAsia" w:ascii="宋体" w:hAnsi="宋体" w:cs="宋体"/>
          <w:bCs/>
          <w:sz w:val="32"/>
          <w:szCs w:val="32"/>
        </w:rPr>
        <w:t>月</w:t>
      </w:r>
    </w:p>
    <w:p w14:paraId="7F0F5473">
      <w:pPr>
        <w:pStyle w:val="2"/>
        <w:numPr>
          <w:ilvl w:val="0"/>
          <w:numId w:val="0"/>
        </w:numPr>
        <w:spacing w:line="240" w:lineRule="auto"/>
        <w:ind w:leftChars="0"/>
        <w:jc w:val="center"/>
        <w:rPr>
          <w:rFonts w:hint="eastAsia" w:ascii="宋体" w:hAnsi="宋体" w:cs="宋体"/>
          <w:color w:val="auto"/>
          <w:sz w:val="44"/>
          <w:szCs w:val="44"/>
          <w:lang w:val="en-US" w:eastAsia="zh-CN"/>
        </w:rPr>
      </w:pPr>
    </w:p>
    <w:p w14:paraId="535BB9EC">
      <w:pPr>
        <w:pStyle w:val="2"/>
        <w:numPr>
          <w:ilvl w:val="0"/>
          <w:numId w:val="0"/>
        </w:numPr>
        <w:spacing w:line="240" w:lineRule="auto"/>
        <w:ind w:leftChars="0"/>
        <w:jc w:val="center"/>
        <w:rPr>
          <w:rFonts w:hint="eastAsia"/>
          <w:b/>
          <w:bCs w:val="0"/>
          <w:color w:val="auto"/>
          <w:sz w:val="44"/>
          <w:szCs w:val="44"/>
        </w:rPr>
      </w:pPr>
      <w:r>
        <w:rPr>
          <w:rFonts w:hint="eastAsia" w:ascii="宋体" w:hAnsi="宋体" w:cs="宋体"/>
          <w:color w:val="auto"/>
          <w:sz w:val="44"/>
          <w:szCs w:val="44"/>
          <w:lang w:val="en-US" w:eastAsia="zh-CN"/>
        </w:rPr>
        <w:t xml:space="preserve">第一章 </w:t>
      </w:r>
      <w:r>
        <w:rPr>
          <w:rFonts w:hint="eastAsia" w:ascii="宋体" w:hAnsi="宋体" w:cs="宋体"/>
          <w:color w:val="auto"/>
          <w:sz w:val="44"/>
          <w:szCs w:val="44"/>
        </w:rPr>
        <w:t>投标邀请</w:t>
      </w:r>
    </w:p>
    <w:p w14:paraId="2CCB5FF4">
      <w:pPr>
        <w:pStyle w:val="15"/>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u w:val="single"/>
          <w:lang w:val="en-US" w:eastAsia="zh-CN"/>
        </w:rPr>
        <w:t>超声经颅多普勒血流分析仪</w:t>
      </w:r>
      <w:r>
        <w:rPr>
          <w:rFonts w:hint="eastAsia" w:asciiTheme="minorEastAsia" w:hAnsiTheme="minorEastAsia" w:eastAsiaTheme="minorEastAsia" w:cstheme="minorEastAsia"/>
          <w:bCs/>
          <w:color w:val="auto"/>
          <w:sz w:val="24"/>
          <w:szCs w:val="24"/>
          <w:lang w:val="en-US" w:eastAsia="zh-CN"/>
        </w:rPr>
        <w:t>项目进行医院公开挂网，将事项公告如下：</w:t>
      </w:r>
    </w:p>
    <w:p w14:paraId="1BEBAEE9">
      <w:pPr>
        <w:pStyle w:val="15"/>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一、项目信息</w:t>
      </w:r>
    </w:p>
    <w:p w14:paraId="62DF0C6F">
      <w:pPr>
        <w:pStyle w:val="15"/>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 w:val="0"/>
          <w:bCs/>
          <w:color w:val="auto"/>
          <w:sz w:val="24"/>
          <w:szCs w:val="24"/>
          <w:lang w:val="en-US" w:eastAsia="zh-CN"/>
        </w:rPr>
      </w:pPr>
      <w:r>
        <w:rPr>
          <w:rFonts w:hint="eastAsia" w:asciiTheme="minorEastAsia" w:hAnsiTheme="minorEastAsia" w:eastAsiaTheme="minorEastAsia" w:cstheme="minorEastAsia"/>
          <w:b w:val="0"/>
          <w:bCs/>
          <w:color w:val="auto"/>
          <w:sz w:val="24"/>
          <w:szCs w:val="24"/>
          <w:lang w:val="en-US" w:eastAsia="zh-CN"/>
        </w:rPr>
        <w:t>项目名称：</w:t>
      </w:r>
      <w:r>
        <w:rPr>
          <w:rFonts w:hint="eastAsia" w:asciiTheme="minorEastAsia" w:hAnsiTheme="minorEastAsia" w:eastAsiaTheme="minorEastAsia" w:cstheme="minorEastAsia"/>
          <w:bCs/>
          <w:color w:val="auto"/>
          <w:sz w:val="24"/>
          <w:szCs w:val="24"/>
          <w:u w:val="single"/>
          <w:lang w:val="en-US" w:eastAsia="zh-CN"/>
        </w:rPr>
        <w:t>超声经颅多普勒血流分析仪</w:t>
      </w:r>
      <w:r>
        <w:rPr>
          <w:rFonts w:hint="eastAsia" w:asciiTheme="minorEastAsia" w:hAnsiTheme="minorEastAsia" w:eastAsiaTheme="minorEastAsia" w:cstheme="minorEastAsia"/>
          <w:b w:val="0"/>
          <w:bCs/>
          <w:color w:val="auto"/>
          <w:sz w:val="24"/>
          <w:szCs w:val="24"/>
          <w:lang w:val="en-US" w:eastAsia="zh-CN"/>
        </w:rPr>
        <w:t>项目</w:t>
      </w:r>
    </w:p>
    <w:p w14:paraId="6B936CE3">
      <w:pPr>
        <w:pStyle w:val="15"/>
        <w:keepNext w:val="0"/>
        <w:keepLines w:val="0"/>
        <w:pageBreakBefore w:val="0"/>
        <w:widowControl w:val="0"/>
        <w:numPr>
          <w:ilvl w:val="0"/>
          <w:numId w:val="1"/>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采购方式</w:t>
      </w:r>
    </w:p>
    <w:p w14:paraId="126EAE81">
      <w:pPr>
        <w:pStyle w:val="15"/>
        <w:keepNext w:val="0"/>
        <w:keepLines w:val="0"/>
        <w:pageBreakBefore w:val="0"/>
        <w:widowControl w:val="0"/>
        <w:numPr>
          <w:ilvl w:val="0"/>
          <w:numId w:val="2"/>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bidi="ar-SA"/>
        </w:rPr>
        <w:t>医院公开挂网</w:t>
      </w:r>
      <w:r>
        <w:rPr>
          <w:rFonts w:hint="eastAsia" w:asciiTheme="minorEastAsia" w:hAnsiTheme="minorEastAsia" w:eastAsiaTheme="minorEastAsia" w:cstheme="minorEastAsia"/>
          <w:bCs/>
          <w:color w:val="auto"/>
          <w:sz w:val="24"/>
          <w:szCs w:val="24"/>
          <w:lang w:val="en-US" w:eastAsia="zh-CN"/>
        </w:rPr>
        <w:t>，</w:t>
      </w:r>
      <w:bookmarkEnd w:id="0"/>
      <w:r>
        <w:rPr>
          <w:rFonts w:hint="eastAsia" w:asciiTheme="minorEastAsia" w:hAnsiTheme="minorEastAsia" w:eastAsiaTheme="minorEastAsia" w:cstheme="minorEastAsia"/>
          <w:bCs/>
          <w:color w:val="auto"/>
          <w:sz w:val="24"/>
          <w:szCs w:val="24"/>
          <w:lang w:val="en-US" w:eastAsia="zh-CN"/>
        </w:rPr>
        <w:t>按招标文件评分规则进行评审，以评审结果排序，综合评分得分相同的，按投标报价由低到高顺序排列，得分且投标报价相同的，按技术指标优劣顺序排列。</w:t>
      </w:r>
    </w:p>
    <w:p w14:paraId="444B7D8D">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三、投标人资格要求</w:t>
      </w:r>
    </w:p>
    <w:p w14:paraId="253091B9">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1、投标人的基本资格条件：投标人必须是在中华人民共和国境内注册登记的法人、其他组织或者自然人，且应当符合《政府采购法》第二十二条第一款的规定；</w:t>
      </w:r>
    </w:p>
    <w:p w14:paraId="1724C358">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2、参加政府采购活动近3年内，在经营活动中没有重大违法记录；</w:t>
      </w:r>
    </w:p>
    <w:p w14:paraId="3AD029D5">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3、投标人未列入经营异常名录和未列入严重违法失信企业名单（黑名单），投标人企业法人代表未被列入失信被执行人名单；</w:t>
      </w:r>
    </w:p>
    <w:p w14:paraId="6C83B5C3">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720" w:firstLineChars="3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投标人在“信用中国”（www.creditchina.gov.cn）、中国政府采购网（www.ccgp.gov.cn）等网站，未被列入“失信被执行人”、“重大税收违法案件当事人名单”、“政府采购严重违法失信行为记录名单”；</w:t>
      </w:r>
    </w:p>
    <w:p w14:paraId="2CC2ACE0">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4、本项目不接受联合体投标，不得分包、转包；</w:t>
      </w:r>
    </w:p>
    <w:p w14:paraId="7BE4C393">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5、单位负责人为同一人或者存在直接控股、管理关系的不同投标人，不得参加本次采购活动；</w:t>
      </w:r>
    </w:p>
    <w:p w14:paraId="62E85C39">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四、投标截止时间、开标时间及地点：</w:t>
      </w:r>
    </w:p>
    <w:p w14:paraId="61E7FBF6">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1、投标截止时间、开标时间：具体时间另行通知</w:t>
      </w:r>
    </w:p>
    <w:p w14:paraId="51F1ED66">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2、开标地点;娄底市中心医院</w:t>
      </w:r>
    </w:p>
    <w:p w14:paraId="45DDDEA8">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五、采购人地址和联系方法：</w:t>
      </w:r>
    </w:p>
    <w:p w14:paraId="2AAC4384">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1、采购人名称：娄底市中心医院</w:t>
      </w:r>
    </w:p>
    <w:p w14:paraId="784645C4">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2、联系人及联系方式：张思远 15115875288</w:t>
      </w:r>
    </w:p>
    <w:p w14:paraId="1CA443C1">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3、采购人地址：娄底市长青中街51号</w:t>
      </w:r>
    </w:p>
    <w:p w14:paraId="4EBF1671">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六、投标须知</w:t>
      </w:r>
    </w:p>
    <w:p w14:paraId="0C11F4A7">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1、否决投标的情形：</w:t>
      </w:r>
    </w:p>
    <w:p w14:paraId="65DB1185">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1.1、投标人以他人名义投标、串通投标、以行贿手段谋取中标的；</w:t>
      </w:r>
    </w:p>
    <w:p w14:paraId="57EBE3A6">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1.2、资格评审时，投标人资格条件不符合国家有关规定或者文件要求的，或者拒不按照要求对投标文件进行澄清、说明或补正，或者其说明补正无法证明其为合格投标人的；</w:t>
      </w:r>
    </w:p>
    <w:p w14:paraId="3D174B2F">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1.3、评标委员会认定投标人以低于成本报价竞标的；</w:t>
      </w:r>
    </w:p>
    <w:p w14:paraId="1F35927C">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1.4、投标人未按照要求出席开标会的；</w:t>
      </w:r>
    </w:p>
    <w:p w14:paraId="7D55C5BD">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1.5、投标报价有错误的，评标委员会将要求投标人作出书面澄清说明和确认，投标人拒不作出澄清说明和确认的；</w:t>
      </w:r>
    </w:p>
    <w:p w14:paraId="32976E44">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1.6、投标文件存在弄虚作假或者隐瞒事实，或者未按照文件要求如实提供有关情况和文件，以及证明资料且对投标人有利的，应当否决其投标。被列为中标候选人的，应当取消其中标候选人资格。</w:t>
      </w:r>
    </w:p>
    <w:p w14:paraId="34CEDBE2">
      <w:pPr>
        <w:pStyle w:val="16"/>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heme="minorEastAsia" w:hAnsiTheme="minorEastAsia" w:eastAsiaTheme="minorEastAsia" w:cstheme="minorEastAsia"/>
          <w:b w:val="0"/>
          <w:bCs/>
          <w:color w:val="auto"/>
          <w:sz w:val="24"/>
          <w:szCs w:val="24"/>
          <w:lang w:val="en-US" w:eastAsia="zh-CN" w:bidi="ar-SA"/>
        </w:rPr>
      </w:pPr>
      <w:r>
        <w:rPr>
          <w:rFonts w:hint="eastAsia" w:asciiTheme="minorEastAsia" w:hAnsiTheme="minorEastAsia" w:eastAsiaTheme="minorEastAsia" w:cstheme="minorEastAsia"/>
          <w:b w:val="0"/>
          <w:bCs/>
          <w:color w:val="auto"/>
          <w:sz w:val="24"/>
          <w:szCs w:val="24"/>
          <w:lang w:val="en-US" w:eastAsia="zh-CN" w:bidi="ar-SA"/>
        </w:rPr>
        <w:t>1.7、技术参数负偏离大于5条的。</w:t>
      </w:r>
    </w:p>
    <w:p w14:paraId="02D4F01A">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2、有下列情形之一的，采购人将重新挂网采购：</w:t>
      </w:r>
    </w:p>
    <w:p w14:paraId="4BBE2240">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2.1、投标截止时间止，投标人少于3家的；</w:t>
      </w:r>
    </w:p>
    <w:p w14:paraId="2EACB202">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2.2、经评标委员会评审后，符合资格审查的投标人少于3家的。</w:t>
      </w:r>
    </w:p>
    <w:p w14:paraId="12F0A2BC">
      <w:pPr>
        <w:pStyle w:val="16"/>
        <w:rPr>
          <w:rFonts w:hint="eastAsia"/>
          <w:lang w:val="en-US" w:eastAsia="zh-CN"/>
        </w:rPr>
      </w:pPr>
    </w:p>
    <w:p w14:paraId="580E4949">
      <w:pPr>
        <w:pStyle w:val="16"/>
        <w:jc w:val="both"/>
        <w:rPr>
          <w:rFonts w:hint="default"/>
          <w:lang w:val="en-US" w:eastAsia="zh-CN"/>
        </w:rPr>
      </w:pPr>
    </w:p>
    <w:p w14:paraId="3F0337F1">
      <w:pPr>
        <w:pStyle w:val="15"/>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p>
    <w:p w14:paraId="02CC6FF2">
      <w:pPr>
        <w:pStyle w:val="15"/>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p>
    <w:p w14:paraId="7EFEA6B2">
      <w:pPr>
        <w:pStyle w:val="16"/>
        <w:rPr>
          <w:rFonts w:hint="eastAsia" w:ascii="宋体" w:hAnsi="宋体" w:cs="宋体"/>
          <w:b/>
          <w:bCs/>
          <w:color w:val="auto"/>
          <w:sz w:val="44"/>
          <w:szCs w:val="44"/>
          <w:lang w:val="en-US" w:eastAsia="zh-CN"/>
        </w:rPr>
      </w:pPr>
    </w:p>
    <w:p w14:paraId="0FCE0BE5">
      <w:pPr>
        <w:pStyle w:val="9"/>
        <w:rPr>
          <w:rFonts w:hint="eastAsia" w:ascii="宋体" w:hAnsi="宋体" w:cs="宋体"/>
          <w:b/>
          <w:bCs/>
          <w:color w:val="auto"/>
          <w:sz w:val="44"/>
          <w:szCs w:val="44"/>
          <w:lang w:val="en-US" w:eastAsia="zh-CN"/>
        </w:rPr>
      </w:pPr>
    </w:p>
    <w:p w14:paraId="44605275">
      <w:pPr>
        <w:rPr>
          <w:rFonts w:hint="eastAsia" w:ascii="宋体" w:hAnsi="宋体" w:cs="宋体"/>
          <w:b/>
          <w:bCs/>
          <w:color w:val="auto"/>
          <w:sz w:val="44"/>
          <w:szCs w:val="44"/>
          <w:lang w:val="en-US" w:eastAsia="zh-CN"/>
        </w:rPr>
      </w:pPr>
    </w:p>
    <w:p w14:paraId="2E1D6141">
      <w:pPr>
        <w:pStyle w:val="14"/>
        <w:rPr>
          <w:rFonts w:hint="eastAsia"/>
          <w:lang w:val="en-US" w:eastAsia="zh-CN"/>
        </w:rPr>
      </w:pPr>
    </w:p>
    <w:p w14:paraId="0E1CA901">
      <w:pPr>
        <w:rPr>
          <w:rFonts w:hint="eastAsia"/>
          <w:lang w:val="en-US" w:eastAsia="zh-CN"/>
        </w:rPr>
      </w:pPr>
      <w:r>
        <w:rPr>
          <w:rFonts w:hint="eastAsia"/>
          <w:lang w:val="en-US" w:eastAsia="zh-CN"/>
        </w:rPr>
        <w:br w:type="page"/>
      </w:r>
    </w:p>
    <w:p w14:paraId="43F3F7C4">
      <w:pPr>
        <w:pStyle w:val="15"/>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r>
        <w:rPr>
          <w:rFonts w:hint="eastAsia" w:ascii="宋体" w:hAnsi="宋体" w:cs="宋体"/>
          <w:b/>
          <w:bCs/>
          <w:color w:val="auto"/>
          <w:sz w:val="44"/>
          <w:szCs w:val="44"/>
          <w:lang w:val="en-US" w:eastAsia="zh-CN"/>
        </w:rPr>
        <w:t>第二章采购需求</w:t>
      </w:r>
    </w:p>
    <w:p w14:paraId="46A15746">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一、采购清单、采购项目交付或者实施的时间和地点</w:t>
      </w:r>
    </w:p>
    <w:p w14:paraId="2C2AFACE">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1.采购项目</w:t>
      </w:r>
    </w:p>
    <w:tbl>
      <w:tblPr>
        <w:tblStyle w:val="10"/>
        <w:tblW w:w="9613" w:type="dxa"/>
        <w:jc w:val="center"/>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15" w:type="dxa"/>
          <w:left w:w="15" w:type="dxa"/>
          <w:bottom w:w="15" w:type="dxa"/>
          <w:right w:w="15" w:type="dxa"/>
        </w:tblCellMar>
      </w:tblPr>
      <w:tblGrid>
        <w:gridCol w:w="958"/>
        <w:gridCol w:w="2370"/>
        <w:gridCol w:w="1665"/>
        <w:gridCol w:w="2310"/>
        <w:gridCol w:w="2310"/>
      </w:tblGrid>
      <w:tr w14:paraId="3C704D43">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70"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7A8E5AC9">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序号</w:t>
            </w:r>
          </w:p>
        </w:tc>
        <w:tc>
          <w:tcPr>
            <w:tcW w:w="237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17E26F2E">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lang w:eastAsia="zh-CN"/>
              </w:rPr>
              <w:t>配件</w:t>
            </w:r>
            <w:r>
              <w:rPr>
                <w:rFonts w:hint="eastAsia" w:asciiTheme="minorEastAsia" w:hAnsiTheme="minorEastAsia" w:eastAsiaTheme="minorEastAsia" w:cstheme="minorEastAsia"/>
                <w:kern w:val="2"/>
                <w:sz w:val="24"/>
                <w:szCs w:val="24"/>
              </w:rPr>
              <w:t>名称</w:t>
            </w:r>
          </w:p>
        </w:tc>
        <w:tc>
          <w:tcPr>
            <w:tcW w:w="166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0BC8F8A3">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数量</w:t>
            </w:r>
            <w:r>
              <w:rPr>
                <w:rFonts w:hint="eastAsia" w:asciiTheme="minorEastAsia" w:hAnsiTheme="minorEastAsia" w:eastAsiaTheme="minorEastAsia" w:cstheme="minorEastAsia"/>
                <w:sz w:val="24"/>
                <w:szCs w:val="24"/>
              </w:rPr>
              <w:t>(台/套)</w:t>
            </w: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14:paraId="0F4744D9">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预算</w:t>
            </w:r>
            <w:r>
              <w:rPr>
                <w:rFonts w:hint="eastAsia" w:asciiTheme="minorEastAsia" w:hAnsiTheme="minorEastAsia" w:eastAsiaTheme="minorEastAsia" w:cstheme="minorEastAsia"/>
                <w:kern w:val="2"/>
                <w:sz w:val="24"/>
                <w:szCs w:val="24"/>
                <w:lang w:eastAsia="zh-CN"/>
              </w:rPr>
              <w:t>总</w:t>
            </w:r>
            <w:r>
              <w:rPr>
                <w:rFonts w:hint="eastAsia" w:asciiTheme="minorEastAsia" w:hAnsiTheme="minorEastAsia" w:eastAsiaTheme="minorEastAsia" w:cstheme="minorEastAsia"/>
                <w:kern w:val="2"/>
                <w:sz w:val="24"/>
                <w:szCs w:val="24"/>
              </w:rPr>
              <w:t>价（万元）</w:t>
            </w: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14:paraId="0B61A05B">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lang w:val="en-US" w:eastAsia="zh-CN"/>
              </w:rPr>
              <w:t>是否允许进口产品</w:t>
            </w:r>
          </w:p>
        </w:tc>
      </w:tr>
      <w:tr w14:paraId="2690ACF6">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481"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2EA6032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1</w:t>
            </w:r>
          </w:p>
        </w:tc>
        <w:tc>
          <w:tcPr>
            <w:tcW w:w="237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605656B6">
            <w:pPr>
              <w:keepNext w:val="0"/>
              <w:keepLines w:val="0"/>
              <w:widowControl/>
              <w:suppressLineNumbers w:val="0"/>
              <w:jc w:val="center"/>
              <w:textAlignment w:val="center"/>
              <w:rPr>
                <w:rFonts w:hint="default" w:asciiTheme="minorEastAsia" w:hAnsiTheme="minorEastAsia" w:eastAsiaTheme="minorEastAsia" w:cstheme="minorEastAsia"/>
                <w:kern w:val="2"/>
                <w:sz w:val="24"/>
                <w:szCs w:val="24"/>
                <w:lang w:val="en-US" w:eastAsia="zh-CN" w:bidi="ar-SA"/>
              </w:rPr>
            </w:pPr>
            <w:r>
              <w:rPr>
                <w:rFonts w:hint="eastAsia" w:ascii="宋体" w:hAnsi="宋体" w:cs="宋体"/>
                <w:i w:val="0"/>
                <w:iCs w:val="0"/>
                <w:color w:val="000000"/>
                <w:kern w:val="0"/>
                <w:sz w:val="24"/>
                <w:szCs w:val="24"/>
                <w:u w:val="none"/>
                <w:lang w:val="en-US" w:eastAsia="zh-CN" w:bidi="ar"/>
              </w:rPr>
              <w:t>超声经颅多普勒血流分析仪</w:t>
            </w:r>
          </w:p>
        </w:tc>
        <w:tc>
          <w:tcPr>
            <w:tcW w:w="166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4D81A0B0">
            <w:pPr>
              <w:jc w:val="center"/>
              <w:rPr>
                <w:rFonts w:hint="eastAsia" w:asciiTheme="minorEastAsia" w:hAnsiTheme="minorEastAsia" w:eastAsiaTheme="minorEastAsia" w:cstheme="minorEastAsia"/>
                <w:kern w:val="2"/>
                <w:sz w:val="24"/>
                <w:szCs w:val="24"/>
                <w:lang w:val="en-US" w:eastAsia="zh-CN"/>
              </w:rPr>
            </w:pPr>
            <w:r>
              <w:rPr>
                <w:rFonts w:hint="eastAsia"/>
                <w:lang w:val="en-US" w:eastAsia="zh-CN"/>
              </w:rPr>
              <w:t>1台</w:t>
            </w: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14:paraId="65359A47">
            <w:pPr>
              <w:jc w:val="center"/>
              <w:rPr>
                <w:rFonts w:hint="default" w:asciiTheme="minorEastAsia" w:hAnsiTheme="minorEastAsia" w:eastAsiaTheme="minorEastAsia" w:cstheme="minorEastAsia"/>
                <w:kern w:val="2"/>
                <w:sz w:val="24"/>
                <w:szCs w:val="24"/>
                <w:lang w:val="en-US" w:eastAsia="zh-CN"/>
              </w:rPr>
            </w:pPr>
            <w:r>
              <w:rPr>
                <w:rFonts w:hint="eastAsia"/>
                <w:lang w:val="en-US" w:eastAsia="zh-CN"/>
              </w:rPr>
              <w:t>25</w:t>
            </w: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14:paraId="3772615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否</w:t>
            </w:r>
          </w:p>
        </w:tc>
      </w:tr>
    </w:tbl>
    <w:p w14:paraId="5E36B49A">
      <w:pPr>
        <w:spacing w:line="360" w:lineRule="auto"/>
        <w:rPr>
          <w:rFonts w:hint="eastAsia" w:asciiTheme="minorEastAsia" w:hAnsiTheme="minorEastAsia" w:eastAsiaTheme="minorEastAsia" w:cstheme="minorEastAsia"/>
          <w:bCs/>
          <w:color w:val="auto"/>
          <w:kern w:val="0"/>
          <w:sz w:val="24"/>
          <w:szCs w:val="24"/>
          <w:lang w:val="en-US" w:eastAsia="zh-CN" w:bidi="ar-SA"/>
        </w:rPr>
      </w:pPr>
    </w:p>
    <w:p w14:paraId="5D901636">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2、服务时间：双方签订合同时具体约定。</w:t>
      </w:r>
    </w:p>
    <w:p w14:paraId="57D43378">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3、服务地点：娄底市中心医院。</w:t>
      </w:r>
    </w:p>
    <w:p w14:paraId="579476C9">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二、项目内容及要求</w:t>
      </w:r>
    </w:p>
    <w:p w14:paraId="582D7F90">
      <w:pPr>
        <w:spacing w:line="360" w:lineRule="auto"/>
        <w:ind w:firstLine="482" w:firstLineChars="200"/>
        <w:rPr>
          <w:rFonts w:hint="eastAsia" w:asciiTheme="minorEastAsia" w:hAnsiTheme="minorEastAsia" w:eastAsiaTheme="minorEastAsia" w:cstheme="minorEastAsia"/>
          <w:b/>
          <w:bCs w:val="0"/>
          <w:color w:val="auto"/>
          <w:kern w:val="0"/>
          <w:sz w:val="24"/>
          <w:szCs w:val="24"/>
          <w:lang w:val="en-US" w:eastAsia="zh-CN" w:bidi="ar-SA"/>
        </w:rPr>
      </w:pPr>
      <w:r>
        <w:rPr>
          <w:rFonts w:hint="eastAsia" w:asciiTheme="minorEastAsia" w:hAnsiTheme="minorEastAsia" w:eastAsiaTheme="minorEastAsia" w:cstheme="minorEastAsia"/>
          <w:b/>
          <w:bCs w:val="0"/>
          <w:color w:val="auto"/>
          <w:kern w:val="0"/>
          <w:sz w:val="24"/>
          <w:szCs w:val="24"/>
          <w:lang w:val="en-US" w:eastAsia="zh-CN" w:bidi="ar-SA"/>
        </w:rPr>
        <w:t>技术参数：</w:t>
      </w:r>
    </w:p>
    <w:p w14:paraId="0FE8D1EE">
      <w:pPr>
        <w:spacing w:line="360" w:lineRule="auto"/>
        <w:ind w:firstLine="480" w:firstLineChars="200"/>
        <w:rPr>
          <w:rFonts w:hint="eastAsia" w:ascii="宋体" w:hAnsi="宋体"/>
          <w:sz w:val="24"/>
          <w:szCs w:val="24"/>
        </w:rPr>
      </w:pPr>
      <w:r>
        <w:rPr>
          <w:rFonts w:hint="eastAsia" w:ascii="宋体" w:hAnsi="宋体"/>
          <w:sz w:val="24"/>
          <w:szCs w:val="24"/>
        </w:rPr>
        <w:t>1、主要技术规格及系统参数</w:t>
      </w:r>
    </w:p>
    <w:p w14:paraId="38D88042">
      <w:pPr>
        <w:spacing w:line="360" w:lineRule="auto"/>
        <w:ind w:firstLine="480" w:firstLineChars="200"/>
        <w:rPr>
          <w:rFonts w:hint="eastAsia" w:ascii="宋体" w:hAnsi="宋体"/>
          <w:sz w:val="24"/>
          <w:szCs w:val="24"/>
        </w:rPr>
      </w:pPr>
      <w:r>
        <w:rPr>
          <w:rFonts w:hint="eastAsia" w:ascii="宋体" w:hAnsi="宋体"/>
          <w:sz w:val="24"/>
          <w:szCs w:val="24"/>
        </w:rPr>
        <w:t>1.1、频谱分辨率：64点、128点、256点、512点、1024点、2048点；</w:t>
      </w:r>
    </w:p>
    <w:p w14:paraId="4AEEBFB2">
      <w:pPr>
        <w:spacing w:line="360" w:lineRule="auto"/>
        <w:ind w:firstLine="480" w:firstLineChars="200"/>
        <w:rPr>
          <w:rFonts w:hint="eastAsia" w:ascii="宋体" w:hAnsi="宋体"/>
          <w:sz w:val="24"/>
          <w:szCs w:val="24"/>
        </w:rPr>
      </w:pPr>
      <w:r>
        <w:rPr>
          <w:rFonts w:hint="eastAsia" w:ascii="宋体" w:hAnsi="宋体"/>
          <w:sz w:val="24"/>
          <w:szCs w:val="24"/>
        </w:rPr>
        <w:t>1.2、取样容积：1-20 mm连续可调；</w:t>
      </w:r>
    </w:p>
    <w:p w14:paraId="635FFE3C">
      <w:pPr>
        <w:spacing w:line="360" w:lineRule="auto"/>
        <w:ind w:firstLine="480" w:firstLineChars="200"/>
        <w:rPr>
          <w:rFonts w:hint="eastAsia" w:ascii="宋体" w:hAnsi="宋体"/>
          <w:sz w:val="24"/>
          <w:szCs w:val="24"/>
        </w:rPr>
      </w:pPr>
      <w:r>
        <w:rPr>
          <w:rFonts w:hint="eastAsia" w:ascii="宋体" w:hAnsi="宋体"/>
          <w:sz w:val="24"/>
          <w:szCs w:val="24"/>
        </w:rPr>
        <w:t>1.3、探测深度范围:最小工作距离≤5mm，最大工作距离≥150mm；</w:t>
      </w:r>
    </w:p>
    <w:p w14:paraId="2CB18176">
      <w:pPr>
        <w:spacing w:line="360" w:lineRule="auto"/>
        <w:ind w:firstLine="480" w:firstLineChars="200"/>
        <w:rPr>
          <w:rFonts w:hint="eastAsia" w:ascii="宋体" w:hAnsi="宋体"/>
          <w:sz w:val="24"/>
          <w:szCs w:val="24"/>
        </w:rPr>
      </w:pPr>
      <w:r>
        <w:rPr>
          <w:rFonts w:hint="eastAsia" w:ascii="宋体" w:hAnsi="宋体"/>
          <w:sz w:val="24"/>
          <w:szCs w:val="24"/>
        </w:rPr>
        <w:t>1.4流速测量范围：1.6MHz探头在50mm深度时最大流速测量可达到760cm/s；</w:t>
      </w:r>
    </w:p>
    <w:p w14:paraId="34560EFB">
      <w:pPr>
        <w:spacing w:line="360" w:lineRule="auto"/>
        <w:ind w:firstLine="480" w:firstLineChars="200"/>
        <w:rPr>
          <w:rFonts w:hint="eastAsia" w:ascii="宋体" w:hAnsi="宋体"/>
          <w:sz w:val="24"/>
          <w:szCs w:val="24"/>
        </w:rPr>
      </w:pPr>
      <w:r>
        <w:rPr>
          <w:rFonts w:hint="eastAsia" w:ascii="宋体" w:hAnsi="宋体"/>
          <w:sz w:val="24"/>
          <w:szCs w:val="24"/>
        </w:rPr>
        <w:t>1.5、增益范围：≥48dB；</w:t>
      </w:r>
    </w:p>
    <w:p w14:paraId="5D7EC889">
      <w:pPr>
        <w:spacing w:line="360" w:lineRule="auto"/>
        <w:ind w:firstLine="480" w:firstLineChars="200"/>
        <w:rPr>
          <w:rFonts w:hint="eastAsia" w:ascii="宋体" w:hAnsi="宋体"/>
          <w:sz w:val="24"/>
          <w:szCs w:val="24"/>
        </w:rPr>
      </w:pPr>
      <w:r>
        <w:rPr>
          <w:rFonts w:hint="eastAsia" w:ascii="宋体" w:hAnsi="宋体"/>
          <w:sz w:val="24"/>
          <w:szCs w:val="24"/>
        </w:rPr>
        <w:t>1.6、滤波频率：支持0、50Hz、100Hz、200Hz、300Hz、400Hz、500Hz、600Hz、800Hz共9个档位；</w:t>
      </w:r>
    </w:p>
    <w:p w14:paraId="3FA74F7B">
      <w:pPr>
        <w:spacing w:line="360" w:lineRule="auto"/>
        <w:ind w:firstLine="480" w:firstLineChars="200"/>
        <w:rPr>
          <w:rFonts w:hint="eastAsia" w:ascii="宋体" w:hAnsi="宋体"/>
          <w:sz w:val="24"/>
          <w:szCs w:val="24"/>
        </w:rPr>
      </w:pPr>
      <w:r>
        <w:rPr>
          <w:rFonts w:hint="eastAsia" w:ascii="宋体" w:hAnsi="宋体"/>
          <w:sz w:val="24"/>
          <w:szCs w:val="24"/>
        </w:rPr>
        <w:t>1.7、主机内置≥15.6英寸触摸屏显示器；</w:t>
      </w:r>
    </w:p>
    <w:p w14:paraId="40D87DB5">
      <w:pPr>
        <w:spacing w:line="360" w:lineRule="auto"/>
        <w:ind w:firstLine="480" w:firstLineChars="200"/>
        <w:rPr>
          <w:rFonts w:hint="eastAsia" w:ascii="宋体" w:hAnsi="宋体"/>
          <w:sz w:val="24"/>
          <w:szCs w:val="24"/>
        </w:rPr>
      </w:pPr>
      <w:r>
        <w:rPr>
          <w:rFonts w:hint="eastAsia" w:ascii="宋体" w:hAnsi="宋体"/>
          <w:sz w:val="24"/>
          <w:szCs w:val="24"/>
        </w:rPr>
        <w:t xml:space="preserve">1.8、电池：主机内置可充电蓄电池，电池容量≥6400mAh </w:t>
      </w:r>
    </w:p>
    <w:p w14:paraId="29BAB5AE">
      <w:pPr>
        <w:spacing w:line="360" w:lineRule="auto"/>
        <w:ind w:firstLine="480" w:firstLineChars="200"/>
        <w:rPr>
          <w:rFonts w:hint="eastAsia" w:ascii="宋体" w:hAnsi="宋体"/>
          <w:sz w:val="24"/>
          <w:szCs w:val="24"/>
        </w:rPr>
      </w:pPr>
      <w:r>
        <w:rPr>
          <w:rFonts w:hint="eastAsia" w:ascii="宋体" w:hAnsi="宋体"/>
          <w:sz w:val="24"/>
          <w:szCs w:val="24"/>
        </w:rPr>
        <w:t>1.9、便携式主机</w:t>
      </w:r>
    </w:p>
    <w:p w14:paraId="5A63AA40">
      <w:pPr>
        <w:spacing w:line="360" w:lineRule="auto"/>
        <w:ind w:firstLine="480" w:firstLineChars="200"/>
        <w:rPr>
          <w:rFonts w:hint="eastAsia" w:ascii="宋体" w:hAnsi="宋体"/>
          <w:sz w:val="24"/>
          <w:szCs w:val="24"/>
        </w:rPr>
      </w:pPr>
      <w:r>
        <w:rPr>
          <w:rFonts w:hint="eastAsia" w:ascii="宋体" w:hAnsi="宋体"/>
          <w:sz w:val="24"/>
          <w:szCs w:val="24"/>
        </w:rPr>
        <w:t>2 、软件功能</w:t>
      </w:r>
    </w:p>
    <w:p w14:paraId="0DA67C8A">
      <w:pPr>
        <w:spacing w:line="360" w:lineRule="auto"/>
        <w:ind w:firstLine="480" w:firstLineChars="200"/>
        <w:rPr>
          <w:rFonts w:hint="eastAsia" w:ascii="宋体" w:hAnsi="宋体"/>
          <w:sz w:val="24"/>
          <w:szCs w:val="24"/>
        </w:rPr>
      </w:pPr>
      <w:r>
        <w:rPr>
          <w:rFonts w:hint="eastAsia" w:ascii="宋体" w:hAnsi="宋体"/>
          <w:sz w:val="24"/>
          <w:szCs w:val="24"/>
        </w:rPr>
        <w:t>2.1 、检测参数：Vs、Vm、Vd、PI、RI、S/D、HR、a、频宽指数（SBI）、狭窄指数（STI）、短暂高强度信号（HITS）、热指数（TI）；</w:t>
      </w:r>
    </w:p>
    <w:p w14:paraId="3419BD33">
      <w:pPr>
        <w:spacing w:line="360" w:lineRule="auto"/>
        <w:ind w:firstLine="480" w:firstLineChars="200"/>
        <w:rPr>
          <w:rFonts w:hint="eastAsia" w:ascii="宋体" w:hAnsi="宋体"/>
          <w:sz w:val="24"/>
          <w:szCs w:val="24"/>
        </w:rPr>
      </w:pPr>
      <w:r>
        <w:rPr>
          <w:rFonts w:hint="eastAsia" w:ascii="宋体" w:hAnsi="宋体"/>
          <w:sz w:val="24"/>
          <w:szCs w:val="24"/>
        </w:rPr>
        <w:t>2.2、支持测量方式：两点测量、三点测量、H测量、直线测量、DFI测量、钉子波测量；</w:t>
      </w:r>
    </w:p>
    <w:p w14:paraId="7C972823">
      <w:pPr>
        <w:spacing w:line="360" w:lineRule="auto"/>
        <w:ind w:firstLine="480" w:firstLineChars="200"/>
        <w:rPr>
          <w:rFonts w:hint="eastAsia" w:ascii="宋体" w:hAnsi="宋体"/>
          <w:sz w:val="24"/>
          <w:szCs w:val="24"/>
        </w:rPr>
      </w:pPr>
      <w:r>
        <w:rPr>
          <w:rFonts w:hint="eastAsia" w:ascii="宋体" w:hAnsi="宋体"/>
          <w:sz w:val="24"/>
          <w:szCs w:val="24"/>
        </w:rPr>
        <w:t>2.3、同时工作通道数：支持单通道、双通道；</w:t>
      </w:r>
    </w:p>
    <w:p w14:paraId="39E79833">
      <w:pPr>
        <w:spacing w:line="360" w:lineRule="auto"/>
        <w:ind w:firstLine="480" w:firstLineChars="200"/>
        <w:rPr>
          <w:rFonts w:hint="eastAsia" w:ascii="宋体" w:hAnsi="宋体"/>
          <w:sz w:val="24"/>
          <w:szCs w:val="24"/>
        </w:rPr>
      </w:pPr>
      <w:r>
        <w:rPr>
          <w:rFonts w:hint="eastAsia" w:ascii="宋体" w:hAnsi="宋体"/>
          <w:sz w:val="24"/>
          <w:szCs w:val="24"/>
        </w:rPr>
        <w:t>2.4、常规检测模式下， 单个探头能够支持同步显示的多普勒频谱图≥9个，同时多深度间隔可设置，各频谱既可单独调节深度又可联动调节深度；</w:t>
      </w:r>
    </w:p>
    <w:p w14:paraId="712EFFFD">
      <w:pPr>
        <w:spacing w:line="360" w:lineRule="auto"/>
        <w:ind w:firstLine="480" w:firstLineChars="200"/>
        <w:rPr>
          <w:rFonts w:hint="eastAsia" w:ascii="宋体" w:hAnsi="宋体"/>
          <w:sz w:val="24"/>
          <w:szCs w:val="24"/>
        </w:rPr>
      </w:pPr>
      <w:r>
        <w:rPr>
          <w:rFonts w:hint="eastAsia" w:ascii="宋体" w:hAnsi="宋体"/>
          <w:sz w:val="24"/>
          <w:szCs w:val="24"/>
        </w:rPr>
        <w:t>2.5、双通12深：双通道每通道可同时显示 6个深度图谱；各频谱既可单独调节深度又可联动调节深度；</w:t>
      </w:r>
    </w:p>
    <w:p w14:paraId="4D892459">
      <w:pPr>
        <w:spacing w:line="360" w:lineRule="auto"/>
        <w:ind w:firstLine="480" w:firstLineChars="200"/>
        <w:rPr>
          <w:rFonts w:hint="eastAsia" w:ascii="宋体" w:hAnsi="宋体"/>
          <w:sz w:val="24"/>
          <w:szCs w:val="24"/>
        </w:rPr>
      </w:pPr>
      <w:r>
        <w:rPr>
          <w:rFonts w:hint="eastAsia" w:ascii="宋体" w:hAnsi="宋体"/>
          <w:sz w:val="24"/>
          <w:szCs w:val="24"/>
        </w:rPr>
        <w:t>2.6、多深度动态M波功能：可视取样容积宽度、深度，全深度内血流的流向、强度、深度信息同时显示；</w:t>
      </w:r>
    </w:p>
    <w:p w14:paraId="551F9D57">
      <w:pPr>
        <w:spacing w:line="360" w:lineRule="auto"/>
        <w:ind w:firstLine="480" w:firstLineChars="200"/>
        <w:rPr>
          <w:rFonts w:hint="eastAsia" w:ascii="宋体" w:hAnsi="宋体"/>
          <w:sz w:val="24"/>
          <w:szCs w:val="24"/>
        </w:rPr>
      </w:pPr>
      <w:r>
        <w:rPr>
          <w:rFonts w:hint="eastAsia" w:ascii="宋体" w:hAnsi="宋体"/>
          <w:sz w:val="24"/>
          <w:szCs w:val="24"/>
        </w:rPr>
        <w:t>2.7、异常血流提醒功能：颜色提醒、闪烁提醒、语音播报提醒；</w:t>
      </w:r>
    </w:p>
    <w:p w14:paraId="32FB4A6C">
      <w:pPr>
        <w:spacing w:line="360" w:lineRule="auto"/>
        <w:ind w:firstLine="480" w:firstLineChars="200"/>
        <w:rPr>
          <w:rFonts w:hint="eastAsia" w:ascii="宋体" w:hAnsi="宋体"/>
          <w:sz w:val="24"/>
          <w:szCs w:val="24"/>
        </w:rPr>
      </w:pPr>
      <w:r>
        <w:rPr>
          <w:rFonts w:hint="eastAsia" w:ascii="宋体" w:hAnsi="宋体"/>
          <w:sz w:val="24"/>
          <w:szCs w:val="24"/>
        </w:rPr>
        <w:t>2.8、具备辅助规范化检测动脉功能，图像化显示至少41支血管的多维度参考依据（解剖位置、深度范围、探头角度等）；</w:t>
      </w:r>
    </w:p>
    <w:p w14:paraId="2374BBBE">
      <w:pPr>
        <w:spacing w:line="360" w:lineRule="auto"/>
        <w:ind w:firstLine="480" w:firstLineChars="200"/>
        <w:rPr>
          <w:rFonts w:hint="eastAsia" w:ascii="宋体" w:hAnsi="宋体"/>
          <w:sz w:val="24"/>
          <w:szCs w:val="24"/>
        </w:rPr>
      </w:pPr>
      <w:r>
        <w:rPr>
          <w:rFonts w:hint="eastAsia" w:ascii="宋体" w:hAnsi="宋体"/>
          <w:sz w:val="24"/>
          <w:szCs w:val="24"/>
        </w:rPr>
        <w:t>2.9、具备侧支循环辅助引导模式，实时辅助引导的侧支循环通路25条以上，图像化、文字化引导流程、路径，提高评估效率及准确性；</w:t>
      </w:r>
    </w:p>
    <w:p w14:paraId="5AB8C8F8">
      <w:pPr>
        <w:spacing w:line="360" w:lineRule="auto"/>
        <w:ind w:firstLine="480" w:firstLineChars="200"/>
        <w:rPr>
          <w:rFonts w:hint="eastAsia" w:ascii="宋体" w:hAnsi="宋体"/>
          <w:sz w:val="24"/>
          <w:szCs w:val="24"/>
        </w:rPr>
      </w:pPr>
      <w:r>
        <w:rPr>
          <w:rFonts w:hint="eastAsia" w:ascii="宋体" w:hAnsi="宋体"/>
          <w:sz w:val="24"/>
          <w:szCs w:val="24"/>
        </w:rPr>
        <w:t>2.10、教学培训：软件内置专家教学视频，内容涵盖常规检测及脑循环监测；</w:t>
      </w:r>
    </w:p>
    <w:p w14:paraId="00A3633F">
      <w:pPr>
        <w:spacing w:line="360" w:lineRule="auto"/>
        <w:ind w:firstLine="480" w:firstLineChars="200"/>
        <w:rPr>
          <w:rFonts w:hint="eastAsia" w:ascii="宋体" w:hAnsi="宋体"/>
          <w:sz w:val="24"/>
          <w:szCs w:val="24"/>
        </w:rPr>
      </w:pPr>
      <w:r>
        <w:rPr>
          <w:rFonts w:hint="eastAsia" w:ascii="宋体" w:hAnsi="宋体"/>
          <w:sz w:val="24"/>
          <w:szCs w:val="24"/>
        </w:rPr>
        <w:t>2.11、自动优化：深度、标尺、增益、基线、降噪一键无线遥控控制，快速获得理想频谱；</w:t>
      </w:r>
    </w:p>
    <w:p w14:paraId="725B0526">
      <w:pPr>
        <w:spacing w:line="360" w:lineRule="auto"/>
        <w:ind w:firstLine="480" w:firstLineChars="200"/>
        <w:rPr>
          <w:rFonts w:hint="eastAsia" w:ascii="宋体" w:hAnsi="宋体"/>
          <w:sz w:val="24"/>
          <w:szCs w:val="24"/>
        </w:rPr>
      </w:pPr>
      <w:r>
        <w:rPr>
          <w:rFonts w:hint="eastAsia" w:ascii="宋体" w:hAnsi="宋体"/>
          <w:sz w:val="24"/>
          <w:szCs w:val="24"/>
        </w:rPr>
        <w:t>2.12、颈脑血管手术脑循环监测模块</w:t>
      </w:r>
    </w:p>
    <w:p w14:paraId="60B850F5">
      <w:pPr>
        <w:spacing w:line="360" w:lineRule="auto"/>
        <w:ind w:firstLine="480" w:firstLineChars="200"/>
        <w:rPr>
          <w:rFonts w:hint="eastAsia" w:ascii="宋体" w:hAnsi="宋体"/>
          <w:sz w:val="24"/>
          <w:szCs w:val="24"/>
        </w:rPr>
      </w:pPr>
      <w:r>
        <w:rPr>
          <w:rFonts w:hint="eastAsia" w:ascii="宋体" w:hAnsi="宋体"/>
          <w:sz w:val="24"/>
          <w:szCs w:val="24"/>
        </w:rPr>
        <w:t>(1)术前评估脑动脉侧支循环/窃血及脑血流灌注/代偿情况</w:t>
      </w:r>
    </w:p>
    <w:p w14:paraId="086AA5A2">
      <w:pPr>
        <w:spacing w:line="360" w:lineRule="auto"/>
        <w:ind w:firstLine="480" w:firstLineChars="200"/>
        <w:rPr>
          <w:rFonts w:hint="eastAsia" w:ascii="宋体" w:hAnsi="宋体"/>
          <w:sz w:val="24"/>
          <w:szCs w:val="24"/>
        </w:rPr>
      </w:pPr>
      <w:r>
        <w:rPr>
          <w:rFonts w:hint="eastAsia" w:ascii="宋体" w:hAnsi="宋体"/>
          <w:sz w:val="24"/>
          <w:szCs w:val="24"/>
        </w:rPr>
        <w:t>(2)术中术后实时预警低灌注、高灌注、栓子脱落</w:t>
      </w:r>
    </w:p>
    <w:p w14:paraId="2F492626">
      <w:pPr>
        <w:spacing w:line="360" w:lineRule="auto"/>
        <w:ind w:firstLine="480" w:firstLineChars="200"/>
        <w:rPr>
          <w:rFonts w:hint="eastAsia" w:ascii="宋体" w:hAnsi="宋体"/>
          <w:sz w:val="24"/>
          <w:szCs w:val="24"/>
        </w:rPr>
      </w:pPr>
      <w:r>
        <w:rPr>
          <w:rFonts w:hint="eastAsia" w:ascii="宋体" w:hAnsi="宋体"/>
          <w:sz w:val="24"/>
          <w:szCs w:val="24"/>
        </w:rPr>
        <w:t>2.13、神经重症脑循环监测模块</w:t>
      </w:r>
    </w:p>
    <w:p w14:paraId="56B2BCEC">
      <w:pPr>
        <w:spacing w:line="360" w:lineRule="auto"/>
        <w:ind w:firstLine="480" w:firstLineChars="200"/>
        <w:rPr>
          <w:rFonts w:hint="eastAsia" w:ascii="宋体" w:hAnsi="宋体"/>
          <w:sz w:val="24"/>
          <w:szCs w:val="24"/>
        </w:rPr>
      </w:pPr>
      <w:r>
        <w:rPr>
          <w:rFonts w:hint="eastAsia" w:ascii="宋体" w:hAnsi="宋体"/>
          <w:sz w:val="24"/>
          <w:szCs w:val="24"/>
        </w:rPr>
        <w:t>（1）辅助识别振荡波、钉子波</w:t>
      </w:r>
    </w:p>
    <w:p w14:paraId="3339A268">
      <w:pPr>
        <w:spacing w:line="360" w:lineRule="auto"/>
        <w:ind w:firstLine="480" w:firstLineChars="200"/>
        <w:rPr>
          <w:rFonts w:hint="eastAsia" w:ascii="宋体" w:hAnsi="宋体"/>
          <w:sz w:val="24"/>
          <w:szCs w:val="24"/>
        </w:rPr>
      </w:pPr>
      <w:r>
        <w:rPr>
          <w:rFonts w:hint="eastAsia" w:ascii="宋体" w:hAnsi="宋体"/>
          <w:sz w:val="24"/>
          <w:szCs w:val="24"/>
        </w:rPr>
        <w:t>（2）自动计算血流方向指数(DFI)、净剩血流速度(NFV)、自动计算尖小收缩峰峰值流速、收缩期持续时间</w:t>
      </w:r>
    </w:p>
    <w:p w14:paraId="6569CC3A">
      <w:pPr>
        <w:spacing w:line="360" w:lineRule="auto"/>
        <w:ind w:firstLine="480" w:firstLineChars="200"/>
        <w:rPr>
          <w:rFonts w:hint="eastAsia" w:ascii="宋体" w:hAnsi="宋体"/>
          <w:sz w:val="24"/>
          <w:szCs w:val="24"/>
        </w:rPr>
      </w:pPr>
      <w:r>
        <w:rPr>
          <w:rFonts w:hint="eastAsia" w:ascii="宋体" w:hAnsi="宋体"/>
          <w:sz w:val="24"/>
          <w:szCs w:val="24"/>
        </w:rPr>
        <w:t>（3）自动计算TCD颅内压值(TICP)</w:t>
      </w:r>
    </w:p>
    <w:p w14:paraId="434E15C4">
      <w:pPr>
        <w:spacing w:line="360" w:lineRule="auto"/>
        <w:ind w:firstLine="480" w:firstLineChars="200"/>
        <w:rPr>
          <w:rFonts w:hint="eastAsia" w:ascii="宋体" w:hAnsi="宋体"/>
          <w:sz w:val="24"/>
          <w:szCs w:val="24"/>
        </w:rPr>
      </w:pPr>
      <w:r>
        <w:rPr>
          <w:rFonts w:hint="eastAsia" w:ascii="宋体" w:hAnsi="宋体"/>
          <w:sz w:val="24"/>
          <w:szCs w:val="24"/>
        </w:rPr>
        <w:t>（4）自动计算Lindegaard指数，辅助判定蛛网膜下腔出血后脑血管痉挛发生及严重度</w:t>
      </w:r>
    </w:p>
    <w:p w14:paraId="23CA7B0B">
      <w:pPr>
        <w:spacing w:line="360" w:lineRule="auto"/>
        <w:ind w:firstLine="480" w:firstLineChars="200"/>
        <w:rPr>
          <w:rFonts w:hint="eastAsia" w:ascii="宋体" w:hAnsi="宋体"/>
          <w:sz w:val="24"/>
          <w:szCs w:val="24"/>
        </w:rPr>
      </w:pPr>
      <w:r>
        <w:rPr>
          <w:rFonts w:hint="eastAsia" w:ascii="宋体" w:hAnsi="宋体"/>
          <w:sz w:val="24"/>
          <w:szCs w:val="24"/>
        </w:rPr>
        <w:t>2.14、脑血流动力学监测模块</w:t>
      </w:r>
    </w:p>
    <w:p w14:paraId="0883BC6D">
      <w:pPr>
        <w:spacing w:line="360" w:lineRule="auto"/>
        <w:ind w:firstLine="480" w:firstLineChars="200"/>
        <w:rPr>
          <w:rFonts w:hint="eastAsia" w:ascii="宋体" w:hAnsi="宋体"/>
          <w:sz w:val="24"/>
          <w:szCs w:val="24"/>
        </w:rPr>
      </w:pPr>
      <w:r>
        <w:rPr>
          <w:rFonts w:hint="eastAsia" w:ascii="宋体" w:hAnsi="宋体"/>
          <w:sz w:val="24"/>
          <w:szCs w:val="24"/>
        </w:rPr>
        <w:t>自动计算屏气指数(BHI)、血流速度增快百分率(PCi)、血流自动调节指数(ARI)</w:t>
      </w:r>
    </w:p>
    <w:p w14:paraId="0408A6E7">
      <w:pPr>
        <w:spacing w:line="360" w:lineRule="auto"/>
        <w:ind w:firstLine="480" w:firstLineChars="200"/>
        <w:rPr>
          <w:rFonts w:hint="eastAsia" w:ascii="宋体" w:hAnsi="宋体"/>
          <w:sz w:val="24"/>
          <w:szCs w:val="24"/>
        </w:rPr>
      </w:pPr>
      <w:r>
        <w:rPr>
          <w:rFonts w:hint="eastAsia" w:ascii="宋体" w:hAnsi="宋体"/>
          <w:sz w:val="24"/>
          <w:szCs w:val="24"/>
        </w:rPr>
        <w:t>2.15、脑循环微栓子监测模块</w:t>
      </w:r>
    </w:p>
    <w:p w14:paraId="53AF9914">
      <w:pPr>
        <w:spacing w:line="360" w:lineRule="auto"/>
        <w:ind w:firstLine="480" w:firstLineChars="200"/>
        <w:rPr>
          <w:rFonts w:hint="eastAsia" w:ascii="宋体" w:hAnsi="宋体"/>
          <w:sz w:val="24"/>
          <w:szCs w:val="24"/>
        </w:rPr>
      </w:pPr>
      <w:r>
        <w:rPr>
          <w:rFonts w:hint="eastAsia" w:ascii="宋体" w:hAnsi="宋体"/>
          <w:sz w:val="24"/>
          <w:szCs w:val="24"/>
        </w:rPr>
        <w:t>（1）栓子和伪迹自动识别</w:t>
      </w:r>
    </w:p>
    <w:p w14:paraId="0338C556">
      <w:pPr>
        <w:spacing w:line="360" w:lineRule="auto"/>
        <w:ind w:firstLine="480" w:firstLineChars="200"/>
        <w:rPr>
          <w:rFonts w:hint="eastAsia" w:ascii="宋体" w:hAnsi="宋体"/>
          <w:sz w:val="24"/>
          <w:szCs w:val="24"/>
        </w:rPr>
      </w:pPr>
      <w:r>
        <w:rPr>
          <w:rFonts w:hint="eastAsia" w:ascii="宋体" w:hAnsi="宋体"/>
          <w:sz w:val="24"/>
          <w:szCs w:val="24"/>
        </w:rPr>
        <w:t>（2）M-模监测微栓子高强度轨迹功能</w:t>
      </w:r>
    </w:p>
    <w:p w14:paraId="10A79F80">
      <w:pPr>
        <w:spacing w:line="360" w:lineRule="auto"/>
        <w:ind w:firstLine="480" w:firstLineChars="200"/>
        <w:rPr>
          <w:rFonts w:hint="eastAsia" w:ascii="宋体" w:hAnsi="宋体"/>
          <w:sz w:val="24"/>
          <w:szCs w:val="24"/>
        </w:rPr>
      </w:pPr>
      <w:r>
        <w:rPr>
          <w:rFonts w:hint="eastAsia" w:ascii="宋体" w:hAnsi="宋体"/>
          <w:sz w:val="24"/>
          <w:szCs w:val="24"/>
        </w:rPr>
        <w:t>（3）智能发泡结果分级</w:t>
      </w:r>
    </w:p>
    <w:p w14:paraId="38098E93">
      <w:pPr>
        <w:spacing w:line="360" w:lineRule="auto"/>
        <w:ind w:firstLine="480" w:firstLineChars="200"/>
        <w:rPr>
          <w:rFonts w:hint="eastAsia" w:ascii="宋体" w:hAnsi="宋体"/>
          <w:sz w:val="24"/>
          <w:szCs w:val="24"/>
        </w:rPr>
      </w:pPr>
      <w:r>
        <w:rPr>
          <w:rFonts w:hint="eastAsia" w:ascii="宋体" w:hAnsi="宋体"/>
          <w:sz w:val="24"/>
          <w:szCs w:val="24"/>
        </w:rPr>
        <w:t>（4）智能语音识别发泡试验</w:t>
      </w:r>
    </w:p>
    <w:p w14:paraId="22E9C48D">
      <w:pPr>
        <w:spacing w:line="360" w:lineRule="auto"/>
        <w:ind w:firstLine="480" w:firstLineChars="200"/>
        <w:rPr>
          <w:rFonts w:hint="eastAsia" w:ascii="宋体" w:hAnsi="宋体"/>
          <w:sz w:val="24"/>
          <w:szCs w:val="24"/>
        </w:rPr>
      </w:pPr>
      <w:r>
        <w:rPr>
          <w:rFonts w:hint="eastAsia" w:ascii="宋体" w:hAnsi="宋体"/>
          <w:sz w:val="24"/>
          <w:szCs w:val="24"/>
        </w:rPr>
        <w:t>（5）双向栓子计数</w:t>
      </w:r>
    </w:p>
    <w:p w14:paraId="6BE37243">
      <w:pPr>
        <w:spacing w:line="360" w:lineRule="auto"/>
        <w:ind w:firstLine="480" w:firstLineChars="200"/>
        <w:rPr>
          <w:rFonts w:hint="eastAsia" w:ascii="宋体" w:hAnsi="宋体"/>
          <w:sz w:val="24"/>
          <w:szCs w:val="24"/>
        </w:rPr>
      </w:pPr>
      <w:r>
        <w:rPr>
          <w:rFonts w:hint="eastAsia" w:ascii="宋体" w:hAnsi="宋体"/>
          <w:sz w:val="24"/>
          <w:szCs w:val="24"/>
        </w:rPr>
        <w:t>（6）栓子直方图统计单通道、双通道分别显示</w:t>
      </w:r>
    </w:p>
    <w:p w14:paraId="4B8104CC">
      <w:pPr>
        <w:spacing w:line="360" w:lineRule="auto"/>
        <w:ind w:firstLine="480" w:firstLineChars="200"/>
        <w:rPr>
          <w:rFonts w:hint="eastAsia" w:ascii="宋体" w:hAnsi="宋体"/>
          <w:sz w:val="24"/>
          <w:szCs w:val="24"/>
        </w:rPr>
      </w:pPr>
      <w:r>
        <w:rPr>
          <w:rFonts w:hint="eastAsia" w:ascii="宋体" w:hAnsi="宋体"/>
          <w:sz w:val="24"/>
          <w:szCs w:val="24"/>
        </w:rPr>
        <w:t>2.16、支持自定义检测血管参数，自定义检测流程；</w:t>
      </w:r>
    </w:p>
    <w:p w14:paraId="2AB7A449">
      <w:pPr>
        <w:spacing w:line="360" w:lineRule="auto"/>
        <w:ind w:firstLine="480" w:firstLineChars="200"/>
        <w:rPr>
          <w:rFonts w:hint="eastAsia" w:ascii="宋体" w:hAnsi="宋体"/>
          <w:sz w:val="24"/>
          <w:szCs w:val="24"/>
        </w:rPr>
      </w:pPr>
      <w:r>
        <w:rPr>
          <w:rFonts w:hint="eastAsia" w:ascii="宋体" w:hAnsi="宋体"/>
          <w:sz w:val="24"/>
          <w:szCs w:val="24"/>
        </w:rPr>
        <w:t>2.17、配备无线遥控器：可远距离无线操控，不受线缆束缚，具有自定义按键功能；</w:t>
      </w:r>
    </w:p>
    <w:p w14:paraId="2ED3D0E8">
      <w:pPr>
        <w:spacing w:line="360" w:lineRule="auto"/>
        <w:ind w:firstLine="480" w:firstLineChars="200"/>
        <w:rPr>
          <w:rFonts w:hint="eastAsia" w:ascii="宋体" w:hAnsi="宋体"/>
          <w:sz w:val="24"/>
          <w:szCs w:val="24"/>
        </w:rPr>
      </w:pPr>
      <w:r>
        <w:rPr>
          <w:rFonts w:hint="eastAsia" w:ascii="宋体" w:hAnsi="宋体"/>
          <w:sz w:val="24"/>
          <w:szCs w:val="24"/>
        </w:rPr>
        <w:t>2.18、离线数据分析功能：可在检查结束后再对数据进行计算、测量、出报告；</w:t>
      </w:r>
    </w:p>
    <w:p w14:paraId="22081EF8">
      <w:pPr>
        <w:spacing w:line="360" w:lineRule="auto"/>
        <w:ind w:firstLine="480" w:firstLineChars="200"/>
        <w:rPr>
          <w:rFonts w:hint="eastAsia" w:ascii="宋体" w:hAnsi="宋体"/>
          <w:sz w:val="24"/>
          <w:szCs w:val="24"/>
        </w:rPr>
      </w:pPr>
      <w:r>
        <w:rPr>
          <w:rFonts w:hint="eastAsia" w:ascii="宋体" w:hAnsi="宋体"/>
          <w:sz w:val="24"/>
          <w:szCs w:val="24"/>
        </w:rPr>
        <w:t>2.19、报告单功能：多种模板选择、模板自定义、支持BMP、JPG、PNG、PDF等多种报告格式、血管批量导入报告单、词条可编辑导入或导出、快速出报告单（从检查页面直接出报告单）、从病案界面直接出报告单；</w:t>
      </w:r>
    </w:p>
    <w:p w14:paraId="0B6A0C6E">
      <w:pPr>
        <w:spacing w:line="360" w:lineRule="auto"/>
        <w:ind w:firstLine="480" w:firstLineChars="200"/>
        <w:rPr>
          <w:rFonts w:hint="eastAsia" w:ascii="宋体" w:hAnsi="宋体"/>
          <w:sz w:val="24"/>
          <w:szCs w:val="24"/>
        </w:rPr>
      </w:pPr>
      <w:r>
        <w:rPr>
          <w:rFonts w:hint="eastAsia" w:ascii="宋体" w:hAnsi="宋体"/>
          <w:sz w:val="24"/>
          <w:szCs w:val="24"/>
        </w:rPr>
        <w:t>2.20、数据管理：数据导入及导出、数据检索、数据分类统计等；</w:t>
      </w:r>
    </w:p>
    <w:p w14:paraId="34A43490">
      <w:pPr>
        <w:spacing w:line="360" w:lineRule="auto"/>
        <w:ind w:firstLine="480" w:firstLineChars="200"/>
        <w:rPr>
          <w:rFonts w:hint="eastAsia" w:ascii="宋体" w:hAnsi="宋体"/>
          <w:sz w:val="24"/>
          <w:szCs w:val="24"/>
        </w:rPr>
      </w:pPr>
      <w:r>
        <w:rPr>
          <w:rFonts w:hint="eastAsia" w:ascii="宋体" w:hAnsi="宋体"/>
          <w:sz w:val="24"/>
          <w:szCs w:val="24"/>
        </w:rPr>
        <w:t>2.21、参数双向自动计算，并支持手动测量保存数据；</w:t>
      </w:r>
    </w:p>
    <w:p w14:paraId="0D5F6149">
      <w:pPr>
        <w:spacing w:line="360" w:lineRule="auto"/>
        <w:ind w:firstLine="480" w:firstLineChars="200"/>
        <w:rPr>
          <w:rFonts w:hint="eastAsia" w:ascii="宋体" w:hAnsi="宋体"/>
          <w:sz w:val="24"/>
          <w:szCs w:val="24"/>
        </w:rPr>
      </w:pPr>
      <w:r>
        <w:rPr>
          <w:rFonts w:hint="eastAsia" w:ascii="宋体" w:hAnsi="宋体"/>
          <w:sz w:val="24"/>
          <w:szCs w:val="24"/>
        </w:rPr>
        <w:t>2.22、支持DICOM3.0网络接口，可连接医院网络，PACS系统；</w:t>
      </w:r>
    </w:p>
    <w:p w14:paraId="3BEEFA43">
      <w:pPr>
        <w:spacing w:line="360" w:lineRule="auto"/>
        <w:ind w:firstLine="480" w:firstLineChars="200"/>
        <w:rPr>
          <w:rFonts w:hint="eastAsia" w:ascii="宋体" w:hAnsi="宋体"/>
          <w:sz w:val="24"/>
          <w:szCs w:val="24"/>
        </w:rPr>
      </w:pPr>
      <w:r>
        <w:rPr>
          <w:rFonts w:hint="eastAsia" w:ascii="宋体" w:hAnsi="宋体"/>
          <w:sz w:val="24"/>
          <w:szCs w:val="24"/>
        </w:rPr>
        <w:t>3、探头配置</w:t>
      </w:r>
    </w:p>
    <w:p w14:paraId="3B76DAB9">
      <w:pPr>
        <w:spacing w:line="360" w:lineRule="auto"/>
        <w:ind w:firstLine="480" w:firstLineChars="200"/>
        <w:rPr>
          <w:rFonts w:hint="eastAsia" w:ascii="宋体" w:hAnsi="宋体"/>
          <w:sz w:val="24"/>
          <w:szCs w:val="24"/>
        </w:rPr>
      </w:pPr>
      <w:r>
        <w:rPr>
          <w:rFonts w:hint="eastAsia" w:ascii="宋体" w:hAnsi="宋体" w:eastAsia="宋体" w:cs="Times New Roman"/>
          <w:kern w:val="0"/>
          <w:sz w:val="24"/>
          <w:szCs w:val="24"/>
          <w:lang w:val="en-US" w:eastAsia="zh-CN" w:bidi="ar-SA"/>
        </w:rPr>
        <w:t>★</w:t>
      </w:r>
      <w:bookmarkStart w:id="5" w:name="_GoBack"/>
      <w:bookmarkEnd w:id="5"/>
      <w:r>
        <w:rPr>
          <w:rFonts w:hint="eastAsia" w:ascii="宋体" w:hAnsi="宋体"/>
          <w:sz w:val="24"/>
          <w:szCs w:val="24"/>
        </w:rPr>
        <w:t>3.1、探头要求：PW 1.6M探头1个，CW/PW双模式4M探头1个，监护探头PW 2M探头2个；</w:t>
      </w:r>
    </w:p>
    <w:p w14:paraId="79A26617">
      <w:pPr>
        <w:spacing w:line="360" w:lineRule="auto"/>
        <w:ind w:firstLine="480" w:firstLineChars="200"/>
        <w:rPr>
          <w:rFonts w:hint="eastAsia" w:ascii="宋体" w:hAnsi="宋体"/>
          <w:sz w:val="24"/>
          <w:szCs w:val="24"/>
        </w:rPr>
      </w:pPr>
      <w:r>
        <w:rPr>
          <w:rFonts w:hint="eastAsia" w:ascii="宋体" w:hAnsi="宋体"/>
          <w:sz w:val="24"/>
          <w:szCs w:val="24"/>
        </w:rPr>
        <w:t>3.2、探头保护功能：具有探头自动休眠功能。</w:t>
      </w:r>
    </w:p>
    <w:p w14:paraId="2C47839A">
      <w:pPr>
        <w:spacing w:line="360" w:lineRule="auto"/>
        <w:ind w:firstLine="482" w:firstLineChars="200"/>
        <w:rPr>
          <w:rFonts w:hint="eastAsia" w:asciiTheme="minorEastAsia" w:hAnsiTheme="minorEastAsia" w:eastAsiaTheme="minorEastAsia" w:cstheme="minorEastAsia"/>
          <w:b/>
          <w:bCs w:val="0"/>
          <w:color w:val="auto"/>
          <w:kern w:val="0"/>
          <w:sz w:val="24"/>
          <w:szCs w:val="24"/>
          <w:lang w:val="en-US" w:eastAsia="zh-CN" w:bidi="ar-SA"/>
        </w:rPr>
      </w:pPr>
      <w:r>
        <w:rPr>
          <w:rFonts w:hint="eastAsia" w:asciiTheme="minorEastAsia" w:hAnsiTheme="minorEastAsia" w:eastAsiaTheme="minorEastAsia" w:cstheme="minorEastAsia"/>
          <w:b/>
          <w:bCs w:val="0"/>
          <w:color w:val="auto"/>
          <w:kern w:val="0"/>
          <w:sz w:val="24"/>
          <w:szCs w:val="24"/>
          <w:lang w:val="en-US" w:eastAsia="zh-CN" w:bidi="ar-SA"/>
        </w:rPr>
        <w:t>商务参数：</w:t>
      </w:r>
    </w:p>
    <w:p w14:paraId="2BBA746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Times New Roman"/>
          <w:kern w:val="0"/>
          <w:sz w:val="24"/>
          <w:szCs w:val="24"/>
          <w:lang w:val="en-US" w:eastAsia="zh-CN" w:bidi="ar-SA"/>
        </w:rPr>
      </w:pPr>
      <w:r>
        <w:rPr>
          <w:rFonts w:hint="eastAsia" w:ascii="宋体" w:hAnsi="宋体" w:eastAsia="宋体" w:cs="Times New Roman"/>
          <w:kern w:val="0"/>
          <w:sz w:val="24"/>
          <w:szCs w:val="24"/>
          <w:lang w:val="en-US" w:eastAsia="zh-CN" w:bidi="ar-SA"/>
        </w:rPr>
        <w:t>★1、运输、装卸、培训、安装调试：由中标人负责承担，最终通过使用科室、设备科及相关部门确认验收交付使用。国产设备交付，设备必须为6个月内生产的产品；进口设备交付，设备必须为一年内生产的产品。</w:t>
      </w:r>
    </w:p>
    <w:p w14:paraId="4A8E0B56">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Times New Roman"/>
          <w:kern w:val="0"/>
          <w:sz w:val="24"/>
          <w:szCs w:val="24"/>
          <w:lang w:val="en-US" w:eastAsia="zh-CN" w:bidi="ar-SA"/>
        </w:rPr>
      </w:pPr>
      <w:r>
        <w:rPr>
          <w:rFonts w:hint="eastAsia" w:ascii="宋体" w:hAnsi="宋体" w:eastAsia="宋体" w:cs="Times New Roman"/>
          <w:kern w:val="0"/>
          <w:sz w:val="24"/>
          <w:szCs w:val="24"/>
          <w:lang w:val="en-US" w:eastAsia="zh-CN" w:bidi="ar-SA"/>
        </w:rPr>
        <w:t>★2、交货时间：按合同约定的日期交货。</w:t>
      </w:r>
    </w:p>
    <w:p w14:paraId="6B35652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Times New Roman"/>
          <w:kern w:val="0"/>
          <w:sz w:val="24"/>
          <w:szCs w:val="24"/>
          <w:lang w:val="en-US" w:eastAsia="zh-CN" w:bidi="ar-SA"/>
        </w:rPr>
      </w:pPr>
      <w:r>
        <w:rPr>
          <w:rFonts w:hint="eastAsia" w:ascii="宋体" w:hAnsi="宋体" w:eastAsia="宋体" w:cs="Times New Roman"/>
          <w:kern w:val="0"/>
          <w:sz w:val="24"/>
          <w:szCs w:val="24"/>
          <w:lang w:val="en-US" w:eastAsia="zh-CN" w:bidi="ar-SA"/>
        </w:rPr>
        <w:t>★3、交货地点：娄底市中心医院指定地点。</w:t>
      </w:r>
    </w:p>
    <w:p w14:paraId="7ED1EF9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Times New Roman"/>
          <w:kern w:val="0"/>
          <w:sz w:val="24"/>
          <w:szCs w:val="24"/>
          <w:lang w:val="en-US" w:eastAsia="zh-CN" w:bidi="ar-SA"/>
        </w:rPr>
      </w:pPr>
      <w:r>
        <w:rPr>
          <w:rFonts w:hint="eastAsia" w:ascii="宋体" w:hAnsi="宋体" w:eastAsia="宋体" w:cs="Times New Roman"/>
          <w:kern w:val="0"/>
          <w:sz w:val="24"/>
          <w:szCs w:val="24"/>
          <w:lang w:val="en-US" w:eastAsia="zh-CN" w:bidi="ar-SA"/>
        </w:rPr>
        <w:t>★4、付款方式：设备验收合格后，供应商将发票交到娄底市中心医院后按程序支付货款90%（按医院财务制度一般情况下4个月内支付、特殊情况下最多不超过6个月），甲方在设备验收合格满3年后支付10%余款给乙方。</w:t>
      </w:r>
    </w:p>
    <w:p w14:paraId="576A610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Times New Roman"/>
          <w:kern w:val="0"/>
          <w:sz w:val="24"/>
          <w:szCs w:val="24"/>
          <w:lang w:val="en-US" w:eastAsia="zh-CN" w:bidi="ar-SA"/>
        </w:rPr>
      </w:pPr>
      <w:r>
        <w:rPr>
          <w:rFonts w:hint="eastAsia" w:ascii="宋体" w:hAnsi="宋体" w:eastAsia="宋体" w:cs="Times New Roman"/>
          <w:kern w:val="0"/>
          <w:sz w:val="24"/>
          <w:szCs w:val="24"/>
          <w:lang w:val="en-US" w:eastAsia="zh-CN" w:bidi="ar-SA"/>
        </w:rPr>
        <w:t>★5、质保与售后：整机保修 3 年，终身维修。验收时出具原厂售后质保承诺书，质保期内每年巡检一次，并提交巡检记录。质保期内出现故障，1小时响应，响应后24小时上门服务。</w:t>
      </w:r>
    </w:p>
    <w:p w14:paraId="71A57B0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Times New Roman"/>
          <w:kern w:val="0"/>
          <w:sz w:val="24"/>
          <w:szCs w:val="24"/>
          <w:lang w:val="en-US" w:eastAsia="zh-CN" w:bidi="ar-SA"/>
        </w:rPr>
      </w:pPr>
      <w:r>
        <w:rPr>
          <w:rFonts w:hint="eastAsia" w:ascii="宋体" w:hAnsi="宋体" w:eastAsia="宋体" w:cs="Times New Roman"/>
          <w:kern w:val="0"/>
          <w:sz w:val="24"/>
          <w:szCs w:val="24"/>
          <w:lang w:val="en-US" w:eastAsia="zh-CN" w:bidi="ar-SA"/>
        </w:rPr>
        <w:t>★6、在投标文件中必须提供相关佐证资料(加盖投标人公章的技术参数、技术白皮书、说明书、彩页)，并在响应表中备注该条参数响应或正偏离的佐证资料所在页码。</w:t>
      </w:r>
    </w:p>
    <w:p w14:paraId="20BBBD3E">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★7、设备如涉及网络接口费用，由中标人承担，采购人不再出具任何费用。</w:t>
      </w:r>
      <w:r>
        <w:rPr>
          <w:rFonts w:hint="default" w:ascii="宋体" w:hAnsi="宋体" w:eastAsia="宋体" w:cs="宋体"/>
          <w:color w:val="auto"/>
          <w:sz w:val="24"/>
          <w:szCs w:val="24"/>
          <w:lang w:val="en-US" w:eastAsia="zh-CN"/>
        </w:rPr>
        <w:t xml:space="preserve"> </w:t>
      </w:r>
    </w:p>
    <w:p w14:paraId="761DBCF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560" w:firstLineChars="200"/>
        <w:textAlignment w:val="auto"/>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三、标书要求</w:t>
      </w:r>
    </w:p>
    <w:p w14:paraId="6B62FA9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1、封面：需注明标的名称、投标文件、单位、时间；</w:t>
      </w:r>
    </w:p>
    <w:p w14:paraId="284C1AC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三证合一”或“五证合一”营业执照，医疗器械经营许可证或医疗器械经营备案凭证（按法律规定提供证件）、生产厂家营业执照、生产许可证（如按法律规定需提供）、产品注册证（如按法律规定需提供）；</w:t>
      </w:r>
    </w:p>
    <w:p w14:paraId="502C35E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3、投标人身份证复印件；</w:t>
      </w:r>
    </w:p>
    <w:p w14:paraId="6DCB8B3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4、如投标人不是法定代表人，须持法定代表人亲笔签名的授权委托书,并提供法定代表人身份证明和法定代表人身份证复印件，同时要求法定代表人在身份证复印件上注明用途及签全名。</w:t>
      </w:r>
    </w:p>
    <w:p w14:paraId="78AA754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5、履行本项目所必需的资质证明；</w:t>
      </w:r>
    </w:p>
    <w:p w14:paraId="53710AE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6、针对此项目的技术、服务方案；</w:t>
      </w:r>
    </w:p>
    <w:p w14:paraId="724EB81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7、投标人认为需提供的其他和评审有关的资料；</w:t>
      </w:r>
    </w:p>
    <w:p w14:paraId="2F0327A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8、投标文件的每一页都必须加盖投标单位的公章；</w:t>
      </w:r>
    </w:p>
    <w:p w14:paraId="324055C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9、投标文件参数响应表中必须标注响应项佐证材料所对应页面。</w:t>
      </w:r>
    </w:p>
    <w:p w14:paraId="1258B96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10、所有资料均应编入投标文件，胶装并用纸质文件袋封好（一正一副），标书必须“A4规格纸张胶制（非打孔或夹装）装订成册，并编制总目录”,要求密封，否则视为符合性审查不合格，作无效投标处理，在开标现场验证时打开，采用现场开标的方式。</w:t>
      </w:r>
    </w:p>
    <w:p w14:paraId="0C461223">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四、合同</w:t>
      </w:r>
    </w:p>
    <w:p w14:paraId="00F75EBD">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 xml:space="preserve">                                                          合同编号：</w:t>
      </w:r>
    </w:p>
    <w:p w14:paraId="5F5BAF8A">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黑体" w:hAnsi="黑体" w:eastAsia="黑体" w:cs="黑体"/>
          <w:color w:val="000000" w:themeColor="text1"/>
          <w:sz w:val="44"/>
          <w:szCs w:val="44"/>
          <w:highlight w:val="none"/>
          <w:lang w:val="en-US" w:eastAsia="zh-CN"/>
          <w14:textFill>
            <w14:solidFill>
              <w14:schemeClr w14:val="tx1"/>
            </w14:solidFill>
          </w14:textFill>
        </w:rPr>
        <w:t>医疗设备采购合同</w:t>
      </w:r>
    </w:p>
    <w:p w14:paraId="5CD67D0F">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p>
    <w:p w14:paraId="29F508DA">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甲方（采购方）：</w:t>
      </w:r>
      <w:r>
        <w:rPr>
          <w:rFonts w:hint="eastAsia" w:ascii="宋体" w:hAnsi="宋体" w:eastAsia="宋体" w:cs="宋体"/>
          <w:color w:val="000000" w:themeColor="text1"/>
          <w:sz w:val="24"/>
          <w:szCs w:val="24"/>
          <w:highlight w:val="none"/>
          <w:lang w:val="en-US" w:eastAsia="zh-CN"/>
          <w14:textFill>
            <w14:solidFill>
              <w14:schemeClr w14:val="tx1"/>
            </w14:solidFill>
          </w14:textFill>
        </w:rPr>
        <w:t>娄底市中心医院</w:t>
      </w:r>
    </w:p>
    <w:p w14:paraId="55778909">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法定代表人：</w:t>
      </w:r>
      <w:r>
        <w:rPr>
          <w:rFonts w:hint="eastAsia" w:ascii="宋体" w:hAnsi="宋体" w:eastAsia="宋体" w:cs="宋体"/>
          <w:color w:val="0000FF"/>
          <w:sz w:val="24"/>
          <w:szCs w:val="24"/>
          <w:highlight w:val="none"/>
          <w:lang w:val="en-US" w:eastAsia="zh-CN"/>
        </w:rPr>
        <w:t>杨吉军</w:t>
      </w:r>
    </w:p>
    <w:p w14:paraId="5083B530">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统一社会信用代码：12431300447162073W</w:t>
      </w:r>
    </w:p>
    <w:p w14:paraId="05B41D46">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地址：湖南省娄底市娄星区长青中街51号</w:t>
      </w:r>
    </w:p>
    <w:p w14:paraId="362E0B97">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联系人：朱振宇</w:t>
      </w:r>
    </w:p>
    <w:p w14:paraId="0FC5BB9B">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联系电话：15673845559</w:t>
      </w:r>
    </w:p>
    <w:p w14:paraId="39A301CA">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乙方（供货方）：</w:t>
      </w:r>
    </w:p>
    <w:p w14:paraId="4FC697AA">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法定代表人：</w:t>
      </w:r>
    </w:p>
    <w:p w14:paraId="6B8B7EE1">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统一社会信用代码：</w:t>
      </w:r>
    </w:p>
    <w:p w14:paraId="53D84181">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地址：</w:t>
      </w:r>
    </w:p>
    <w:p w14:paraId="07EEB1DF">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联系人：</w:t>
      </w:r>
    </w:p>
    <w:p w14:paraId="01482161">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联系电话：</w:t>
      </w:r>
    </w:p>
    <w:p w14:paraId="0B50EFE4">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p>
    <w:p w14:paraId="53236966">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甲方通过</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医院公开挂网</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方式</w:t>
      </w:r>
      <w:r>
        <w:rPr>
          <w:rFonts w:hint="eastAsia" w:ascii="宋体" w:hAnsi="宋体" w:eastAsia="宋体" w:cs="宋体"/>
          <w:color w:val="000000" w:themeColor="text1"/>
          <w:sz w:val="24"/>
          <w:szCs w:val="24"/>
          <w:highlight w:val="none"/>
          <w:lang w:val="en-US" w:eastAsia="zh-CN"/>
          <w14:textFill>
            <w14:solidFill>
              <w14:schemeClr w14:val="tx1"/>
            </w14:solidFill>
          </w14:textFill>
        </w:rPr>
        <w:t>采购</w:t>
      </w:r>
      <w:r>
        <w:rPr>
          <w:rFonts w:hint="eastAsia" w:ascii="宋体" w:hAnsi="宋体" w:cs="宋体"/>
          <w:color w:val="000000" w:themeColor="text1"/>
          <w:sz w:val="24"/>
          <w:szCs w:val="24"/>
          <w:highlight w:val="none"/>
          <w:u w:val="single"/>
          <w:lang w:val="en-US" w:eastAsia="zh-CN"/>
          <w14:textFill>
            <w14:solidFill>
              <w14:schemeClr w14:val="tx1"/>
            </w14:solidFill>
          </w14:textFill>
        </w:rPr>
        <w:t>超声经颅多普勒血流分析仪</w:t>
      </w:r>
      <w:r>
        <w:rPr>
          <w:rFonts w:hint="eastAsia" w:ascii="宋体" w:hAnsi="宋体" w:eastAsia="宋体" w:cs="宋体"/>
          <w:color w:val="000000" w:themeColor="text1"/>
          <w:sz w:val="24"/>
          <w:szCs w:val="24"/>
          <w:highlight w:val="none"/>
          <w:lang w:val="en-US" w:eastAsia="zh-CN"/>
          <w14:textFill>
            <w14:solidFill>
              <w14:schemeClr w14:val="tx1"/>
            </w14:solidFill>
          </w14:textFill>
        </w:rPr>
        <w:t>，乙方为中标/中选供应商。根据《中华人民共和国民法典》《中华人民共和国政府采购法》等相关法律规定，甲乙双方在采购项目确定的基础上，就采购</w:t>
      </w:r>
      <w:r>
        <w:rPr>
          <w:rFonts w:hint="eastAsia" w:ascii="宋体" w:hAnsi="宋体" w:cs="宋体"/>
          <w:color w:val="000000" w:themeColor="text1"/>
          <w:sz w:val="24"/>
          <w:szCs w:val="24"/>
          <w:highlight w:val="none"/>
          <w:u w:val="single"/>
          <w:lang w:val="en-US" w:eastAsia="zh-CN"/>
          <w14:textFill>
            <w14:solidFill>
              <w14:schemeClr w14:val="tx1"/>
            </w14:solidFill>
          </w14:textFill>
        </w:rPr>
        <w:t>超声经颅多普勒血流分析仪</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相关</w:t>
      </w:r>
      <w:r>
        <w:rPr>
          <w:rFonts w:hint="eastAsia" w:ascii="宋体" w:hAnsi="宋体" w:eastAsia="宋体" w:cs="宋体"/>
          <w:color w:val="000000" w:themeColor="text1"/>
          <w:sz w:val="24"/>
          <w:szCs w:val="24"/>
          <w:highlight w:val="none"/>
          <w:lang w:val="en-US" w:eastAsia="zh-CN"/>
          <w14:textFill>
            <w14:solidFill>
              <w14:schemeClr w14:val="tx1"/>
            </w14:solidFill>
          </w14:textFill>
        </w:rPr>
        <w:t>事宜平等、自愿、公平、诚信协商，达成一致，特订立本合同，以资共同遵守。</w:t>
      </w:r>
    </w:p>
    <w:p w14:paraId="06F0EC18">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 xml:space="preserve">第一条  </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采购内容</w:t>
      </w:r>
    </w:p>
    <w:p w14:paraId="0981DEDD">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1.1 设备名称、品牌、型号、价格</w:t>
      </w:r>
    </w:p>
    <w:tbl>
      <w:tblPr>
        <w:tblStyle w:val="10"/>
        <w:tblpPr w:leftFromText="180" w:rightFromText="180" w:vertAnchor="text" w:horzAnchor="page" w:tblpX="1965" w:tblpY="148"/>
        <w:tblOverlap w:val="never"/>
        <w:tblW w:w="84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7"/>
        <w:gridCol w:w="1220"/>
        <w:gridCol w:w="1760"/>
        <w:gridCol w:w="1320"/>
        <w:gridCol w:w="940"/>
        <w:gridCol w:w="1654"/>
      </w:tblGrid>
      <w:tr w14:paraId="483CC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517" w:type="dxa"/>
            <w:vAlign w:val="top"/>
          </w:tcPr>
          <w:p w14:paraId="3EDEC363">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设备</w:t>
            </w:r>
            <w:r>
              <w:rPr>
                <w:rFonts w:hint="eastAsia" w:ascii="宋体" w:hAnsi="宋体" w:eastAsia="宋体" w:cs="宋体"/>
                <w:color w:val="000000" w:themeColor="text1"/>
                <w:kern w:val="0"/>
                <w:sz w:val="24"/>
                <w:szCs w:val="24"/>
                <w:highlight w:val="none"/>
                <w14:textFill>
                  <w14:solidFill>
                    <w14:schemeClr w14:val="tx1"/>
                  </w14:solidFill>
                </w14:textFill>
              </w:rPr>
              <w:t>名称</w:t>
            </w:r>
          </w:p>
        </w:tc>
        <w:tc>
          <w:tcPr>
            <w:tcW w:w="1220" w:type="dxa"/>
            <w:vAlign w:val="top"/>
          </w:tcPr>
          <w:p w14:paraId="68D30D3E">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lang w:eastAsia="zh-CN"/>
                <w14:textFill>
                  <w14:solidFill>
                    <w14:schemeClr w14:val="tx1"/>
                  </w14:solidFill>
                </w14:textFill>
              </w:rPr>
              <w:t>品牌</w:t>
            </w:r>
          </w:p>
        </w:tc>
        <w:tc>
          <w:tcPr>
            <w:tcW w:w="1760" w:type="dxa"/>
            <w:vAlign w:val="top"/>
          </w:tcPr>
          <w:p w14:paraId="35C702A1">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lang w:eastAsia="zh-CN"/>
                <w14:textFill>
                  <w14:solidFill>
                    <w14:schemeClr w14:val="tx1"/>
                  </w14:solidFill>
                </w14:textFill>
              </w:rPr>
              <w:t>型号</w:t>
            </w:r>
          </w:p>
        </w:tc>
        <w:tc>
          <w:tcPr>
            <w:tcW w:w="1320" w:type="dxa"/>
            <w:vAlign w:val="top"/>
          </w:tcPr>
          <w:p w14:paraId="7DD1C20D">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单价（元）</w:t>
            </w:r>
          </w:p>
        </w:tc>
        <w:tc>
          <w:tcPr>
            <w:tcW w:w="940" w:type="dxa"/>
            <w:vAlign w:val="top"/>
          </w:tcPr>
          <w:p w14:paraId="6C4E50CB">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数量</w:t>
            </w:r>
          </w:p>
        </w:tc>
        <w:tc>
          <w:tcPr>
            <w:tcW w:w="1654" w:type="dxa"/>
            <w:vAlign w:val="top"/>
          </w:tcPr>
          <w:p w14:paraId="718090D4">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金额（元）</w:t>
            </w:r>
          </w:p>
        </w:tc>
      </w:tr>
      <w:tr w14:paraId="09990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1517" w:type="dxa"/>
            <w:vAlign w:val="top"/>
          </w:tcPr>
          <w:p w14:paraId="1469BBF2">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cs="宋体"/>
                <w:color w:val="000000" w:themeColor="text1"/>
                <w:kern w:val="0"/>
                <w:sz w:val="24"/>
                <w:szCs w:val="24"/>
                <w:highlight w:val="none"/>
                <w:lang w:val="en-US" w:eastAsia="zh-CN"/>
                <w14:textFill>
                  <w14:solidFill>
                    <w14:schemeClr w14:val="tx1"/>
                  </w14:solidFill>
                </w14:textFill>
              </w:rPr>
              <w:t>超声经颅多普勒血流分析仪</w:t>
            </w:r>
          </w:p>
        </w:tc>
        <w:tc>
          <w:tcPr>
            <w:tcW w:w="1220" w:type="dxa"/>
            <w:vAlign w:val="center"/>
          </w:tcPr>
          <w:p w14:paraId="15E622E1">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 xml:space="preserve"> </w:t>
            </w:r>
          </w:p>
        </w:tc>
        <w:tc>
          <w:tcPr>
            <w:tcW w:w="1760" w:type="dxa"/>
            <w:vAlign w:val="top"/>
          </w:tcPr>
          <w:p w14:paraId="2F0911DC">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1320" w:type="dxa"/>
            <w:vAlign w:val="top"/>
          </w:tcPr>
          <w:p w14:paraId="7F69A41C">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 xml:space="preserve"> </w:t>
            </w:r>
          </w:p>
        </w:tc>
        <w:tc>
          <w:tcPr>
            <w:tcW w:w="940" w:type="dxa"/>
            <w:vAlign w:val="top"/>
          </w:tcPr>
          <w:p w14:paraId="07DC1063">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cs="宋体"/>
                <w:color w:val="000000" w:themeColor="text1"/>
                <w:kern w:val="0"/>
                <w:sz w:val="24"/>
                <w:szCs w:val="24"/>
                <w:highlight w:val="none"/>
                <w:lang w:val="en-US" w:eastAsia="zh-CN"/>
                <w14:textFill>
                  <w14:solidFill>
                    <w14:schemeClr w14:val="tx1"/>
                  </w14:solidFill>
                </w14:textFill>
              </w:rPr>
              <w:t>1</w:t>
            </w:r>
          </w:p>
        </w:tc>
        <w:tc>
          <w:tcPr>
            <w:tcW w:w="1654" w:type="dxa"/>
            <w:vAlign w:val="top"/>
          </w:tcPr>
          <w:p w14:paraId="42134765">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r>
      <w:tr w14:paraId="7616C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8411" w:type="dxa"/>
            <w:gridSpan w:val="6"/>
            <w:vAlign w:val="top"/>
          </w:tcPr>
          <w:p w14:paraId="4117F420">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合计</w:t>
            </w:r>
            <w:r>
              <w:rPr>
                <w:rFonts w:hint="eastAsia" w:ascii="宋体" w:hAnsi="宋体" w:eastAsia="宋体" w:cs="宋体"/>
                <w:color w:val="000000" w:themeColor="text1"/>
                <w:kern w:val="0"/>
                <w:sz w:val="24"/>
                <w:szCs w:val="24"/>
                <w:highlight w:val="none"/>
                <w:lang w:eastAsia="zh-CN"/>
                <w14:textFill>
                  <w14:solidFill>
                    <w14:schemeClr w14:val="tx1"/>
                  </w14:solidFill>
                </w14:textFill>
              </w:rPr>
              <w:t>价款</w:t>
            </w:r>
            <w:r>
              <w:rPr>
                <w:rFonts w:hint="eastAsia" w:ascii="宋体" w:hAnsi="宋体" w:eastAsia="宋体" w:cs="宋体"/>
                <w:color w:val="000000" w:themeColor="text1"/>
                <w:kern w:val="0"/>
                <w:sz w:val="24"/>
                <w:szCs w:val="24"/>
                <w:highlight w:val="none"/>
                <w14:textFill>
                  <w14:solidFill>
                    <w14:schemeClr w14:val="tx1"/>
                  </w14:solidFill>
                </w14:textFill>
              </w:rPr>
              <w:t>金额人民币（大写）：</w:t>
            </w:r>
            <w:r>
              <w:rPr>
                <w:rFonts w:hint="eastAsia" w:ascii="宋体" w:hAnsi="宋体" w:eastAsia="宋体" w:cs="宋体"/>
                <w:color w:val="000000" w:themeColor="text1"/>
                <w:kern w:val="0"/>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highlight w:val="none"/>
                <w:lang w:eastAsia="zh-CN"/>
                <w14:textFill>
                  <w14:solidFill>
                    <w14:schemeClr w14:val="tx1"/>
                  </w14:solidFill>
                </w14:textFill>
              </w:rPr>
              <w:t>元</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 xml:space="preserve">整      </w:t>
            </w:r>
            <w:r>
              <w:rPr>
                <w:rFonts w:hint="eastAsia" w:ascii="宋体" w:hAnsi="宋体" w:eastAsia="宋体" w:cs="宋体"/>
                <w:color w:val="000000" w:themeColor="text1"/>
                <w:kern w:val="0"/>
                <w:sz w:val="24"/>
                <w:szCs w:val="24"/>
                <w:highlight w:val="none"/>
                <w14:textFill>
                  <w14:solidFill>
                    <w14:schemeClr w14:val="tx1"/>
                  </w14:solidFill>
                </w14:textFill>
              </w:rPr>
              <w:t>（小写）：</w:t>
            </w:r>
            <w:r>
              <w:rPr>
                <w:rFonts w:hint="eastAsia" w:ascii="宋体" w:hAnsi="宋体" w:eastAsia="宋体" w:cs="宋体"/>
                <w:color w:val="000000" w:themeColor="text1"/>
                <w:kern w:val="0"/>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元</w:t>
            </w:r>
          </w:p>
        </w:tc>
      </w:tr>
    </w:tbl>
    <w:p w14:paraId="011B13E6">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1.2 本合同约定价格为固定总价，不因物价、市场波动变更，约定价格包括且不限于设计费、材料费、人工费、安装费、包装费、运输费、装卸费、调试费、接口费、检测费、检验费、税费、保险费、售后服务费、附随服务费等在内所有费用。 </w:t>
      </w:r>
    </w:p>
    <w:p w14:paraId="59AE944B">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1.3 </w:t>
      </w:r>
      <w:r>
        <w:rPr>
          <w:rFonts w:hint="eastAsia" w:ascii="宋体" w:hAnsi="宋体" w:cs="宋体"/>
          <w:color w:val="000000" w:themeColor="text1"/>
          <w:sz w:val="24"/>
          <w:szCs w:val="24"/>
          <w:highlight w:val="none"/>
          <w14:textFill>
            <w14:solidFill>
              <w14:schemeClr w14:val="tx1"/>
            </w14:solidFill>
          </w14:textFill>
        </w:rPr>
        <w:t>本合同设备</w:t>
      </w:r>
      <w:r>
        <w:rPr>
          <w:rFonts w:hint="eastAsia" w:ascii="宋体" w:hAnsi="宋体" w:cs="宋体"/>
          <w:color w:val="000000" w:themeColor="text1"/>
          <w:sz w:val="24"/>
          <w:szCs w:val="24"/>
          <w:highlight w:val="none"/>
          <w:lang w:eastAsia="zh-CN"/>
          <w14:textFill>
            <w14:solidFill>
              <w14:schemeClr w14:val="tx1"/>
            </w14:solidFill>
          </w14:textFill>
        </w:rPr>
        <w:t>需要</w:t>
      </w:r>
      <w:r>
        <w:rPr>
          <w:rFonts w:hint="eastAsia" w:ascii="宋体" w:hAnsi="宋体" w:cs="宋体"/>
          <w:color w:val="000000" w:themeColor="text1"/>
          <w:sz w:val="24"/>
          <w:szCs w:val="24"/>
          <w:highlight w:val="none"/>
          <w14:textFill>
            <w14:solidFill>
              <w14:schemeClr w14:val="tx1"/>
            </w14:solidFill>
          </w14:textFill>
        </w:rPr>
        <w:t>与甲方</w:t>
      </w:r>
      <w:r>
        <w:rPr>
          <w:rFonts w:hint="eastAsia" w:ascii="宋体" w:hAnsi="宋体" w:cs="宋体"/>
          <w:color w:val="000000" w:themeColor="text1"/>
          <w:sz w:val="24"/>
          <w:szCs w:val="24"/>
          <w:highlight w:val="none"/>
          <w:lang w:eastAsia="zh-CN"/>
          <w14:textFill>
            <w14:solidFill>
              <w14:schemeClr w14:val="tx1"/>
            </w14:solidFill>
          </w14:textFill>
        </w:rPr>
        <w:t>使用的</w:t>
      </w:r>
      <w:r>
        <w:rPr>
          <w:rFonts w:hint="eastAsia" w:ascii="宋体" w:hAnsi="宋体" w:cs="宋体"/>
          <w:color w:val="000000" w:themeColor="text1"/>
          <w:sz w:val="24"/>
          <w:szCs w:val="24"/>
          <w:highlight w:val="none"/>
          <w14:textFill>
            <w14:solidFill>
              <w14:schemeClr w14:val="tx1"/>
            </w14:solidFill>
          </w14:textFill>
        </w:rPr>
        <w:t>信息系统</w:t>
      </w:r>
      <w:r>
        <w:rPr>
          <w:rFonts w:hint="eastAsia" w:ascii="宋体" w:hAnsi="宋体" w:cs="宋体"/>
          <w:color w:val="000000" w:themeColor="text1"/>
          <w:sz w:val="24"/>
          <w:szCs w:val="24"/>
          <w:highlight w:val="none"/>
          <w:lang w:eastAsia="zh-CN"/>
          <w14:textFill>
            <w14:solidFill>
              <w14:schemeClr w14:val="tx1"/>
            </w14:solidFill>
          </w14:textFill>
        </w:rPr>
        <w:t>对接，因</w:t>
      </w:r>
      <w:r>
        <w:rPr>
          <w:rFonts w:hint="eastAsia" w:ascii="宋体" w:hAnsi="宋体" w:cs="宋体"/>
          <w:color w:val="000000" w:themeColor="text1"/>
          <w:sz w:val="24"/>
          <w:szCs w:val="24"/>
          <w:highlight w:val="none"/>
          <w14:textFill>
            <w14:solidFill>
              <w14:schemeClr w14:val="tx1"/>
            </w14:solidFill>
          </w14:textFill>
        </w:rPr>
        <w:t>对接产生的接口开发等</w:t>
      </w:r>
      <w:r>
        <w:rPr>
          <w:rFonts w:hint="eastAsia" w:ascii="宋体" w:hAnsi="宋体" w:cs="宋体"/>
          <w:color w:val="000000" w:themeColor="text1"/>
          <w:sz w:val="24"/>
          <w:szCs w:val="24"/>
          <w:highlight w:val="none"/>
          <w:lang w:eastAsia="zh-CN"/>
          <w14:textFill>
            <w14:solidFill>
              <w14:schemeClr w14:val="tx1"/>
            </w14:solidFill>
          </w14:textFill>
        </w:rPr>
        <w:t>乙方及第三方需要收取的</w:t>
      </w:r>
      <w:r>
        <w:rPr>
          <w:rFonts w:hint="eastAsia" w:ascii="宋体" w:hAnsi="宋体" w:cs="宋体"/>
          <w:color w:val="000000" w:themeColor="text1"/>
          <w:sz w:val="24"/>
          <w:szCs w:val="24"/>
          <w:highlight w:val="none"/>
          <w14:textFill>
            <w14:solidFill>
              <w14:schemeClr w14:val="tx1"/>
            </w14:solidFill>
          </w14:textFill>
        </w:rPr>
        <w:t>全部费用均由乙方承担。</w:t>
      </w:r>
    </w:p>
    <w:p w14:paraId="1CC32993">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firstLine="482" w:firstLineChars="200"/>
        <w:jc w:val="both"/>
        <w:textAlignment w:val="auto"/>
        <w:rPr>
          <w:rFonts w:hint="default"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 xml:space="preserve">第二条  </w:t>
      </w:r>
      <w:r>
        <w:rPr>
          <w:rFonts w:hint="default" w:ascii="宋体" w:hAnsi="宋体" w:eastAsia="宋体" w:cs="宋体"/>
          <w:b/>
          <w:bCs/>
          <w:color w:val="000000" w:themeColor="text1"/>
          <w:sz w:val="24"/>
          <w:szCs w:val="24"/>
          <w:highlight w:val="none"/>
          <w:lang w:val="en-US" w:eastAsia="zh-CN"/>
          <w14:textFill>
            <w14:solidFill>
              <w14:schemeClr w14:val="tx1"/>
            </w14:solidFill>
          </w14:textFill>
        </w:rPr>
        <w:t>交货时间、地点、运输</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w:t>
      </w:r>
      <w:r>
        <w:rPr>
          <w:rFonts w:hint="default" w:ascii="宋体" w:hAnsi="宋体" w:eastAsia="宋体" w:cs="宋体"/>
          <w:b/>
          <w:bCs/>
          <w:color w:val="000000" w:themeColor="text1"/>
          <w:sz w:val="24"/>
          <w:szCs w:val="24"/>
          <w:highlight w:val="none"/>
          <w:lang w:val="en-US" w:eastAsia="zh-CN"/>
          <w14:textFill>
            <w14:solidFill>
              <w14:schemeClr w14:val="tx1"/>
            </w14:solidFill>
          </w14:textFill>
        </w:rPr>
        <w:t>装卸</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、搬运</w:t>
      </w:r>
    </w:p>
    <w:p w14:paraId="063814F4">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2.1 </w:t>
      </w:r>
      <w:r>
        <w:rPr>
          <w:rFonts w:hint="default" w:ascii="宋体" w:hAnsi="宋体" w:eastAsia="宋体" w:cs="宋体"/>
          <w:color w:val="000000" w:themeColor="text1"/>
          <w:sz w:val="24"/>
          <w:szCs w:val="24"/>
          <w:highlight w:val="none"/>
          <w:lang w:val="en-US" w:eastAsia="zh-CN"/>
          <w14:textFill>
            <w14:solidFill>
              <w14:schemeClr w14:val="tx1"/>
            </w14:solidFill>
          </w14:textFill>
        </w:rPr>
        <w:t>交货时间：乙方应在</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自接到甲方通知之日起</w:t>
      </w:r>
      <w:r>
        <w:rPr>
          <w:rFonts w:hint="eastAsia" w:ascii="宋体" w:hAnsi="宋体" w:cs="宋体"/>
          <w:color w:val="000000" w:themeColor="text1"/>
          <w:sz w:val="24"/>
          <w:szCs w:val="24"/>
          <w:highlight w:val="none"/>
          <w:u w:val="single"/>
          <w:lang w:val="en-US" w:eastAsia="zh-CN"/>
          <w14:textFill>
            <w14:solidFill>
              <w14:schemeClr w14:val="tx1"/>
            </w14:solidFill>
          </w14:textFill>
        </w:rPr>
        <w:t>60</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日内</w:t>
      </w:r>
      <w:r>
        <w:rPr>
          <w:rFonts w:hint="default" w:ascii="宋体" w:hAnsi="宋体" w:eastAsia="宋体" w:cs="宋体"/>
          <w:color w:val="000000" w:themeColor="text1"/>
          <w:sz w:val="24"/>
          <w:szCs w:val="24"/>
          <w:highlight w:val="none"/>
          <w:lang w:val="en-US" w:eastAsia="zh-CN"/>
          <w14:textFill>
            <w14:solidFill>
              <w14:schemeClr w14:val="tx1"/>
            </w14:solidFill>
          </w14:textFill>
        </w:rPr>
        <w:t>将设备运至</w:t>
      </w:r>
      <w:r>
        <w:rPr>
          <w:rFonts w:hint="eastAsia" w:ascii="宋体" w:hAnsi="宋体" w:eastAsia="宋体" w:cs="宋体"/>
          <w:color w:val="000000" w:themeColor="text1"/>
          <w:sz w:val="24"/>
          <w:szCs w:val="24"/>
          <w:highlight w:val="none"/>
          <w:lang w:val="en-US" w:eastAsia="zh-CN"/>
          <w14:textFill>
            <w14:solidFill>
              <w14:schemeClr w14:val="tx1"/>
            </w14:solidFill>
          </w14:textFill>
        </w:rPr>
        <w:t>甲方指定交货</w:t>
      </w:r>
      <w:r>
        <w:rPr>
          <w:rFonts w:hint="default" w:ascii="宋体" w:hAnsi="宋体" w:eastAsia="宋体" w:cs="宋体"/>
          <w:color w:val="000000" w:themeColor="text1"/>
          <w:sz w:val="24"/>
          <w:szCs w:val="24"/>
          <w:highlight w:val="none"/>
          <w:lang w:val="en-US" w:eastAsia="zh-CN"/>
          <w14:textFill>
            <w14:solidFill>
              <w14:schemeClr w14:val="tx1"/>
            </w14:solidFill>
          </w14:textFill>
        </w:rPr>
        <w:t>地点，并</w:t>
      </w:r>
      <w:r>
        <w:rPr>
          <w:rFonts w:hint="eastAsia" w:ascii="宋体" w:hAnsi="宋体" w:eastAsia="宋体" w:cs="宋体"/>
          <w:color w:val="000000" w:themeColor="text1"/>
          <w:sz w:val="24"/>
          <w:szCs w:val="24"/>
          <w:highlight w:val="none"/>
          <w:lang w:val="en-US" w:eastAsia="zh-CN"/>
          <w14:textFill>
            <w14:solidFill>
              <w14:schemeClr w14:val="tx1"/>
            </w14:solidFill>
          </w14:textFill>
        </w:rPr>
        <w:t>在</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到货后</w:t>
      </w:r>
      <w:r>
        <w:rPr>
          <w:rFonts w:hint="eastAsia" w:ascii="宋体" w:hAnsi="宋体" w:cs="宋体"/>
          <w:color w:val="000000" w:themeColor="text1"/>
          <w:sz w:val="24"/>
          <w:szCs w:val="24"/>
          <w:highlight w:val="none"/>
          <w:u w:val="single"/>
          <w:lang w:val="en-US" w:eastAsia="zh-CN"/>
          <w14:textFill>
            <w14:solidFill>
              <w14:schemeClr w14:val="tx1"/>
            </w14:solidFill>
          </w14:textFill>
        </w:rPr>
        <w:t>15</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日内</w:t>
      </w:r>
      <w:r>
        <w:rPr>
          <w:rFonts w:hint="default" w:ascii="宋体" w:hAnsi="宋体" w:eastAsia="宋体" w:cs="宋体"/>
          <w:color w:val="000000" w:themeColor="text1"/>
          <w:sz w:val="24"/>
          <w:szCs w:val="24"/>
          <w:highlight w:val="none"/>
          <w:lang w:val="en-US" w:eastAsia="zh-CN"/>
          <w14:textFill>
            <w14:solidFill>
              <w14:schemeClr w14:val="tx1"/>
            </w14:solidFill>
          </w14:textFill>
        </w:rPr>
        <w:t>完成安装、调试，办理验收手续并交付甲方使用。</w:t>
      </w:r>
    </w:p>
    <w:p w14:paraId="6F612A45">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default"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lang w:val="en-US" w:eastAsia="zh-CN"/>
          <w14:textFill>
            <w14:solidFill>
              <w14:schemeClr w14:val="tx1"/>
            </w14:solidFill>
          </w14:textFill>
        </w:rPr>
        <w:t>.2 甲方指定</w:t>
      </w:r>
      <w:r>
        <w:rPr>
          <w:rFonts w:hint="default" w:ascii="宋体" w:hAnsi="宋体" w:eastAsia="宋体" w:cs="宋体"/>
          <w:color w:val="000000" w:themeColor="text1"/>
          <w:sz w:val="24"/>
          <w:szCs w:val="24"/>
          <w:highlight w:val="none"/>
          <w:lang w:val="en-US" w:eastAsia="zh-CN"/>
          <w14:textFill>
            <w14:solidFill>
              <w14:schemeClr w14:val="tx1"/>
            </w14:solidFill>
          </w14:textFill>
        </w:rPr>
        <w:t>交货地点：湖南省娄底市</w:t>
      </w:r>
      <w:r>
        <w:rPr>
          <w:rFonts w:hint="eastAsia" w:ascii="宋体" w:hAnsi="宋体" w:eastAsia="宋体" w:cs="宋体"/>
          <w:color w:val="000000" w:themeColor="text1"/>
          <w:sz w:val="24"/>
          <w:szCs w:val="24"/>
          <w:highlight w:val="none"/>
          <w:lang w:val="en-US" w:eastAsia="zh-CN"/>
          <w14:textFill>
            <w14:solidFill>
              <w14:schemeClr w14:val="tx1"/>
            </w14:solidFill>
          </w14:textFill>
        </w:rPr>
        <w:t>娄星区</w:t>
      </w:r>
      <w:r>
        <w:rPr>
          <w:rFonts w:hint="default" w:ascii="宋体" w:hAnsi="宋体" w:eastAsia="宋体" w:cs="宋体"/>
          <w:color w:val="000000" w:themeColor="text1"/>
          <w:sz w:val="24"/>
          <w:szCs w:val="24"/>
          <w:highlight w:val="none"/>
          <w:lang w:val="en-US" w:eastAsia="zh-CN"/>
          <w14:textFill>
            <w14:solidFill>
              <w14:schemeClr w14:val="tx1"/>
            </w14:solidFill>
          </w14:textFill>
        </w:rPr>
        <w:t>长青中街51号</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default" w:ascii="宋体" w:hAnsi="宋体" w:eastAsia="宋体" w:cs="宋体"/>
          <w:color w:val="000000" w:themeColor="text1"/>
          <w:sz w:val="24"/>
          <w:szCs w:val="24"/>
          <w:highlight w:val="none"/>
          <w:lang w:val="en-US" w:eastAsia="zh-CN"/>
          <w14:textFill>
            <w14:solidFill>
              <w14:schemeClr w14:val="tx1"/>
            </w14:solidFill>
          </w14:textFill>
        </w:rPr>
        <w:t>娄底市中心医院</w:t>
      </w:r>
      <w:r>
        <w:rPr>
          <w:rFonts w:hint="eastAsia" w:ascii="宋体" w:hAnsi="宋体" w:eastAsia="宋体" w:cs="宋体"/>
          <w:color w:val="000000" w:themeColor="text1"/>
          <w:sz w:val="24"/>
          <w:szCs w:val="24"/>
          <w:highlight w:val="none"/>
          <w:lang w:val="en-US" w:eastAsia="zh-CN"/>
          <w14:textFill>
            <w14:solidFill>
              <w14:schemeClr w14:val="tx1"/>
            </w14:solidFill>
          </w14:textFill>
        </w:rPr>
        <w:t>设备科</w:t>
      </w:r>
      <w:r>
        <w:rPr>
          <w:rFonts w:hint="default" w:ascii="宋体" w:hAnsi="宋体" w:eastAsia="宋体" w:cs="宋体"/>
          <w:color w:val="000000" w:themeColor="text1"/>
          <w:sz w:val="24"/>
          <w:szCs w:val="24"/>
          <w:highlight w:val="none"/>
          <w:lang w:val="en-US" w:eastAsia="zh-CN"/>
          <w14:textFill>
            <w14:solidFill>
              <w14:schemeClr w14:val="tx1"/>
            </w14:solidFill>
          </w14:textFill>
        </w:rPr>
        <w:t xml:space="preserve">。 </w:t>
      </w:r>
    </w:p>
    <w:p w14:paraId="3546F410">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default" w:ascii="宋体" w:hAnsi="宋体" w:eastAsia="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default" w:ascii="宋体" w:hAnsi="宋体" w:eastAsia="宋体" w:cs="宋体"/>
          <w:color w:val="000000" w:themeColor="text1"/>
          <w:sz w:val="24"/>
          <w:szCs w:val="24"/>
          <w:highlight w:val="none"/>
          <w:lang w:val="en-US" w:eastAsia="zh-CN"/>
          <w14:textFill>
            <w14:solidFill>
              <w14:schemeClr w14:val="tx1"/>
            </w14:solidFill>
          </w14:textFill>
        </w:rPr>
        <w:t>运输</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default" w:ascii="宋体" w:hAnsi="宋体" w:eastAsia="宋体" w:cs="宋体"/>
          <w:color w:val="000000" w:themeColor="text1"/>
          <w:sz w:val="24"/>
          <w:szCs w:val="24"/>
          <w:highlight w:val="none"/>
          <w:lang w:val="en-US" w:eastAsia="zh-CN"/>
          <w14:textFill>
            <w14:solidFill>
              <w14:schemeClr w14:val="tx1"/>
            </w14:solidFill>
          </w14:textFill>
        </w:rPr>
        <w:t>装卸</w:t>
      </w:r>
      <w:r>
        <w:rPr>
          <w:rFonts w:hint="eastAsia" w:ascii="宋体" w:hAnsi="宋体" w:eastAsia="宋体" w:cs="宋体"/>
          <w:color w:val="000000" w:themeColor="text1"/>
          <w:sz w:val="24"/>
          <w:szCs w:val="24"/>
          <w:highlight w:val="none"/>
          <w:lang w:val="en-US" w:eastAsia="zh-CN"/>
          <w14:textFill>
            <w14:solidFill>
              <w14:schemeClr w14:val="tx1"/>
            </w14:solidFill>
          </w14:textFill>
        </w:rPr>
        <w:t>、搬运</w:t>
      </w:r>
      <w:r>
        <w:rPr>
          <w:rFonts w:hint="default" w:ascii="宋体" w:hAnsi="宋体" w:eastAsia="宋体" w:cs="宋体"/>
          <w:color w:val="000000" w:themeColor="text1"/>
          <w:sz w:val="24"/>
          <w:szCs w:val="24"/>
          <w:highlight w:val="none"/>
          <w:lang w:val="en-US" w:eastAsia="zh-CN"/>
          <w14:textFill>
            <w14:solidFill>
              <w14:schemeClr w14:val="tx1"/>
            </w14:solidFill>
          </w14:textFill>
        </w:rPr>
        <w:t>：由乙方自备交通运输工具将设备运至合同约定地点，并负责设备装卸</w:t>
      </w:r>
      <w:r>
        <w:rPr>
          <w:rFonts w:hint="eastAsia" w:ascii="宋体" w:hAnsi="宋体" w:eastAsia="宋体" w:cs="宋体"/>
          <w:color w:val="000000" w:themeColor="text1"/>
          <w:sz w:val="24"/>
          <w:szCs w:val="24"/>
          <w:highlight w:val="none"/>
          <w:lang w:val="en-US" w:eastAsia="zh-CN"/>
          <w14:textFill>
            <w14:solidFill>
              <w14:schemeClr w14:val="tx1"/>
            </w14:solidFill>
          </w14:textFill>
        </w:rPr>
        <w:t>、搬运的人工及费用</w:t>
      </w:r>
      <w:r>
        <w:rPr>
          <w:rFonts w:hint="default" w:ascii="宋体" w:hAnsi="宋体" w:eastAsia="宋体" w:cs="宋体"/>
          <w:color w:val="000000" w:themeColor="text1"/>
          <w:sz w:val="24"/>
          <w:szCs w:val="24"/>
          <w:highlight w:val="none"/>
          <w:lang w:val="en-US" w:eastAsia="zh-CN"/>
          <w14:textFill>
            <w14:solidFill>
              <w14:schemeClr w14:val="tx1"/>
            </w14:solidFill>
          </w14:textFill>
        </w:rPr>
        <w:t>。</w:t>
      </w:r>
    </w:p>
    <w:p w14:paraId="60F54340">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第三条 质量标准、质量验收、包装要求</w:t>
      </w:r>
    </w:p>
    <w:p w14:paraId="0DBC8AD7">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FF0000"/>
          <w:sz w:val="24"/>
          <w:szCs w:val="24"/>
          <w:highlight w:val="none"/>
          <w:lang w:val="en-US" w:eastAsia="zh-CN"/>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3.1 质量标准：乙方提供设备的质量、安装应符合或优于国家标准；如投标文件/响应文件中的技术参数和质量标准高于国家标准，则设备的技术参数和质量标准以投标文件/响应文件为准；</w:t>
      </w:r>
      <w:r>
        <w:rPr>
          <w:rFonts w:hint="eastAsia" w:ascii="宋体" w:hAnsi="宋体" w:eastAsia="宋体" w:cs="宋体"/>
          <w:color w:val="FF0000"/>
          <w:sz w:val="24"/>
          <w:szCs w:val="24"/>
          <w:highlight w:val="none"/>
          <w:lang w:val="en-US" w:eastAsia="zh-CN"/>
        </w:rPr>
        <w:t>如乙方应交付的设备属于国产</w:t>
      </w:r>
      <w:r>
        <w:rPr>
          <w:rFonts w:hint="eastAsia" w:ascii="宋体" w:hAnsi="宋体" w:cs="宋体"/>
          <w:color w:val="FF0000"/>
          <w:sz w:val="24"/>
          <w:szCs w:val="24"/>
          <w:highlight w:val="none"/>
          <w:lang w:val="en-US" w:eastAsia="zh-CN"/>
        </w:rPr>
        <w:t>设备，则应保证该设备为交付时起近</w:t>
      </w:r>
      <w:r>
        <w:rPr>
          <w:rFonts w:hint="eastAsia" w:ascii="宋体" w:hAnsi="宋体" w:cs="宋体"/>
          <w:color w:val="FF0000"/>
          <w:sz w:val="24"/>
          <w:szCs w:val="24"/>
          <w:highlight w:val="none"/>
          <w:lang w:eastAsia="zh-CN"/>
        </w:rPr>
        <w:t>6个月内生产的产品；</w:t>
      </w:r>
      <w:r>
        <w:rPr>
          <w:rFonts w:hint="eastAsia" w:ascii="宋体" w:hAnsi="宋体" w:cs="宋体"/>
          <w:color w:val="FF0000"/>
          <w:sz w:val="24"/>
          <w:szCs w:val="24"/>
          <w:highlight w:val="none"/>
          <w:lang w:val="en-US" w:eastAsia="zh-CN"/>
        </w:rPr>
        <w:t>如乙方</w:t>
      </w:r>
      <w:r>
        <w:rPr>
          <w:rFonts w:hint="eastAsia" w:ascii="宋体" w:hAnsi="宋体" w:eastAsia="宋体" w:cs="宋体"/>
          <w:color w:val="FF0000"/>
          <w:sz w:val="24"/>
          <w:szCs w:val="24"/>
          <w:highlight w:val="none"/>
          <w:lang w:val="en-US" w:eastAsia="zh-CN"/>
        </w:rPr>
        <w:t>应</w:t>
      </w:r>
      <w:r>
        <w:rPr>
          <w:rFonts w:hint="eastAsia" w:ascii="宋体" w:hAnsi="宋体" w:cs="宋体"/>
          <w:color w:val="FF0000"/>
          <w:sz w:val="24"/>
          <w:szCs w:val="24"/>
          <w:highlight w:val="none"/>
          <w:lang w:val="en-US" w:eastAsia="zh-CN"/>
        </w:rPr>
        <w:t>交付的设备属于</w:t>
      </w:r>
      <w:r>
        <w:rPr>
          <w:rFonts w:hint="eastAsia" w:ascii="宋体" w:hAnsi="宋体" w:eastAsia="宋体" w:cs="宋体"/>
          <w:color w:val="FF0000"/>
          <w:sz w:val="24"/>
          <w:szCs w:val="24"/>
          <w:highlight w:val="none"/>
          <w:lang w:val="en-US" w:eastAsia="zh-CN"/>
        </w:rPr>
        <w:t>进口设备</w:t>
      </w:r>
      <w:r>
        <w:rPr>
          <w:rFonts w:hint="eastAsia" w:ascii="宋体" w:hAnsi="宋体" w:cs="宋体"/>
          <w:color w:val="FF0000"/>
          <w:sz w:val="24"/>
          <w:szCs w:val="24"/>
          <w:highlight w:val="none"/>
          <w:lang w:val="en-US" w:eastAsia="zh-CN"/>
        </w:rPr>
        <w:t>，则应保证该设备</w:t>
      </w:r>
      <w:r>
        <w:rPr>
          <w:rFonts w:hint="eastAsia" w:ascii="宋体" w:hAnsi="宋体" w:cs="宋体"/>
          <w:color w:val="FF0000"/>
          <w:sz w:val="24"/>
          <w:szCs w:val="24"/>
          <w:highlight w:val="none"/>
          <w:lang w:eastAsia="zh-CN"/>
        </w:rPr>
        <w:t>为</w:t>
      </w:r>
      <w:r>
        <w:rPr>
          <w:rFonts w:hint="eastAsia" w:ascii="宋体" w:hAnsi="宋体" w:cs="宋体"/>
          <w:color w:val="FF0000"/>
          <w:sz w:val="24"/>
          <w:szCs w:val="24"/>
          <w:highlight w:val="none"/>
          <w:lang w:val="en-US" w:eastAsia="zh-CN"/>
        </w:rPr>
        <w:t>交付时起近一年</w:t>
      </w:r>
      <w:r>
        <w:rPr>
          <w:rFonts w:hint="eastAsia" w:ascii="宋体" w:hAnsi="宋体" w:cs="宋体"/>
          <w:color w:val="FF0000"/>
          <w:sz w:val="24"/>
          <w:szCs w:val="24"/>
          <w:highlight w:val="none"/>
          <w:lang w:eastAsia="zh-CN"/>
        </w:rPr>
        <w:t>内生产的产品</w:t>
      </w:r>
      <w:r>
        <w:rPr>
          <w:rFonts w:hint="eastAsia" w:ascii="宋体" w:hAnsi="宋体" w:eastAsia="宋体" w:cs="宋体"/>
          <w:color w:val="FF0000"/>
          <w:sz w:val="24"/>
          <w:szCs w:val="24"/>
          <w:highlight w:val="none"/>
          <w:lang w:val="en-US" w:eastAsia="zh-CN"/>
        </w:rPr>
        <w:t>。</w:t>
      </w:r>
    </w:p>
    <w:p w14:paraId="619DD7DA">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3.2 质量验收：以本合同约定标准按以下方式进行验收： </w:t>
      </w:r>
    </w:p>
    <w:p w14:paraId="1F6499C6">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3.2.1 到货验收：乙方将设备运至指定交货地点后，应通知甲方，并向甲方提供厂家标准资料文件（进口设备需提供真实有效的海关报关单，其他设备需提供产品合格证）和原厂售后质保承诺书。甲方自接到乙方通知之日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7</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日内组织人员对设备按合同约定及厂家出厂装箱单进行到货验收，经甲方验收合格后签署验收报告单，乙方方可进行现场拆包、安装、调试、培训。如经甲方验收不合格，乙方应在</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7</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日内无条件予以更换。</w:t>
      </w:r>
    </w:p>
    <w:p w14:paraId="202D9546">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3.2.2 总体验收：乙方将设备全部拆包、安装、调试、培训后应及时通知甲方，甲方自接到乙方通知之日起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7</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日内自行组织或委托第三方进行总体验收，验收合格后签署总体验收报告单。如经甲方或第三方验收不合格，乙方应在</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7</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日内无条件予以返工并承担所有费用。</w:t>
      </w:r>
    </w:p>
    <w:p w14:paraId="4A32F1AC">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3.2.3 甲方验收时如发现乙方所交付、安装的设备不符合本合同约定，甲方应做出详尽的现场记录，由甲乙双方签署备忘录，该现场记录和备忘录作为乙方补交缺少部件、更换不符标准部件的有效依据，由此产生的一切经济损失由乙方承担。</w:t>
      </w:r>
    </w:p>
    <w:p w14:paraId="01D99466">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3.3 包装要求：乙方提供的设备必须为原厂包装，外包装到货时应保证完好无损，否则甲方有权拒绝收货，由此造成的延期交货违约责任和一切经济损失全部由乙方承担。</w:t>
      </w:r>
    </w:p>
    <w:p w14:paraId="1918CC53">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第四条 安装、培训等事项</w:t>
      </w:r>
    </w:p>
    <w:p w14:paraId="7E622231">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4.1 甲方负责协调、处理与安装、调试有关事宜，为乙方创造良好的安装、调试环境。</w:t>
      </w:r>
    </w:p>
    <w:p w14:paraId="19E3ECC1">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4.2 甲方委派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邓时敏13723814432  </w:t>
      </w:r>
      <w:r>
        <w:rPr>
          <w:rFonts w:hint="eastAsia" w:ascii="宋体" w:hAnsi="宋体" w:eastAsia="宋体" w:cs="宋体"/>
          <w:color w:val="000000" w:themeColor="text1"/>
          <w:sz w:val="24"/>
          <w:szCs w:val="24"/>
          <w:highlight w:val="none"/>
          <w:lang w:val="en-US" w:eastAsia="zh-CN"/>
          <w14:textFill>
            <w14:solidFill>
              <w14:schemeClr w14:val="tx1"/>
            </w14:solidFill>
          </w14:textFill>
        </w:rPr>
        <w:t>作为代表，跟踪、检查安装、调试现场。</w:t>
      </w:r>
    </w:p>
    <w:p w14:paraId="46A6EF74">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4.3 乙方负责对甲方的操作人员进行免费培训。</w:t>
      </w:r>
    </w:p>
    <w:p w14:paraId="7C41042A">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4.4 乙方在安装、调试过程中应加强操作人员的安全教育，杜绝安全事故的发生。 </w:t>
      </w:r>
    </w:p>
    <w:p w14:paraId="4974DD80">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第五条 售后服务</w:t>
      </w:r>
    </w:p>
    <w:p w14:paraId="4B7290F8">
      <w:pPr>
        <w:keepNext w:val="0"/>
        <w:keepLines w:val="0"/>
        <w:pageBreakBefore w:val="0"/>
        <w:widowControl w:val="0"/>
        <w:numPr>
          <w:ilvl w:val="-1"/>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5.1 本合同设备质保期为</w:t>
      </w:r>
      <w:r>
        <w:rPr>
          <w:rFonts w:hint="eastAsia" w:ascii="宋体" w:hAnsi="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val="en-US" w:eastAsia="zh-CN"/>
          <w14:textFill>
            <w14:solidFill>
              <w14:schemeClr w14:val="tx1"/>
            </w14:solidFill>
          </w14:textFill>
        </w:rPr>
        <w:t>年，自甲方在总体验收报告单上签字确认合格之日起开始计算。</w:t>
      </w:r>
    </w:p>
    <w:p w14:paraId="24376201">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5.2 </w:t>
      </w:r>
      <w:r>
        <w:rPr>
          <w:rFonts w:hint="eastAsia" w:ascii="宋体" w:hAnsi="宋体" w:eastAsia="宋体" w:cs="宋体"/>
          <w:color w:val="000000" w:themeColor="text1"/>
          <w:sz w:val="24"/>
          <w:highlight w:val="none"/>
          <w14:textFill>
            <w14:solidFill>
              <w14:schemeClr w14:val="tx1"/>
            </w14:solidFill>
          </w14:textFill>
        </w:rPr>
        <w:t>乙方在质保期内免费提供维修、更换、保养、咨询等服务。</w:t>
      </w:r>
      <w:r>
        <w:rPr>
          <w:rFonts w:hint="eastAsia" w:ascii="宋体" w:hAnsi="宋体" w:eastAsia="宋体" w:cs="宋体"/>
          <w:color w:val="000000" w:themeColor="text1"/>
          <w:sz w:val="24"/>
          <w:szCs w:val="24"/>
          <w:highlight w:val="none"/>
          <w:lang w:val="en-US" w:eastAsia="zh-CN"/>
          <w14:textFill>
            <w14:solidFill>
              <w14:schemeClr w14:val="tx1"/>
            </w14:solidFill>
          </w14:textFill>
        </w:rPr>
        <w:t>如设备在</w:t>
      </w:r>
      <w:r>
        <w:rPr>
          <w:rFonts w:hint="eastAsia" w:ascii="宋体" w:hAnsi="宋体" w:eastAsia="宋体" w:cs="宋体"/>
          <w:color w:val="000000" w:themeColor="text1"/>
          <w:sz w:val="24"/>
          <w:highlight w:val="none"/>
          <w14:textFill>
            <w14:solidFill>
              <w14:schemeClr w14:val="tx1"/>
            </w14:solidFill>
          </w14:textFill>
        </w:rPr>
        <w:t>质</w:t>
      </w:r>
      <w:r>
        <w:rPr>
          <w:rFonts w:hint="eastAsia" w:ascii="宋体" w:hAnsi="宋体" w:eastAsia="宋体" w:cs="宋体"/>
          <w:color w:val="000000" w:themeColor="text1"/>
          <w:sz w:val="24"/>
          <w:szCs w:val="24"/>
          <w:highlight w:val="none"/>
          <w:lang w:val="en-US" w:eastAsia="zh-CN"/>
          <w14:textFill>
            <w14:solidFill>
              <w14:schemeClr w14:val="tx1"/>
            </w14:solidFill>
          </w14:textFill>
        </w:rPr>
        <w:t>保期内出现质量问题，乙方应在接到甲方通知（包括电话通知）后</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lang w:val="en-US" w:eastAsia="zh-CN"/>
          <w14:textFill>
            <w14:solidFill>
              <w14:schemeClr w14:val="tx1"/>
            </w14:solidFill>
          </w14:textFill>
        </w:rPr>
        <w:t>小时内响应，响应后</w:t>
      </w:r>
    </w:p>
    <w:p w14:paraId="1B4B460C">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24</w:t>
      </w:r>
      <w:r>
        <w:rPr>
          <w:rFonts w:hint="eastAsia" w:ascii="宋体" w:hAnsi="宋体" w:eastAsia="宋体" w:cs="宋体"/>
          <w:color w:val="000000" w:themeColor="text1"/>
          <w:sz w:val="24"/>
          <w:szCs w:val="24"/>
          <w:highlight w:val="none"/>
          <w:lang w:val="en-US" w:eastAsia="zh-CN"/>
          <w14:textFill>
            <w14:solidFill>
              <w14:schemeClr w14:val="tx1"/>
            </w14:solidFill>
          </w14:textFill>
        </w:rPr>
        <w:t>小时内赶到甲方提供服务，相关费用由乙方承担。如乙方不及时提供服务，甲方有权委托第三方提供</w:t>
      </w:r>
      <w:r>
        <w:rPr>
          <w:rFonts w:hint="eastAsia" w:ascii="宋体" w:hAnsi="宋体" w:eastAsia="宋体" w:cs="宋体"/>
          <w:color w:val="000000" w:themeColor="text1"/>
          <w:sz w:val="24"/>
          <w:highlight w:val="none"/>
          <w14:textFill>
            <w14:solidFill>
              <w14:schemeClr w14:val="tx1"/>
            </w14:solidFill>
          </w14:textFill>
        </w:rPr>
        <w:t>维修、更换、保养、咨询等服务</w:t>
      </w:r>
      <w:r>
        <w:rPr>
          <w:rFonts w:hint="eastAsia" w:ascii="宋体" w:hAnsi="宋体" w:eastAsia="宋体" w:cs="宋体"/>
          <w:color w:val="000000" w:themeColor="text1"/>
          <w:sz w:val="24"/>
          <w:szCs w:val="24"/>
          <w:highlight w:val="none"/>
          <w:lang w:val="en-US" w:eastAsia="zh-CN"/>
          <w14:textFill>
            <w14:solidFill>
              <w14:schemeClr w14:val="tx1"/>
            </w14:solidFill>
          </w14:textFill>
        </w:rPr>
        <w:t>，由此产生的相关费用，甲方有权在应付款中扣除、不足部分由乙方另行补足，或要求乙方将第三方提供服务产生的相关费用直接支付给甲方。</w:t>
      </w:r>
    </w:p>
    <w:p w14:paraId="40C63A74">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479" w:leftChars="228" w:firstLine="0" w:firstLineChars="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5.3 质保期内，乙方每年至少对设备进行一次巡检并向甲方提交巡检记录。</w:t>
      </w:r>
    </w:p>
    <w:p w14:paraId="1079FCC1">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5.4 质保期届满后，如设备出现问题，乙方应在接到甲方通知（包括电话通知）后</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1 </w:t>
      </w:r>
      <w:r>
        <w:rPr>
          <w:rFonts w:hint="eastAsia" w:ascii="宋体" w:hAnsi="宋体" w:eastAsia="宋体" w:cs="宋体"/>
          <w:color w:val="000000" w:themeColor="text1"/>
          <w:sz w:val="24"/>
          <w:szCs w:val="24"/>
          <w:highlight w:val="none"/>
          <w:lang w:val="en-US" w:eastAsia="zh-CN"/>
          <w14:textFill>
            <w14:solidFill>
              <w14:schemeClr w14:val="tx1"/>
            </w14:solidFill>
          </w14:textFill>
        </w:rPr>
        <w:t>小时内响应，响应后</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24</w:t>
      </w:r>
      <w:r>
        <w:rPr>
          <w:rFonts w:hint="eastAsia" w:ascii="宋体" w:hAnsi="宋体" w:eastAsia="宋体" w:cs="宋体"/>
          <w:color w:val="000000" w:themeColor="text1"/>
          <w:sz w:val="24"/>
          <w:szCs w:val="24"/>
          <w:highlight w:val="none"/>
          <w:lang w:val="en-US" w:eastAsia="zh-CN"/>
          <w14:textFill>
            <w14:solidFill>
              <w14:schemeClr w14:val="tx1"/>
            </w14:solidFill>
          </w14:textFill>
        </w:rPr>
        <w:t>小时上门服务，相关费用由甲方承担。</w:t>
      </w:r>
    </w:p>
    <w:p w14:paraId="6838A217">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5 </w:t>
      </w:r>
      <w:r>
        <w:rPr>
          <w:rFonts w:hint="eastAsia" w:ascii="宋体" w:hAnsi="宋体" w:eastAsia="宋体" w:cs="宋体"/>
          <w:color w:val="000000" w:themeColor="text1"/>
          <w:sz w:val="24"/>
          <w:szCs w:val="24"/>
          <w:highlight w:val="none"/>
          <w14:textFill>
            <w14:solidFill>
              <w14:schemeClr w14:val="tx1"/>
            </w14:solidFill>
          </w14:textFill>
        </w:rPr>
        <w:t>乙方须指派</w:t>
      </w:r>
      <w:r>
        <w:rPr>
          <w:rFonts w:hint="eastAsia" w:ascii="宋体" w:hAnsi="宋体" w:eastAsia="宋体" w:cs="宋体"/>
          <w:color w:val="000000" w:themeColor="text1"/>
          <w:sz w:val="24"/>
          <w:szCs w:val="24"/>
          <w:highlight w:val="none"/>
          <w:u w:val="non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电话：</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专门负责与甲方联系售后服务事宜，如人员发生变动，应及时通知甲方。</w:t>
      </w:r>
    </w:p>
    <w:p w14:paraId="12855BE6">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第六条 付款时间、方式</w:t>
      </w:r>
    </w:p>
    <w:p w14:paraId="3A77BC60">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6.1 甲方通过银行转账方式向乙方指定银行账户支付款项；甲方在总体验收报告单上签字确认合格之日起4个月内，向乙方支付</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合同约定总价款</w:t>
      </w:r>
      <w:r>
        <w:rPr>
          <w:rFonts w:hint="eastAsia" w:ascii="宋体" w:hAnsi="宋体" w:eastAsia="宋体" w:cs="宋体"/>
          <w:color w:val="000000" w:themeColor="text1"/>
          <w:sz w:val="24"/>
          <w:szCs w:val="24"/>
          <w:highlight w:val="none"/>
          <w:lang w:val="en-US" w:eastAsia="zh-CN"/>
          <w14:textFill>
            <w14:solidFill>
              <w14:schemeClr w14:val="tx1"/>
            </w14:solidFill>
          </w14:textFill>
        </w:rPr>
        <w:t>的90%；余款10%，甲方在质保期届满且不存在需被扣除情形之日起10个工作日内，免息支付给乙方。</w:t>
      </w:r>
    </w:p>
    <w:p w14:paraId="618A994C">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color w:val="000000" w:themeColor="text1"/>
          <w:sz w:val="28"/>
          <w:szCs w:val="28"/>
          <w:highlight w:val="none"/>
          <w:u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6.2 乙方指定收款银行账户的开户名：</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开户银行：</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val="en-US" w:eastAsia="zh-CN"/>
          <w14:textFill>
            <w14:solidFill>
              <w14:schemeClr w14:val="tx1"/>
            </w14:solidFill>
          </w14:textFill>
        </w:rPr>
        <w:t>账号：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w:t>
      </w:r>
      <w:r>
        <w:rPr>
          <w:rFonts w:hint="eastAsia" w:ascii="宋体" w:hAnsi="宋体"/>
          <w:color w:val="000000" w:themeColor="text1"/>
          <w:sz w:val="28"/>
          <w:szCs w:val="28"/>
          <w:highlight w:val="none"/>
          <w:u w:val="none"/>
          <w:lang w:val="en-US" w:eastAsia="zh-CN"/>
          <w14:textFill>
            <w14:solidFill>
              <w14:schemeClr w14:val="tx1"/>
            </w14:solidFill>
          </w14:textFill>
        </w:rPr>
        <w:t xml:space="preserve">  </w:t>
      </w:r>
    </w:p>
    <w:p w14:paraId="4B0EE2C7">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6.3 乙方应在甲方首次付款前，向甲方提供以乙方自己名义开具的与本合同总价等额的增值税普通发票；如乙方未及时提供发票，甲方有权顺延付款，由此产生的责任均由乙方自行承担。</w:t>
      </w:r>
    </w:p>
    <w:p w14:paraId="33034488">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第七条 风险承担</w:t>
      </w:r>
    </w:p>
    <w:p w14:paraId="4971572F">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7.1 乙方履行本合同过程中发生事故，包括但不限于在运输、装卸、安装及调试过程中发生事故，给甲方、乙方或第三方人身、财产造成的所有损失，均由乙方负责处理和承担全部法律责任、经济赔偿。</w:t>
      </w:r>
    </w:p>
    <w:p w14:paraId="424D8971">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7.2 本合同设备毁损、丢失的风险自甲方在总体验收报告单上签字确认合格后转移给甲方，此前设备的一切风险均由乙方承担。</w:t>
      </w:r>
    </w:p>
    <w:p w14:paraId="0B8D87B4">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7.3 如甲方因乙方设备、质保服务等原因涉及纠纷、诉讼或被处以行政处罚，由乙方承担甲方因纠纷、诉讼、罚款等造成的全部经济损失。</w:t>
      </w:r>
    </w:p>
    <w:p w14:paraId="20B631C9">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第八条 廉洁条款</w:t>
      </w:r>
    </w:p>
    <w:p w14:paraId="47366FA5">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default" w:ascii="宋体" w:hAnsi="宋体" w:eastAsia="宋体" w:cs="宋体"/>
          <w:color w:val="000000" w:themeColor="text1"/>
          <w:sz w:val="24"/>
          <w:szCs w:val="24"/>
          <w:highlight w:val="none"/>
          <w:lang w:val="en-US" w:eastAsia="zh-CN"/>
          <w14:textFill>
            <w14:solidFill>
              <w14:schemeClr w14:val="tx1"/>
            </w14:solidFill>
          </w14:textFill>
        </w:rPr>
        <w:t>8.1 乙方应严格遵守国家相关法律法规，涉及合同的有关业务活动必须坚持公开、公平、公正、诚信原则，不得为获取不正当利益，损害国家、集体和甲方利益。</w:t>
      </w:r>
    </w:p>
    <w:p w14:paraId="2ED975A9">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highlight w:val="none"/>
          <w14:textFill>
            <w14:solidFill>
              <w14:schemeClr w14:val="tx1"/>
            </w14:solidFill>
          </w14:textFill>
        </w:rPr>
      </w:pPr>
      <w:r>
        <w:rPr>
          <w:rFonts w:hint="default" w:ascii="宋体" w:hAnsi="宋体" w:eastAsia="宋体" w:cs="宋体"/>
          <w:b/>
          <w:bCs/>
          <w:color w:val="000000" w:themeColor="text1"/>
          <w:sz w:val="24"/>
          <w:szCs w:val="24"/>
          <w:highlight w:val="none"/>
          <w:lang w:val="en-US" w:eastAsia="zh-CN"/>
          <w14:textFill>
            <w14:solidFill>
              <w14:schemeClr w14:val="tx1"/>
            </w14:solidFill>
          </w14:textFill>
        </w:rPr>
        <w:t xml:space="preserve">8.2 </w:t>
      </w:r>
      <w:r>
        <w:rPr>
          <w:rFonts w:hint="default" w:ascii="宋体" w:hAnsi="宋体" w:eastAsia="宋体" w:cs="宋体"/>
          <w:b/>
          <w:bCs/>
          <w:color w:val="000000" w:themeColor="text1"/>
          <w:sz w:val="24"/>
          <w:szCs w:val="24"/>
          <w:highlight w:val="none"/>
          <w:u w:val="single"/>
          <w:lang w:val="en-US" w:eastAsia="zh-CN"/>
          <w14:textFill>
            <w14:solidFill>
              <w14:schemeClr w14:val="tx1"/>
            </w14:solidFill>
          </w14:textFill>
        </w:rPr>
        <w:t>乙方的任何人员（包括股东、管理人员、普通员工等）及与乙方本业务有关的任何人员（包括与乙方不存在劳动、劳务关系的人员），均不得对甲方工作人员或其亲友、关系人请客、送礼或赠送礼金、有价证券、贵重物品及给予回扣、好处费、感谢费等其他形式的好处，否则甲方有权要求乙方按本合同约定向甲方支付违反廉洁条款的惩罚性违约金。</w:t>
      </w:r>
    </w:p>
    <w:p w14:paraId="2F4FD1A1">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default"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lang w:val="en-US" w:eastAsia="zh-CN"/>
          <w14:textFill>
            <w14:solidFill>
              <w14:schemeClr w14:val="tx1"/>
            </w14:solidFill>
          </w14:textFill>
        </w:rPr>
        <w:t>第九条 保密条款</w:t>
      </w:r>
    </w:p>
    <w:p w14:paraId="1B9CDB3C">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9.1 本合同订立、履行、变更等产生的研究、商讨、交流等信息，履行本合同获悉的甲方商业秘密、运营信息、工作人员信息、患陪个人信息等，均属保密信息。</w:t>
      </w:r>
    </w:p>
    <w:p w14:paraId="611085F1">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9.2 乙方应对保密信息采取有效手段严格保密，不得用于非本合同之目的或向第三方泄露。如政府部门、法院或其他有权部门要求乙方提供保密信息，乙方应当立即向甲方通报。</w:t>
      </w:r>
    </w:p>
    <w:p w14:paraId="67DC819B">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9.3 因乙方未履行本合同保密义务造成甲方或第三方损失的，由乙方承担全部赔偿责任。</w:t>
      </w:r>
    </w:p>
    <w:p w14:paraId="7360AD7C">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9.4 本合同保密条款在合同被认定无效、被撤销或终止、解除后仍然有效。</w:t>
      </w:r>
    </w:p>
    <w:p w14:paraId="29704BDB">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default"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lang w:val="en-US" w:eastAsia="zh-CN"/>
          <w14:textFill>
            <w14:solidFill>
              <w14:schemeClr w14:val="tx1"/>
            </w14:solidFill>
          </w14:textFill>
        </w:rPr>
        <w:t xml:space="preserve">第十条 </w:t>
      </w:r>
      <w:r>
        <w:rPr>
          <w:rFonts w:hint="default" w:ascii="宋体" w:hAnsi="宋体" w:eastAsia="宋体" w:cs="宋体"/>
          <w:b/>
          <w:bCs/>
          <w:color w:val="000000" w:themeColor="text1"/>
          <w:sz w:val="24"/>
          <w:highlight w:val="none"/>
          <w:lang w:val="en-US" w:eastAsia="zh-CN"/>
          <w14:textFill>
            <w14:solidFill>
              <w14:schemeClr w14:val="tx1"/>
            </w14:solidFill>
          </w14:textFill>
        </w:rPr>
        <w:t>通知</w:t>
      </w:r>
      <w:r>
        <w:rPr>
          <w:rFonts w:hint="eastAsia" w:ascii="宋体" w:hAnsi="宋体" w:eastAsia="宋体" w:cs="宋体"/>
          <w:b/>
          <w:bCs/>
          <w:color w:val="000000" w:themeColor="text1"/>
          <w:sz w:val="24"/>
          <w:highlight w:val="none"/>
          <w:lang w:val="en-US" w:eastAsia="zh-CN"/>
          <w14:textFill>
            <w14:solidFill>
              <w14:schemeClr w14:val="tx1"/>
            </w14:solidFill>
          </w14:textFill>
        </w:rPr>
        <w:t>与送达</w:t>
      </w:r>
    </w:p>
    <w:p w14:paraId="6FB6B626">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10.1 甲乙双方同意，与本合同有关的任何文书，应以书面方式按照本合同约定发送，书面方式包括手机短信、微信、书面函件、电子邮件等形式。</w:t>
      </w:r>
    </w:p>
    <w:p w14:paraId="32A9A161">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10.2 双方确认的文书（包括未来可能发生的诉讼或仲裁活动中法院或仲裁机构的送达法律文书）送达地址：</w:t>
      </w:r>
    </w:p>
    <w:p w14:paraId="1B16A4EB">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 xml:space="preserve">10.2.1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甲方的联系地址：</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娄底市娄星区</w:t>
      </w:r>
      <w:r>
        <w:rPr>
          <w:rFonts w:hint="default" w:ascii="宋体" w:hAnsi="宋体" w:eastAsia="宋体" w:cs="宋体"/>
          <w:b w:val="0"/>
          <w:bCs w:val="0"/>
          <w:color w:val="000000" w:themeColor="text1"/>
          <w:sz w:val="24"/>
          <w:highlight w:val="none"/>
          <w:u w:val="single"/>
          <w:lang w:val="en-US" w:eastAsia="zh-CN"/>
          <w14:textFill>
            <w14:solidFill>
              <w14:schemeClr w14:val="tx1"/>
            </w14:solidFill>
          </w14:textFill>
        </w:rPr>
        <w:t>长青中街51号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娄底市中心医院设备科</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，联系人：</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朱振宇</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，联系电话：</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15673845559</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，邮箱地址</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7248283@qq.com</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或微信号</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15673845559</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w:t>
      </w:r>
    </w:p>
    <w:p w14:paraId="6CD2A5B8">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 xml:space="preserve">10.2.2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乙方的联系地址：</w:t>
      </w:r>
      <w:r>
        <w:rPr>
          <w:rFonts w:hint="default"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 xml:space="preserve"> ，联系人：</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 联系电话：</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，邮箱地址</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或微信号</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w:t>
      </w:r>
    </w:p>
    <w:p w14:paraId="55FD3E91">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10.3 上述通知应被视为在下列时间送达：以快递或专人发送的，在收件人签收之日或拒收之日；以挂号邮件发出的，在发出之日起7个工作日；以电子邮件发出的，在电子邮件进入收件方电子邮箱服务器之日。</w:t>
      </w:r>
    </w:p>
    <w:p w14:paraId="663E7DBD">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10.4 以上地址和联系方式，任何一方发生变更应在变更之日起3日内通知对方。如未通知，一方按原地址送达的书面资料被退回的，退回之日视为送达之日。任何一方按照确认地址送到另一方的书面资料被拒绝签收导致邮件被退回的，退回之日视为送达之日。</w:t>
      </w:r>
    </w:p>
    <w:p w14:paraId="332909F9">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default"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lang w:eastAsia="zh-CN"/>
          <w14:textFill>
            <w14:solidFill>
              <w14:schemeClr w14:val="tx1"/>
            </w14:solidFill>
          </w14:textFill>
        </w:rPr>
        <w:t>第十</w:t>
      </w:r>
      <w:r>
        <w:rPr>
          <w:rFonts w:hint="eastAsia" w:ascii="宋体" w:hAnsi="宋体" w:eastAsia="宋体" w:cs="宋体"/>
          <w:b/>
          <w:bCs/>
          <w:color w:val="000000" w:themeColor="text1"/>
          <w:sz w:val="24"/>
          <w:highlight w:val="none"/>
          <w:lang w:val="en-US" w:eastAsia="zh-CN"/>
          <w14:textFill>
            <w14:solidFill>
              <w14:schemeClr w14:val="tx1"/>
            </w14:solidFill>
          </w14:textFill>
        </w:rPr>
        <w:t>一</w:t>
      </w:r>
      <w:r>
        <w:rPr>
          <w:rFonts w:hint="eastAsia" w:ascii="宋体" w:hAnsi="宋体" w:eastAsia="宋体" w:cs="宋体"/>
          <w:b/>
          <w:bCs/>
          <w:color w:val="000000" w:themeColor="text1"/>
          <w:sz w:val="24"/>
          <w:highlight w:val="none"/>
          <w:lang w:eastAsia="zh-CN"/>
          <w14:textFill>
            <w14:solidFill>
              <w14:schemeClr w14:val="tx1"/>
            </w14:solidFill>
          </w14:textFill>
        </w:rPr>
        <w:t>条</w:t>
      </w:r>
      <w:r>
        <w:rPr>
          <w:rFonts w:hint="eastAsia" w:ascii="宋体" w:hAnsi="宋体" w:eastAsia="宋体" w:cs="宋体"/>
          <w:b/>
          <w:bCs/>
          <w:color w:val="000000" w:themeColor="text1"/>
          <w:sz w:val="24"/>
          <w:highlight w:val="none"/>
          <w:lang w:val="en-US" w:eastAsia="zh-CN"/>
          <w14:textFill>
            <w14:solidFill>
              <w14:schemeClr w14:val="tx1"/>
            </w14:solidFill>
          </w14:textFill>
        </w:rPr>
        <w:t xml:space="preserve"> 合同的变更、解除</w:t>
      </w:r>
    </w:p>
    <w:p w14:paraId="70430007">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11.1 本合同经双方协商一致后可以变更，双方应另行签订补充协议。</w:t>
      </w:r>
    </w:p>
    <w:p w14:paraId="5B80C46E">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u w:val="single"/>
          <w:lang w:val="en-US" w:eastAsia="zh-CN"/>
          <w14:textFill>
            <w14:solidFill>
              <w14:schemeClr w14:val="tx1"/>
            </w14:solidFill>
          </w14:textFill>
        </w:rPr>
        <w:t>11.2 如甲方因政策变化等非自身主观原因不需要购买本合同全部设备，经书面通知乙方后可以提前终止本合同；如甲方因运营需要等原因不需要购买本合同部分设备，不需要购买的部分自动从采购内容中剔除。</w:t>
      </w:r>
    </w:p>
    <w:p w14:paraId="49412BAD">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 xml:space="preserve">11.3 </w:t>
      </w:r>
      <w:r>
        <w:rPr>
          <w:rFonts w:hint="eastAsia" w:ascii="宋体" w:hAnsi="宋体" w:eastAsia="宋体" w:cs="宋体"/>
          <w:color w:val="000000" w:themeColor="text1"/>
          <w:sz w:val="24"/>
          <w:highlight w:val="none"/>
          <w14:textFill>
            <w14:solidFill>
              <w14:schemeClr w14:val="tx1"/>
            </w14:solidFill>
          </w14:textFill>
        </w:rPr>
        <w:t>乙方出现以下违约情形之一的，甲方有权拒绝支付任何价款并解除合同：</w:t>
      </w:r>
    </w:p>
    <w:p w14:paraId="5679FD7C">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.1 乙方逾期</w:t>
      </w:r>
      <w:r>
        <w:rPr>
          <w:rFonts w:hint="eastAsia" w:ascii="宋体" w:hAnsi="宋体" w:eastAsia="宋体" w:cs="宋体"/>
          <w:color w:val="000000" w:themeColor="text1"/>
          <w:sz w:val="24"/>
          <w:highlight w:val="none"/>
          <w:u w:val="single"/>
          <w14:textFill>
            <w14:solidFill>
              <w14:schemeClr w14:val="tx1"/>
            </w14:solidFill>
          </w14:textFill>
        </w:rPr>
        <w:t>30</w:t>
      </w:r>
      <w:r>
        <w:rPr>
          <w:rFonts w:hint="eastAsia" w:ascii="宋体" w:hAnsi="宋体" w:eastAsia="宋体" w:cs="宋体"/>
          <w:color w:val="000000" w:themeColor="text1"/>
          <w:sz w:val="24"/>
          <w:highlight w:val="none"/>
          <w14:textFill>
            <w14:solidFill>
              <w14:schemeClr w14:val="tx1"/>
            </w14:solidFill>
          </w14:textFill>
        </w:rPr>
        <w:t>日仍不能供货；</w:t>
      </w:r>
    </w:p>
    <w:p w14:paraId="37C5BC5F">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.2 乙方提供的设备质量不符合国家标准、本合同标准或</w:t>
      </w:r>
      <w:r>
        <w:rPr>
          <w:rFonts w:hint="eastAsia" w:ascii="宋体" w:hAnsi="宋体" w:eastAsia="宋体" w:cs="宋体"/>
          <w:color w:val="000000" w:themeColor="text1"/>
          <w:sz w:val="24"/>
          <w:highlight w:val="none"/>
          <w:lang w:eastAsia="zh-CN"/>
          <w14:textFill>
            <w14:solidFill>
              <w14:schemeClr w14:val="tx1"/>
            </w14:solidFill>
          </w14:textFill>
        </w:rPr>
        <w:t>投标文件</w:t>
      </w:r>
      <w:r>
        <w:rPr>
          <w:rFonts w:hint="eastAsia" w:ascii="宋体" w:hAnsi="宋体" w:eastAsia="宋体" w:cs="宋体"/>
          <w:color w:val="000000" w:themeColor="text1"/>
          <w:sz w:val="24"/>
          <w:highlight w:val="none"/>
          <w:lang w:val="en-US"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响应文件约定标准；</w:t>
      </w:r>
    </w:p>
    <w:p w14:paraId="4E910DA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.3 乙方将</w:t>
      </w:r>
      <w:r>
        <w:rPr>
          <w:rFonts w:hint="eastAsia" w:ascii="宋体" w:hAnsi="宋体" w:eastAsia="宋体" w:cs="宋体"/>
          <w:color w:val="000000" w:themeColor="text1"/>
          <w:sz w:val="24"/>
          <w:highlight w:val="none"/>
          <w:lang w:val="en-US" w:eastAsia="zh-CN"/>
          <w14:textFill>
            <w14:solidFill>
              <w14:schemeClr w14:val="tx1"/>
            </w14:solidFill>
          </w14:textFill>
        </w:rPr>
        <w:t>本合同权利义务全部或部分转让给</w:t>
      </w:r>
      <w:r>
        <w:rPr>
          <w:rFonts w:hint="eastAsia" w:ascii="宋体" w:hAnsi="宋体" w:eastAsia="宋体" w:cs="宋体"/>
          <w:color w:val="000000" w:themeColor="text1"/>
          <w:sz w:val="24"/>
          <w:highlight w:val="none"/>
          <w14:textFill>
            <w14:solidFill>
              <w14:schemeClr w14:val="tx1"/>
            </w14:solidFill>
          </w14:textFill>
        </w:rPr>
        <w:t>第三方；</w:t>
      </w:r>
    </w:p>
    <w:p w14:paraId="1CA49F8E">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.4 其他根本违约的情形。</w:t>
      </w:r>
    </w:p>
    <w:p w14:paraId="1C9CCADE">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第</w:t>
      </w:r>
      <w:r>
        <w:rPr>
          <w:rFonts w:hint="eastAsia" w:ascii="宋体" w:hAnsi="宋体" w:eastAsia="宋体" w:cs="宋体"/>
          <w:b/>
          <w:bCs/>
          <w:color w:val="000000" w:themeColor="text1"/>
          <w:sz w:val="24"/>
          <w:highlight w:val="none"/>
          <w:lang w:eastAsia="zh-CN"/>
          <w14:textFill>
            <w14:solidFill>
              <w14:schemeClr w14:val="tx1"/>
            </w14:solidFill>
          </w14:textFill>
        </w:rPr>
        <w:t>十</w:t>
      </w:r>
      <w:r>
        <w:rPr>
          <w:rFonts w:hint="eastAsia" w:ascii="宋体" w:hAnsi="宋体" w:eastAsia="宋体" w:cs="宋体"/>
          <w:b/>
          <w:bCs/>
          <w:color w:val="000000" w:themeColor="text1"/>
          <w:sz w:val="24"/>
          <w:highlight w:val="none"/>
          <w:lang w:val="en-US" w:eastAsia="zh-CN"/>
          <w14:textFill>
            <w14:solidFill>
              <w14:schemeClr w14:val="tx1"/>
            </w14:solidFill>
          </w14:textFill>
        </w:rPr>
        <w:t>二</w:t>
      </w:r>
      <w:r>
        <w:rPr>
          <w:rFonts w:hint="eastAsia" w:ascii="宋体" w:hAnsi="宋体" w:eastAsia="宋体" w:cs="宋体"/>
          <w:b/>
          <w:bCs/>
          <w:color w:val="000000" w:themeColor="text1"/>
          <w:sz w:val="24"/>
          <w:highlight w:val="none"/>
          <w14:textFill>
            <w14:solidFill>
              <w14:schemeClr w14:val="tx1"/>
            </w14:solidFill>
          </w14:textFill>
        </w:rPr>
        <w:t>条 违约责任</w:t>
      </w:r>
    </w:p>
    <w:p w14:paraId="12BED93A">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12</w:t>
      </w:r>
      <w:r>
        <w:rPr>
          <w:rFonts w:hint="eastAsia" w:ascii="宋体" w:hAnsi="宋体" w:eastAsia="宋体" w:cs="宋体"/>
          <w:color w:val="000000" w:themeColor="text1"/>
          <w:sz w:val="24"/>
          <w:highlight w:val="none"/>
          <w14:textFill>
            <w14:solidFill>
              <w14:schemeClr w14:val="tx1"/>
            </w14:solidFill>
          </w14:textFill>
        </w:rPr>
        <w:t xml:space="preserve">.1 </w:t>
      </w:r>
      <w:r>
        <w:rPr>
          <w:rFonts w:hint="eastAsia" w:ascii="宋体" w:hAnsi="宋体" w:eastAsia="宋体" w:cs="宋体"/>
          <w:color w:val="000000" w:themeColor="text1"/>
          <w:sz w:val="24"/>
          <w:highlight w:val="none"/>
          <w:lang w:eastAsia="zh-CN"/>
          <w14:textFill>
            <w14:solidFill>
              <w14:schemeClr w14:val="tx1"/>
            </w14:solidFill>
          </w14:textFill>
        </w:rPr>
        <w:t>甲方因</w:t>
      </w:r>
      <w:r>
        <w:rPr>
          <w:rFonts w:hint="eastAsia" w:ascii="宋体" w:hAnsi="宋体" w:eastAsia="宋体" w:cs="宋体"/>
          <w:color w:val="000000" w:themeColor="text1"/>
          <w:sz w:val="24"/>
          <w:highlight w:val="none"/>
          <w:lang w:val="en-US" w:eastAsia="zh-CN"/>
          <w14:textFill>
            <w14:solidFill>
              <w14:schemeClr w14:val="tx1"/>
            </w14:solidFill>
          </w14:textFill>
        </w:rPr>
        <w:t>11.2情形提前终止本合同或剔除部分采购内容均无须承担违约责任，乙方不得因此要求甲方予以任何经济赔偿或补偿。</w:t>
      </w:r>
    </w:p>
    <w:p w14:paraId="56C5ACC7">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12</w:t>
      </w:r>
      <w:r>
        <w:rPr>
          <w:rFonts w:hint="eastAsia" w:ascii="宋体" w:hAnsi="宋体" w:eastAsia="宋体" w:cs="宋体"/>
          <w:color w:val="000000" w:themeColor="text1"/>
          <w:sz w:val="24"/>
          <w:highlight w:val="none"/>
          <w14:textFill>
            <w14:solidFill>
              <w14:schemeClr w14:val="tx1"/>
            </w14:solidFill>
          </w14:textFill>
        </w:rPr>
        <w:t>.2 如乙方未在本合同约定时间内将验收合格的</w:t>
      </w:r>
      <w:r>
        <w:rPr>
          <w:rFonts w:hint="eastAsia" w:ascii="宋体" w:hAnsi="宋体" w:eastAsia="宋体" w:cs="宋体"/>
          <w:color w:val="000000" w:themeColor="text1"/>
          <w:sz w:val="24"/>
          <w:highlight w:val="none"/>
          <w:lang w:val="en-US" w:eastAsia="zh-CN"/>
          <w14:textFill>
            <w14:solidFill>
              <w14:schemeClr w14:val="tx1"/>
            </w14:solidFill>
          </w14:textFill>
        </w:rPr>
        <w:t>设备</w:t>
      </w:r>
      <w:r>
        <w:rPr>
          <w:rFonts w:hint="eastAsia" w:ascii="宋体" w:hAnsi="宋体" w:eastAsia="宋体" w:cs="宋体"/>
          <w:color w:val="000000" w:themeColor="text1"/>
          <w:sz w:val="24"/>
          <w:highlight w:val="none"/>
          <w14:textFill>
            <w14:solidFill>
              <w14:schemeClr w14:val="tx1"/>
            </w14:solidFill>
          </w14:textFill>
        </w:rPr>
        <w:t>交付给甲方使用，除应赔偿甲方因此造成的损失外，每逾期一日，按</w:t>
      </w:r>
      <w:r>
        <w:rPr>
          <w:rFonts w:hint="eastAsia" w:ascii="宋体" w:hAnsi="宋体" w:eastAsia="宋体" w:cs="宋体"/>
          <w:color w:val="000000" w:themeColor="text1"/>
          <w:sz w:val="24"/>
          <w:highlight w:val="none"/>
          <w:u w:val="none"/>
          <w14:textFill>
            <w14:solidFill>
              <w14:schemeClr w14:val="tx1"/>
            </w14:solidFill>
          </w14:textFill>
        </w:rPr>
        <w:t>本合同约定总价款的</w:t>
      </w:r>
      <w:r>
        <w:rPr>
          <w:rFonts w:hint="eastAsia" w:ascii="宋体" w:hAnsi="宋体" w:eastAsia="宋体" w:cs="宋体"/>
          <w:color w:val="000000" w:themeColor="text1"/>
          <w:sz w:val="24"/>
          <w:highlight w:val="none"/>
          <w:u w:val="none"/>
          <w:lang w:eastAsia="zh-CN"/>
          <w14:textFill>
            <w14:solidFill>
              <w14:schemeClr w14:val="tx1"/>
            </w14:solidFill>
          </w14:textFill>
        </w:rPr>
        <w:t>千分之一</w:t>
      </w:r>
      <w:r>
        <w:rPr>
          <w:rFonts w:hint="eastAsia" w:ascii="宋体" w:hAnsi="宋体" w:eastAsia="宋体" w:cs="宋体"/>
          <w:color w:val="000000" w:themeColor="text1"/>
          <w:sz w:val="24"/>
          <w:highlight w:val="none"/>
          <w:lang w:eastAsia="zh-CN"/>
          <w14:textFill>
            <w14:solidFill>
              <w14:schemeClr w14:val="tx1"/>
            </w14:solidFill>
          </w14:textFill>
        </w:rPr>
        <w:t>标准</w:t>
      </w:r>
      <w:r>
        <w:rPr>
          <w:rFonts w:hint="eastAsia" w:ascii="宋体" w:hAnsi="宋体" w:eastAsia="宋体" w:cs="宋体"/>
          <w:color w:val="000000" w:themeColor="text1"/>
          <w:sz w:val="24"/>
          <w:highlight w:val="none"/>
          <w14:textFill>
            <w14:solidFill>
              <w14:schemeClr w14:val="tx1"/>
            </w14:solidFill>
          </w14:textFill>
        </w:rPr>
        <w:t>向甲方支付违约金。</w:t>
      </w:r>
    </w:p>
    <w:p w14:paraId="732D9BE6">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12</w:t>
      </w:r>
      <w:r>
        <w:rPr>
          <w:rFonts w:hint="eastAsia" w:ascii="宋体" w:hAnsi="宋体" w:eastAsia="宋体" w:cs="宋体"/>
          <w:color w:val="000000" w:themeColor="text1"/>
          <w:sz w:val="24"/>
          <w:highlight w:val="none"/>
          <w14:textFill>
            <w14:solidFill>
              <w14:schemeClr w14:val="tx1"/>
            </w14:solidFill>
          </w14:textFill>
        </w:rPr>
        <w:t>.3 如乙方单方解除合同或甲方因</w:t>
      </w:r>
      <w:r>
        <w:rPr>
          <w:rFonts w:hint="eastAsia" w:ascii="宋体" w:hAnsi="宋体" w:eastAsia="宋体" w:cs="宋体"/>
          <w:color w:val="000000" w:themeColor="text1"/>
          <w:sz w:val="24"/>
          <w:highlight w:val="none"/>
          <w:lang w:val="en-US" w:eastAsia="zh-CN"/>
          <w14:textFill>
            <w14:solidFill>
              <w14:schemeClr w14:val="tx1"/>
            </w14:solidFill>
          </w14:textFill>
        </w:rPr>
        <w:t>11.3情形</w:t>
      </w:r>
      <w:r>
        <w:rPr>
          <w:rFonts w:hint="eastAsia" w:ascii="宋体" w:hAnsi="宋体" w:eastAsia="宋体" w:cs="宋体"/>
          <w:color w:val="000000" w:themeColor="text1"/>
          <w:sz w:val="24"/>
          <w:highlight w:val="none"/>
          <w14:textFill>
            <w14:solidFill>
              <w14:schemeClr w14:val="tx1"/>
            </w14:solidFill>
          </w14:textFill>
        </w:rPr>
        <w:t>解除合同，乙方应赔偿给甲方造成的全部经济损失，并按</w:t>
      </w:r>
      <w:r>
        <w:rPr>
          <w:rFonts w:hint="eastAsia" w:ascii="宋体" w:hAnsi="宋体" w:eastAsia="宋体" w:cs="宋体"/>
          <w:color w:val="000000" w:themeColor="text1"/>
          <w:sz w:val="24"/>
          <w:highlight w:val="none"/>
          <w:u w:val="none"/>
          <w14:textFill>
            <w14:solidFill>
              <w14:schemeClr w14:val="tx1"/>
            </w14:solidFill>
          </w14:textFill>
        </w:rPr>
        <w:t>本合同总价款30%</w:t>
      </w:r>
      <w:r>
        <w:rPr>
          <w:rFonts w:hint="eastAsia" w:ascii="宋体" w:hAnsi="宋体" w:eastAsia="宋体" w:cs="宋体"/>
          <w:color w:val="000000" w:themeColor="text1"/>
          <w:sz w:val="24"/>
          <w:highlight w:val="none"/>
          <w14:textFill>
            <w14:solidFill>
              <w14:schemeClr w14:val="tx1"/>
            </w14:solidFill>
          </w14:textFill>
        </w:rPr>
        <w:t>标准</w:t>
      </w:r>
      <w:r>
        <w:rPr>
          <w:rFonts w:hint="eastAsia" w:ascii="宋体" w:hAnsi="宋体" w:eastAsia="宋体" w:cs="宋体"/>
          <w:color w:val="000000" w:themeColor="text1"/>
          <w:sz w:val="24"/>
          <w:highlight w:val="none"/>
          <w:lang w:val="en-US" w:eastAsia="zh-CN"/>
          <w14:textFill>
            <w14:solidFill>
              <w14:schemeClr w14:val="tx1"/>
            </w14:solidFill>
          </w14:textFill>
        </w:rPr>
        <w:t>向</w:t>
      </w:r>
      <w:r>
        <w:rPr>
          <w:rFonts w:hint="eastAsia" w:ascii="宋体" w:hAnsi="宋体" w:eastAsia="宋体" w:cs="宋体"/>
          <w:color w:val="000000" w:themeColor="text1"/>
          <w:sz w:val="24"/>
          <w:highlight w:val="none"/>
          <w14:textFill>
            <w14:solidFill>
              <w14:schemeClr w14:val="tx1"/>
            </w14:solidFill>
          </w14:textFill>
        </w:rPr>
        <w:t>甲方支付违约金。</w:t>
      </w:r>
    </w:p>
    <w:p w14:paraId="1FFC330F">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szCs w:val="24"/>
          <w:highlight w:val="none"/>
          <w:u w:val="singl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u w:val="single"/>
          <w:lang w:val="en-US" w:eastAsia="zh-CN"/>
          <w14:textFill>
            <w14:solidFill>
              <w14:schemeClr w14:val="tx1"/>
            </w14:solidFill>
          </w14:textFill>
        </w:rPr>
        <w:t>12.4 无论甲方在任意时候（不限于本合同履行期间）发现存在违反本合同廉洁条款及供应商考核管理制度约定的行为，乙方均须向甲方支付一次性惩罚性违约金，</w:t>
      </w:r>
      <w:r>
        <w:rPr>
          <w:rFonts w:hint="eastAsia" w:ascii="宋体" w:hAnsi="宋体" w:eastAsia="宋体" w:cs="宋体"/>
          <w:b/>
          <w:bCs/>
          <w:color w:val="FF0000"/>
          <w:sz w:val="24"/>
          <w:szCs w:val="24"/>
          <w:highlight w:val="none"/>
          <w:u w:val="single"/>
          <w:lang w:val="en-US" w:eastAsia="zh-CN"/>
        </w:rPr>
        <w:t>该违约金金额按以下较高者确定：（1）本合同总费用的10%；（2）根据《娄底市中心医院医疗器械供应商考核管理制度》规定计算的廉政违约金金额。</w:t>
      </w:r>
      <w:r>
        <w:rPr>
          <w:rFonts w:hint="eastAsia" w:ascii="宋体" w:hAnsi="宋体" w:eastAsia="宋体" w:cs="宋体"/>
          <w:b/>
          <w:bCs/>
          <w:color w:val="000000" w:themeColor="text1"/>
          <w:sz w:val="24"/>
          <w:szCs w:val="24"/>
          <w:highlight w:val="none"/>
          <w:u w:val="single"/>
          <w:lang w:val="en-US" w:eastAsia="zh-CN"/>
          <w14:textFill>
            <w14:solidFill>
              <w14:schemeClr w14:val="tx1"/>
            </w14:solidFill>
          </w14:textFill>
        </w:rPr>
        <w:t>如乙方除需承担违反廉洁条款及供应商考核管理制度的违约责任外，同时存在其他违约行为，乙方仍须就其他违约行为承担相应违约责任。</w:t>
      </w:r>
    </w:p>
    <w:p w14:paraId="593381C7">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default" w:ascii="宋体" w:hAnsi="宋体" w:eastAsia="宋体" w:cs="宋体"/>
          <w:b/>
          <w:bCs/>
          <w:color w:val="000000" w:themeColor="text1"/>
          <w:sz w:val="24"/>
          <w:highlight w:val="none"/>
          <w:u w:val="single"/>
          <w:lang w:val="en-US" w:eastAsia="zh-CN"/>
          <w14:textFill>
            <w14:solidFill>
              <w14:schemeClr w14:val="tx1"/>
            </w14:solidFill>
          </w14:textFill>
        </w:rPr>
      </w:pPr>
      <w:r>
        <w:rPr>
          <w:rFonts w:hint="eastAsia" w:ascii="宋体" w:hAnsi="宋体" w:eastAsia="宋体" w:cs="宋体"/>
          <w:b/>
          <w:bCs/>
          <w:color w:val="000000" w:themeColor="text1"/>
          <w:sz w:val="24"/>
          <w:highlight w:val="none"/>
          <w:u w:val="single"/>
          <w:lang w:val="en-US" w:eastAsia="zh-CN"/>
          <w14:textFill>
            <w14:solidFill>
              <w14:schemeClr w14:val="tx1"/>
            </w14:solidFill>
          </w14:textFill>
        </w:rPr>
        <w:t>12.5 依据本合同约定乙方应支付给甲方的违约金，甲方有权在应支付给乙方的任意价款中直接予以扣除，如扣除部分不足，乙方应在接到甲方通知后3日内补足。</w:t>
      </w:r>
    </w:p>
    <w:p w14:paraId="60F16F2D">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第</w:t>
      </w:r>
      <w:r>
        <w:rPr>
          <w:rFonts w:hint="eastAsia" w:ascii="宋体" w:hAnsi="宋体" w:cs="宋体"/>
          <w:b/>
          <w:bCs/>
          <w:color w:val="000000" w:themeColor="text1"/>
          <w:sz w:val="24"/>
          <w:highlight w:val="none"/>
          <w:lang w:val="en-US" w:eastAsia="zh-CN"/>
          <w14:textFill>
            <w14:solidFill>
              <w14:schemeClr w14:val="tx1"/>
            </w14:solidFill>
          </w14:textFill>
        </w:rPr>
        <w:t>十三</w:t>
      </w:r>
      <w:r>
        <w:rPr>
          <w:rFonts w:hint="eastAsia" w:ascii="宋体" w:hAnsi="宋体" w:eastAsia="宋体" w:cs="宋体"/>
          <w:b/>
          <w:bCs/>
          <w:color w:val="000000" w:themeColor="text1"/>
          <w:sz w:val="24"/>
          <w:highlight w:val="none"/>
          <w14:textFill>
            <w14:solidFill>
              <w14:schemeClr w14:val="tx1"/>
            </w14:solidFill>
          </w14:textFill>
        </w:rPr>
        <w:t>条 争议解决</w:t>
      </w:r>
    </w:p>
    <w:p w14:paraId="5921723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13.1 本合同适用中华人民共和国法律，并按其解释。</w:t>
      </w:r>
    </w:p>
    <w:p w14:paraId="3DCB1904">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 xml:space="preserve">13.2 </w:t>
      </w:r>
      <w:r>
        <w:rPr>
          <w:rFonts w:hint="eastAsia" w:ascii="宋体" w:hAnsi="宋体" w:eastAsia="宋体" w:cs="宋体"/>
          <w:color w:val="000000" w:themeColor="text1"/>
          <w:sz w:val="24"/>
          <w:highlight w:val="none"/>
          <w14:textFill>
            <w14:solidFill>
              <w14:schemeClr w14:val="tx1"/>
            </w14:solidFill>
          </w14:textFill>
        </w:rPr>
        <w:t>如双方在履行本合同过程中发生争议，双方应先协商解决，协商解决不成的，任一方均可向甲方所在地有管辖权的人民法院提起诉讼解决。</w:t>
      </w:r>
    </w:p>
    <w:p w14:paraId="3E8F58B1">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第十</w:t>
      </w:r>
      <w:r>
        <w:rPr>
          <w:rFonts w:hint="eastAsia" w:ascii="宋体" w:hAnsi="宋体" w:cs="宋体"/>
          <w:b/>
          <w:bCs/>
          <w:color w:val="000000" w:themeColor="text1"/>
          <w:sz w:val="24"/>
          <w:highlight w:val="none"/>
          <w:lang w:val="en-US" w:eastAsia="zh-CN"/>
          <w14:textFill>
            <w14:solidFill>
              <w14:schemeClr w14:val="tx1"/>
            </w14:solidFill>
          </w14:textFill>
        </w:rPr>
        <w:t>四</w:t>
      </w:r>
      <w:r>
        <w:rPr>
          <w:rFonts w:hint="eastAsia" w:ascii="宋体" w:hAnsi="宋体" w:eastAsia="宋体" w:cs="宋体"/>
          <w:b/>
          <w:bCs/>
          <w:color w:val="000000" w:themeColor="text1"/>
          <w:sz w:val="24"/>
          <w:highlight w:val="none"/>
          <w14:textFill>
            <w14:solidFill>
              <w14:schemeClr w14:val="tx1"/>
            </w14:solidFill>
          </w14:textFill>
        </w:rPr>
        <w:t>条 附则</w:t>
      </w:r>
    </w:p>
    <w:p w14:paraId="00CB60EF">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FF0000"/>
          <w:sz w:val="24"/>
          <w:highlight w:val="none"/>
        </w:rPr>
        <w:t>1</w:t>
      </w:r>
      <w:r>
        <w:rPr>
          <w:rFonts w:hint="eastAsia" w:ascii="宋体" w:hAnsi="宋体" w:eastAsia="宋体" w:cs="宋体"/>
          <w:color w:val="FF0000"/>
          <w:sz w:val="24"/>
          <w:highlight w:val="none"/>
          <w:lang w:val="en-US" w:eastAsia="zh-CN"/>
        </w:rPr>
        <w:t>4</w:t>
      </w:r>
      <w:r>
        <w:rPr>
          <w:rFonts w:hint="eastAsia" w:ascii="宋体" w:hAnsi="宋体" w:eastAsia="宋体" w:cs="宋体"/>
          <w:color w:val="FF0000"/>
          <w:sz w:val="24"/>
          <w:highlight w:val="none"/>
        </w:rPr>
        <w:t>.</w:t>
      </w:r>
      <w:r>
        <w:rPr>
          <w:rFonts w:hint="eastAsia" w:ascii="宋体" w:hAnsi="宋体" w:eastAsia="宋体" w:cs="宋体"/>
          <w:color w:val="FF0000"/>
          <w:sz w:val="24"/>
          <w:highlight w:val="none"/>
          <w:lang w:val="en-US" w:eastAsia="zh-CN"/>
        </w:rPr>
        <w:t>1 甲方《娄底市中心医院医疗器械供应商考核管理制度》、</w:t>
      </w:r>
      <w:r>
        <w:rPr>
          <w:rFonts w:hint="eastAsia" w:ascii="宋体" w:hAnsi="宋体" w:eastAsia="宋体" w:cs="宋体"/>
          <w:color w:val="FF0000"/>
          <w:sz w:val="24"/>
          <w:highlight w:val="none"/>
          <w:lang w:eastAsia="zh-CN"/>
        </w:rPr>
        <w:t>乙方加盖公章的资质复印件、售后承诺等作为本合同附件。</w:t>
      </w:r>
    </w:p>
    <w:p w14:paraId="14CD2E29">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 xml:space="preserve">14.2 </w:t>
      </w:r>
      <w:r>
        <w:rPr>
          <w:rFonts w:hint="eastAsia" w:ascii="宋体" w:hAnsi="宋体" w:eastAsia="宋体" w:cs="宋体"/>
          <w:color w:val="000000" w:themeColor="text1"/>
          <w:sz w:val="24"/>
          <w:highlight w:val="none"/>
          <w14:textFill>
            <w14:solidFill>
              <w14:schemeClr w14:val="tx1"/>
            </w14:solidFill>
          </w14:textFill>
        </w:rPr>
        <w:t>本合同组成文件和优先解释顺序：</w:t>
      </w:r>
      <w:r>
        <w:rPr>
          <w:rFonts w:hint="eastAsia" w:ascii="宋体" w:hAnsi="宋体" w:eastAsia="宋体" w:cs="宋体"/>
          <w:color w:val="000000" w:themeColor="text1"/>
          <w:sz w:val="24"/>
          <w:highlight w:val="none"/>
          <w:lang w:eastAsia="zh-CN"/>
          <w14:textFill>
            <w14:solidFill>
              <w14:schemeClr w14:val="tx1"/>
            </w14:solidFill>
          </w14:textFill>
        </w:rPr>
        <w:t>乙方在履行本合同中作出的书面承诺；</w:t>
      </w:r>
      <w:r>
        <w:rPr>
          <w:rFonts w:hint="eastAsia" w:ascii="宋体" w:hAnsi="宋体" w:eastAsia="宋体" w:cs="宋体"/>
          <w:color w:val="000000" w:themeColor="text1"/>
          <w:sz w:val="24"/>
          <w:highlight w:val="none"/>
          <w14:textFill>
            <w14:solidFill>
              <w14:schemeClr w14:val="tx1"/>
            </w14:solidFill>
          </w14:textFill>
        </w:rPr>
        <w:t>本合同补充协议；本合同及附件；</w:t>
      </w:r>
      <w:r>
        <w:rPr>
          <w:rFonts w:hint="eastAsia" w:ascii="宋体" w:hAnsi="宋体" w:eastAsia="宋体" w:cs="宋体"/>
          <w:color w:val="000000" w:themeColor="text1"/>
          <w:sz w:val="24"/>
          <w:highlight w:val="none"/>
          <w:lang w:eastAsia="zh-CN"/>
          <w14:textFill>
            <w14:solidFill>
              <w14:schemeClr w14:val="tx1"/>
            </w14:solidFill>
          </w14:textFill>
        </w:rPr>
        <w:t>中标通知书</w:t>
      </w:r>
      <w:r>
        <w:rPr>
          <w:rFonts w:hint="eastAsia" w:ascii="宋体" w:hAnsi="宋体" w:eastAsia="宋体" w:cs="宋体"/>
          <w:color w:val="000000" w:themeColor="text1"/>
          <w:sz w:val="24"/>
          <w:highlight w:val="none"/>
          <w:lang w:val="en-US" w:eastAsia="zh-CN"/>
          <w14:textFill>
            <w14:solidFill>
              <w14:schemeClr w14:val="tx1"/>
            </w14:solidFill>
          </w14:textFill>
        </w:rPr>
        <w:t>/成交通知书/</w:t>
      </w:r>
      <w:r>
        <w:rPr>
          <w:rFonts w:hint="eastAsia" w:ascii="宋体" w:hAnsi="宋体" w:eastAsia="宋体" w:cs="宋体"/>
          <w:color w:val="000000" w:themeColor="text1"/>
          <w:sz w:val="24"/>
          <w:highlight w:val="none"/>
          <w14:textFill>
            <w14:solidFill>
              <w14:schemeClr w14:val="tx1"/>
            </w14:solidFill>
          </w14:textFill>
        </w:rPr>
        <w:t>议价结果公示</w:t>
      </w:r>
      <w:r>
        <w:rPr>
          <w:rFonts w:hint="eastAsia" w:ascii="宋体" w:hAnsi="宋体" w:eastAsia="宋体" w:cs="宋体"/>
          <w:color w:val="000000" w:themeColor="text1"/>
          <w:sz w:val="24"/>
          <w:highlight w:val="none"/>
          <w:lang w:val="en-US" w:eastAsia="zh-CN"/>
          <w14:textFill>
            <w14:solidFill>
              <w14:schemeClr w14:val="tx1"/>
            </w14:solidFill>
          </w14:textFill>
        </w:rPr>
        <w:t>/成交公告</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eastAsia="zh-CN"/>
          <w14:textFill>
            <w14:solidFill>
              <w14:schemeClr w14:val="tx1"/>
            </w14:solidFill>
          </w14:textFill>
        </w:rPr>
        <w:t>投标文件</w:t>
      </w:r>
      <w:r>
        <w:rPr>
          <w:rFonts w:hint="eastAsia" w:ascii="宋体" w:hAnsi="宋体" w:eastAsia="宋体" w:cs="宋体"/>
          <w:color w:val="000000" w:themeColor="text1"/>
          <w:sz w:val="24"/>
          <w:highlight w:val="none"/>
          <w:lang w:val="en-US"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响应文件；</w:t>
      </w:r>
      <w:r>
        <w:rPr>
          <w:rFonts w:hint="eastAsia" w:ascii="宋体" w:hAnsi="宋体" w:eastAsia="宋体" w:cs="宋体"/>
          <w:color w:val="000000" w:themeColor="text1"/>
          <w:sz w:val="24"/>
          <w:highlight w:val="none"/>
          <w:lang w:eastAsia="zh-CN"/>
          <w14:textFill>
            <w14:solidFill>
              <w14:schemeClr w14:val="tx1"/>
            </w14:solidFill>
          </w14:textFill>
        </w:rPr>
        <w:t>招标文件</w:t>
      </w:r>
      <w:r>
        <w:rPr>
          <w:rFonts w:hint="eastAsia" w:ascii="宋体" w:hAnsi="宋体" w:eastAsia="宋体" w:cs="宋体"/>
          <w:color w:val="000000" w:themeColor="text1"/>
          <w:sz w:val="24"/>
          <w:highlight w:val="none"/>
          <w:lang w:val="en-US"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采购文件</w:t>
      </w:r>
      <w:r>
        <w:rPr>
          <w:rFonts w:hint="eastAsia" w:ascii="宋体" w:hAnsi="宋体" w:eastAsia="宋体" w:cs="宋体"/>
          <w:color w:val="000000" w:themeColor="text1"/>
          <w:sz w:val="24"/>
          <w:highlight w:val="none"/>
          <w:lang w:val="en-US" w:eastAsia="zh-CN"/>
          <w14:textFill>
            <w14:solidFill>
              <w14:schemeClr w14:val="tx1"/>
            </w14:solidFill>
          </w14:textFill>
        </w:rPr>
        <w:t>/采购需求</w:t>
      </w:r>
      <w:r>
        <w:rPr>
          <w:rFonts w:hint="eastAsia" w:ascii="宋体" w:hAnsi="宋体" w:eastAsia="宋体" w:cs="宋体"/>
          <w:color w:val="000000" w:themeColor="text1"/>
          <w:sz w:val="24"/>
          <w:highlight w:val="none"/>
          <w14:textFill>
            <w14:solidFill>
              <w14:schemeClr w14:val="tx1"/>
            </w14:solidFill>
          </w14:textFill>
        </w:rPr>
        <w:t>；其他与本合同有关的资料。</w:t>
      </w:r>
    </w:p>
    <w:p w14:paraId="157BF3A9">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w:t>
      </w:r>
      <w:r>
        <w:rPr>
          <w:rFonts w:hint="eastAsia" w:ascii="宋体" w:hAnsi="宋体" w:eastAsia="宋体" w:cs="宋体"/>
          <w:color w:val="000000" w:themeColor="text1"/>
          <w:sz w:val="24"/>
          <w:highlight w:val="none"/>
          <w:lang w:val="en-US" w:eastAsia="zh-CN"/>
          <w14:textFill>
            <w14:solidFill>
              <w14:schemeClr w14:val="tx1"/>
            </w14:solidFill>
          </w14:textFill>
        </w:rPr>
        <w:t>4</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eastAsia="zh-CN"/>
          <w14:textFill>
            <w14:solidFill>
              <w14:schemeClr w14:val="tx1"/>
            </w14:solidFill>
          </w14:textFill>
        </w:rPr>
        <w:t xml:space="preserve">3 </w:t>
      </w:r>
      <w:r>
        <w:rPr>
          <w:rFonts w:hint="eastAsia" w:ascii="宋体" w:hAnsi="宋体" w:eastAsia="宋体" w:cs="宋体"/>
          <w:color w:val="000000" w:themeColor="text1"/>
          <w:sz w:val="24"/>
          <w:highlight w:val="none"/>
          <w14:textFill>
            <w14:solidFill>
              <w14:schemeClr w14:val="tx1"/>
            </w14:solidFill>
          </w14:textFill>
        </w:rPr>
        <w:t>本合同一式伍份，甲方执肆份、乙方执壹份，自双方签字并盖章</w:t>
      </w:r>
      <w:r>
        <w:rPr>
          <w:rFonts w:hint="eastAsia" w:ascii="宋体" w:hAnsi="宋体" w:eastAsia="宋体" w:cs="宋体"/>
          <w:color w:val="000000" w:themeColor="text1"/>
          <w:sz w:val="24"/>
          <w:highlight w:val="none"/>
          <w:lang w:eastAsia="zh-CN"/>
          <w14:textFill>
            <w14:solidFill>
              <w14:schemeClr w14:val="tx1"/>
            </w14:solidFill>
          </w14:textFill>
        </w:rPr>
        <w:t>后</w:t>
      </w:r>
      <w:r>
        <w:rPr>
          <w:rFonts w:hint="eastAsia" w:ascii="宋体" w:hAnsi="宋体" w:eastAsia="宋体" w:cs="宋体"/>
          <w:color w:val="000000" w:themeColor="text1"/>
          <w:sz w:val="24"/>
          <w:highlight w:val="none"/>
          <w14:textFill>
            <w14:solidFill>
              <w14:schemeClr w14:val="tx1"/>
            </w14:solidFill>
          </w14:textFill>
        </w:rPr>
        <w:t>生效。</w:t>
      </w:r>
    </w:p>
    <w:p w14:paraId="47CB3A15">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宋体"/>
          <w:color w:val="000000" w:themeColor="text1"/>
          <w:sz w:val="24"/>
          <w:highlight w:val="none"/>
          <w14:textFill>
            <w14:solidFill>
              <w14:schemeClr w14:val="tx1"/>
            </w14:solidFill>
          </w14:textFill>
        </w:rPr>
      </w:pPr>
    </w:p>
    <w:p w14:paraId="770591C8">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甲方（盖章）：</w:t>
      </w:r>
      <w:r>
        <w:rPr>
          <w:rFonts w:hint="eastAsia" w:ascii="宋体" w:hAnsi="宋体" w:eastAsia="宋体" w:cs="宋体"/>
          <w:color w:val="000000" w:themeColor="text1"/>
          <w:sz w:val="24"/>
          <w:highlight w:val="none"/>
          <w14:textFill>
            <w14:solidFill>
              <w14:schemeClr w14:val="tx1"/>
            </w14:solidFill>
          </w14:textFill>
        </w:rPr>
        <w:t>娄底市中心医院</w:t>
      </w:r>
      <w:r>
        <w:rPr>
          <w:rFonts w:ascii="宋体" w:hAnsi="宋体" w:eastAsia="宋体" w:cs="宋体"/>
          <w:color w:val="000000" w:themeColor="text1"/>
          <w:sz w:val="24"/>
          <w:highlight w:val="non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乙方（盖章）</w:t>
      </w:r>
      <w:r>
        <w:rPr>
          <w:rFonts w:hint="eastAsia" w:ascii="宋体" w:hAnsi="宋体" w:eastAsia="宋体" w:cs="宋体"/>
          <w:color w:val="000000" w:themeColor="text1"/>
          <w:sz w:val="24"/>
          <w:highlight w:val="none"/>
          <w14:textFill>
            <w14:solidFill>
              <w14:schemeClr w14:val="tx1"/>
            </w14:solidFill>
          </w14:textFill>
        </w:rPr>
        <w:t>：</w:t>
      </w:r>
    </w:p>
    <w:p w14:paraId="1D3B3068">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 xml:space="preserve">法定代表人（签字）：        </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 xml:space="preserve">法定代表人（签字）：  </w:t>
      </w:r>
    </w:p>
    <w:p w14:paraId="22DB96AF">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或</w:t>
      </w:r>
      <w:r>
        <w:rPr>
          <w:rFonts w:ascii="宋体" w:hAnsi="宋体" w:eastAsia="宋体" w:cs="宋体"/>
          <w:color w:val="000000" w:themeColor="text1"/>
          <w:sz w:val="24"/>
          <w:highlight w:val="none"/>
          <w14:textFill>
            <w14:solidFill>
              <w14:schemeClr w14:val="tx1"/>
            </w14:solidFill>
          </w14:textFill>
        </w:rPr>
        <w:t xml:space="preserve">委托代理人（签字）：        </w:t>
      </w:r>
      <w:r>
        <w:rPr>
          <w:rFonts w:hint="eastAsia" w:ascii="宋体" w:hAnsi="宋体" w:eastAsia="宋体" w:cs="宋体"/>
          <w:color w:val="000000" w:themeColor="text1"/>
          <w:sz w:val="24"/>
          <w:highlight w:val="none"/>
          <w14:textFill>
            <w14:solidFill>
              <w14:schemeClr w14:val="tx1"/>
            </w14:solidFill>
          </w14:textFill>
        </w:rPr>
        <w:t xml:space="preserve">      或</w:t>
      </w:r>
      <w:r>
        <w:rPr>
          <w:rFonts w:ascii="宋体" w:hAnsi="宋体" w:eastAsia="宋体" w:cs="宋体"/>
          <w:color w:val="000000" w:themeColor="text1"/>
          <w:sz w:val="24"/>
          <w:highlight w:val="none"/>
          <w14:textFill>
            <w14:solidFill>
              <w14:schemeClr w14:val="tx1"/>
            </w14:solidFill>
          </w14:textFill>
        </w:rPr>
        <w:t>委托代理人（签字）：</w:t>
      </w:r>
    </w:p>
    <w:p w14:paraId="1DEABAEF">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合同签订地</w:t>
      </w:r>
      <w:r>
        <w:rPr>
          <w:rFonts w:hint="eastAsia" w:ascii="宋体" w:hAnsi="宋体" w:eastAsia="宋体" w:cs="宋体"/>
          <w:color w:val="000000" w:themeColor="text1"/>
          <w:sz w:val="24"/>
          <w:highlight w:val="none"/>
          <w14:textFill>
            <w14:solidFill>
              <w14:schemeClr w14:val="tx1"/>
            </w14:solidFill>
          </w14:textFill>
        </w:rPr>
        <w:t>履行地</w:t>
      </w:r>
      <w:r>
        <w:rPr>
          <w:rFonts w:ascii="宋体" w:hAnsi="宋体" w:eastAsia="宋体" w:cs="宋体"/>
          <w:color w:val="000000" w:themeColor="text1"/>
          <w:sz w:val="24"/>
          <w:highlight w:val="none"/>
          <w14:textFill>
            <w14:solidFill>
              <w14:schemeClr w14:val="tx1"/>
            </w14:solidFill>
          </w14:textFill>
        </w:rPr>
        <w:t xml:space="preserve">：娄底市娄星区 </w:t>
      </w:r>
      <w:r>
        <w:rPr>
          <w:rFonts w:hint="eastAsia" w:ascii="宋体" w:hAnsi="宋体" w:eastAsia="宋体" w:cs="宋体"/>
          <w:color w:val="000000" w:themeColor="text1"/>
          <w:sz w:val="24"/>
          <w:highlight w:val="none"/>
          <w14:textFill>
            <w14:solidFill>
              <w14:schemeClr w14:val="tx1"/>
            </w14:solidFill>
          </w14:textFill>
        </w:rPr>
        <w:t xml:space="preserve">    </w:t>
      </w:r>
      <w:r>
        <w:rPr>
          <w:rFonts w:hint="eastAsia" w:ascii="宋体" w:hAnsi="宋体" w:eastAsia="宋体" w:cs="宋体"/>
          <w:color w:val="000000" w:themeColor="text1"/>
          <w:sz w:val="24"/>
          <w:highlight w:val="none"/>
          <w:lang w:val="en-US" w:eastAsia="zh-CN"/>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签订时间：</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年</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月</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日</w:t>
      </w:r>
    </w:p>
    <w:p w14:paraId="7BCC3E47">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宋体"/>
          <w:color w:val="000000" w:themeColor="text1"/>
          <w:sz w:val="24"/>
          <w:highlight w:val="none"/>
          <w14:textFill>
            <w14:solidFill>
              <w14:schemeClr w14:val="tx1"/>
            </w14:solidFill>
          </w14:textFill>
        </w:rPr>
      </w:pPr>
    </w:p>
    <w:p w14:paraId="3A9CDB27">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宋体"/>
          <w:color w:val="000000" w:themeColor="text1"/>
          <w:sz w:val="24"/>
          <w:highlight w:val="none"/>
          <w14:textFill>
            <w14:solidFill>
              <w14:schemeClr w14:val="tx1"/>
            </w14:solidFill>
          </w14:textFill>
        </w:rPr>
      </w:pPr>
    </w:p>
    <w:p w14:paraId="0080E8F3">
      <w:pPr>
        <w:rPr>
          <w:rFonts w:hint="eastAsia" w:ascii="黑体" w:hAnsi="黑体" w:eastAsia="黑体" w:cs="黑体"/>
          <w:sz w:val="32"/>
          <w:szCs w:val="32"/>
          <w:lang w:val="en-US" w:eastAsia="zh-CN"/>
        </w:rPr>
      </w:pPr>
    </w:p>
    <w:p w14:paraId="4C727E69">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br w:type="page"/>
      </w:r>
    </w:p>
    <w:p w14:paraId="317FEB43">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14:paraId="2D8BA7C8">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drawing>
          <wp:inline distT="0" distB="0" distL="114300" distR="114300">
            <wp:extent cx="5682615" cy="8084185"/>
            <wp:effectExtent l="0" t="0" r="13335" b="12065"/>
            <wp:docPr id="5" name="图片 5"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1"/>
                    <pic:cNvPicPr>
                      <a:picLocks noChangeAspect="1"/>
                    </pic:cNvPicPr>
                  </pic:nvPicPr>
                  <pic:blipFill>
                    <a:blip r:embed="rId7"/>
                    <a:stretch>
                      <a:fillRect/>
                    </a:stretch>
                  </pic:blipFill>
                  <pic:spPr>
                    <a:xfrm>
                      <a:off x="0" y="0"/>
                      <a:ext cx="5682615" cy="8084185"/>
                    </a:xfrm>
                    <a:prstGeom prst="rect">
                      <a:avLst/>
                    </a:prstGeom>
                  </pic:spPr>
                </pic:pic>
              </a:graphicData>
            </a:graphic>
          </wp:inline>
        </w:drawing>
      </w:r>
      <w:r>
        <w:rPr>
          <w:rFonts w:hint="default" w:ascii="宋体" w:hAnsi="宋体" w:eastAsia="宋体" w:cs="宋体"/>
          <w:color w:val="auto"/>
          <w:sz w:val="24"/>
          <w:szCs w:val="24"/>
          <w:lang w:val="en-US" w:eastAsia="zh-CN"/>
        </w:rPr>
        <w:drawing>
          <wp:inline distT="0" distB="0" distL="114300" distR="114300">
            <wp:extent cx="5906135" cy="8448675"/>
            <wp:effectExtent l="0" t="0" r="18415" b="9525"/>
            <wp:docPr id="4" name="图片 4"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2"/>
                    <pic:cNvPicPr>
                      <a:picLocks noChangeAspect="1"/>
                    </pic:cNvPicPr>
                  </pic:nvPicPr>
                  <pic:blipFill>
                    <a:blip r:embed="rId8"/>
                    <a:stretch>
                      <a:fillRect/>
                    </a:stretch>
                  </pic:blipFill>
                  <pic:spPr>
                    <a:xfrm>
                      <a:off x="0" y="0"/>
                      <a:ext cx="5906135" cy="8448675"/>
                    </a:xfrm>
                    <a:prstGeom prst="rect">
                      <a:avLst/>
                    </a:prstGeom>
                  </pic:spPr>
                </pic:pic>
              </a:graphicData>
            </a:graphic>
          </wp:inline>
        </w:drawing>
      </w:r>
      <w:r>
        <w:rPr>
          <w:rFonts w:hint="default" w:ascii="宋体" w:hAnsi="宋体" w:eastAsia="宋体" w:cs="宋体"/>
          <w:color w:val="auto"/>
          <w:sz w:val="24"/>
          <w:szCs w:val="24"/>
          <w:lang w:val="en-US" w:eastAsia="zh-CN"/>
        </w:rPr>
        <w:drawing>
          <wp:inline distT="0" distB="0" distL="114300" distR="114300">
            <wp:extent cx="5897880" cy="8319135"/>
            <wp:effectExtent l="0" t="0" r="7620" b="5715"/>
            <wp:docPr id="8" name="图片 8"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3"/>
                    <pic:cNvPicPr>
                      <a:picLocks noChangeAspect="1"/>
                    </pic:cNvPicPr>
                  </pic:nvPicPr>
                  <pic:blipFill>
                    <a:blip r:embed="rId9"/>
                    <a:stretch>
                      <a:fillRect/>
                    </a:stretch>
                  </pic:blipFill>
                  <pic:spPr>
                    <a:xfrm>
                      <a:off x="0" y="0"/>
                      <a:ext cx="5897880" cy="8319135"/>
                    </a:xfrm>
                    <a:prstGeom prst="rect">
                      <a:avLst/>
                    </a:prstGeom>
                  </pic:spPr>
                </pic:pic>
              </a:graphicData>
            </a:graphic>
          </wp:inline>
        </w:drawing>
      </w:r>
      <w:r>
        <w:rPr>
          <w:rFonts w:hint="default" w:ascii="宋体" w:hAnsi="宋体" w:eastAsia="宋体" w:cs="宋体"/>
          <w:color w:val="auto"/>
          <w:sz w:val="24"/>
          <w:szCs w:val="24"/>
          <w:lang w:val="en-US" w:eastAsia="zh-CN"/>
        </w:rPr>
        <w:drawing>
          <wp:inline distT="0" distB="0" distL="114300" distR="114300">
            <wp:extent cx="5936615" cy="8377555"/>
            <wp:effectExtent l="0" t="0" r="6985" b="4445"/>
            <wp:docPr id="9" name="图片 9"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4"/>
                    <pic:cNvPicPr>
                      <a:picLocks noChangeAspect="1"/>
                    </pic:cNvPicPr>
                  </pic:nvPicPr>
                  <pic:blipFill>
                    <a:blip r:embed="rId10"/>
                    <a:stretch>
                      <a:fillRect/>
                    </a:stretch>
                  </pic:blipFill>
                  <pic:spPr>
                    <a:xfrm>
                      <a:off x="0" y="0"/>
                      <a:ext cx="5936615" cy="8377555"/>
                    </a:xfrm>
                    <a:prstGeom prst="rect">
                      <a:avLst/>
                    </a:prstGeom>
                  </pic:spPr>
                </pic:pic>
              </a:graphicData>
            </a:graphic>
          </wp:inline>
        </w:drawing>
      </w:r>
    </w:p>
    <w:p w14:paraId="2CC2C481">
      <w:pPr>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br w:type="page"/>
      </w:r>
    </w:p>
    <w:p w14:paraId="7F7089C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color w:val="auto"/>
          <w:sz w:val="44"/>
          <w:szCs w:val="44"/>
          <w:lang w:val="en-US" w:eastAsia="zh-CN"/>
        </w:rPr>
      </w:pPr>
      <w:r>
        <w:rPr>
          <w:rFonts w:hint="eastAsia" w:ascii="宋体" w:hAnsi="宋体" w:cs="宋体"/>
          <w:color w:val="auto"/>
          <w:sz w:val="44"/>
          <w:szCs w:val="44"/>
          <w:lang w:val="en-US" w:eastAsia="zh-CN"/>
        </w:rPr>
        <w:t>第三章</w:t>
      </w:r>
      <w:bookmarkStart w:id="1" w:name="_Toc16523573"/>
      <w:r>
        <w:rPr>
          <w:rFonts w:hint="eastAsia" w:ascii="宋体" w:hAnsi="宋体" w:cs="宋体"/>
          <w:color w:val="auto"/>
          <w:sz w:val="44"/>
          <w:szCs w:val="44"/>
          <w:lang w:val="en-US" w:eastAsia="zh-CN"/>
        </w:rPr>
        <w:t>评标方法及标准</w:t>
      </w:r>
      <w:bookmarkEnd w:id="1"/>
    </w:p>
    <w:p w14:paraId="6C5CEFB1">
      <w:pPr>
        <w:jc w:val="center"/>
        <w:rPr>
          <w:rFonts w:hint="eastAsia" w:ascii="仿宋" w:hAnsi="仿宋" w:eastAsia="仿宋" w:cs="仿宋"/>
          <w:sz w:val="24"/>
          <w:szCs w:val="24"/>
        </w:rPr>
      </w:pPr>
      <w:r>
        <w:rPr>
          <w:rFonts w:hint="eastAsia" w:ascii="仿宋" w:hAnsi="仿宋" w:eastAsia="仿宋" w:cs="仿宋"/>
          <w:sz w:val="24"/>
          <w:szCs w:val="24"/>
        </w:rPr>
        <w:t>本采购项目的权值见下表</w:t>
      </w:r>
    </w:p>
    <w:tbl>
      <w:tblPr>
        <w:tblStyle w:val="10"/>
        <w:tblW w:w="8868"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24"/>
        <w:gridCol w:w="4705"/>
        <w:gridCol w:w="3439"/>
      </w:tblGrid>
      <w:tr w14:paraId="1878A57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49" w:hRule="exact"/>
          <w:jc w:val="center"/>
        </w:trPr>
        <w:tc>
          <w:tcPr>
            <w:tcW w:w="724" w:type="dxa"/>
            <w:tcBorders>
              <w:top w:val="double" w:color="auto" w:sz="4" w:space="0"/>
              <w:left w:val="double" w:color="auto" w:sz="4" w:space="0"/>
              <w:bottom w:val="single" w:color="auto" w:sz="6" w:space="0"/>
              <w:right w:val="single" w:color="auto" w:sz="6" w:space="0"/>
            </w:tcBorders>
            <w:noWrap w:val="0"/>
            <w:vAlign w:val="center"/>
          </w:tcPr>
          <w:p w14:paraId="23A2C07F">
            <w:pPr>
              <w:jc w:val="center"/>
              <w:rPr>
                <w:rFonts w:hint="eastAsia" w:ascii="仿宋" w:hAnsi="仿宋" w:eastAsia="仿宋" w:cs="仿宋"/>
                <w:sz w:val="24"/>
                <w:szCs w:val="24"/>
                <w:lang w:val="ru-RU" w:eastAsia="ru-RU"/>
              </w:rPr>
            </w:pPr>
            <w:r>
              <w:rPr>
                <w:rFonts w:hint="eastAsia" w:ascii="仿宋" w:hAnsi="仿宋" w:eastAsia="仿宋" w:cs="仿宋"/>
                <w:sz w:val="24"/>
                <w:szCs w:val="24"/>
                <w:lang w:val="ru-RU" w:eastAsia="ru-RU"/>
              </w:rPr>
              <w:t>序号</w:t>
            </w:r>
          </w:p>
        </w:tc>
        <w:tc>
          <w:tcPr>
            <w:tcW w:w="4705" w:type="dxa"/>
            <w:tcBorders>
              <w:top w:val="double" w:color="auto" w:sz="4" w:space="0"/>
              <w:left w:val="single" w:color="auto" w:sz="6" w:space="0"/>
              <w:bottom w:val="single" w:color="auto" w:sz="6" w:space="0"/>
              <w:right w:val="single" w:color="auto" w:sz="6" w:space="0"/>
            </w:tcBorders>
            <w:noWrap w:val="0"/>
            <w:vAlign w:val="center"/>
          </w:tcPr>
          <w:p w14:paraId="53E5B212">
            <w:pPr>
              <w:jc w:val="center"/>
              <w:rPr>
                <w:rFonts w:hint="eastAsia" w:ascii="仿宋" w:hAnsi="仿宋" w:eastAsia="仿宋" w:cs="仿宋"/>
                <w:sz w:val="24"/>
                <w:szCs w:val="24"/>
                <w:lang w:val="ru-RU" w:eastAsia="ru-RU"/>
              </w:rPr>
            </w:pPr>
            <w:r>
              <w:rPr>
                <w:rFonts w:hint="eastAsia" w:ascii="仿宋" w:hAnsi="仿宋" w:eastAsia="仿宋" w:cs="仿宋"/>
                <w:sz w:val="24"/>
                <w:szCs w:val="24"/>
                <w:lang w:val="ru-RU" w:eastAsia="ru-RU"/>
              </w:rPr>
              <w:t>项     目</w:t>
            </w:r>
          </w:p>
        </w:tc>
        <w:tc>
          <w:tcPr>
            <w:tcW w:w="3439" w:type="dxa"/>
            <w:tcBorders>
              <w:top w:val="double" w:color="auto" w:sz="4" w:space="0"/>
              <w:left w:val="single" w:color="auto" w:sz="6" w:space="0"/>
              <w:bottom w:val="single" w:color="auto" w:sz="6" w:space="0"/>
              <w:right w:val="double" w:color="auto" w:sz="4" w:space="0"/>
            </w:tcBorders>
            <w:noWrap w:val="0"/>
            <w:vAlign w:val="center"/>
          </w:tcPr>
          <w:p w14:paraId="203E1DB1">
            <w:pPr>
              <w:jc w:val="center"/>
              <w:rPr>
                <w:rFonts w:hint="eastAsia" w:ascii="仿宋" w:hAnsi="仿宋" w:eastAsia="仿宋" w:cs="仿宋"/>
                <w:sz w:val="24"/>
                <w:szCs w:val="24"/>
                <w:lang w:val="ru-RU" w:eastAsia="ru-RU"/>
              </w:rPr>
            </w:pPr>
            <w:r>
              <w:rPr>
                <w:rFonts w:hint="eastAsia" w:ascii="仿宋" w:hAnsi="仿宋" w:eastAsia="仿宋" w:cs="仿宋"/>
                <w:sz w:val="24"/>
                <w:szCs w:val="24"/>
                <w:lang w:val="ru-RU" w:eastAsia="ru-RU"/>
              </w:rPr>
              <w:t>权值的取值</w:t>
            </w:r>
          </w:p>
        </w:tc>
      </w:tr>
      <w:tr w14:paraId="41EFE78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95" w:hRule="atLeast"/>
          <w:jc w:val="center"/>
        </w:trPr>
        <w:tc>
          <w:tcPr>
            <w:tcW w:w="724" w:type="dxa"/>
            <w:tcBorders>
              <w:top w:val="single" w:color="auto" w:sz="6" w:space="0"/>
              <w:left w:val="double" w:color="auto" w:sz="4" w:space="0"/>
              <w:bottom w:val="single" w:color="auto" w:sz="6" w:space="0"/>
              <w:right w:val="single" w:color="auto" w:sz="6" w:space="0"/>
            </w:tcBorders>
            <w:noWrap w:val="0"/>
            <w:vAlign w:val="center"/>
          </w:tcPr>
          <w:p w14:paraId="153B9F2A">
            <w:pPr>
              <w:jc w:val="center"/>
              <w:rPr>
                <w:rFonts w:hint="eastAsia" w:ascii="仿宋" w:hAnsi="仿宋" w:eastAsia="仿宋" w:cs="仿宋"/>
                <w:sz w:val="24"/>
                <w:szCs w:val="24"/>
                <w:lang w:val="ru-RU" w:eastAsia="ru-RU"/>
              </w:rPr>
            </w:pPr>
            <w:r>
              <w:rPr>
                <w:rFonts w:hint="eastAsia" w:ascii="仿宋" w:hAnsi="仿宋" w:eastAsia="仿宋" w:cs="仿宋"/>
                <w:sz w:val="24"/>
                <w:szCs w:val="24"/>
                <w:lang w:val="ru-RU" w:eastAsia="ru-RU"/>
              </w:rPr>
              <w:t>1</w:t>
            </w:r>
          </w:p>
        </w:tc>
        <w:tc>
          <w:tcPr>
            <w:tcW w:w="4705" w:type="dxa"/>
            <w:tcBorders>
              <w:top w:val="single" w:color="auto" w:sz="6" w:space="0"/>
              <w:left w:val="single" w:color="auto" w:sz="6" w:space="0"/>
              <w:bottom w:val="single" w:color="auto" w:sz="6" w:space="0"/>
              <w:right w:val="single" w:color="auto" w:sz="6" w:space="0"/>
            </w:tcBorders>
            <w:noWrap w:val="0"/>
            <w:vAlign w:val="center"/>
          </w:tcPr>
          <w:p w14:paraId="5A52CDAA">
            <w:pPr>
              <w:jc w:val="center"/>
              <w:rPr>
                <w:rFonts w:hint="eastAsia" w:ascii="仿宋" w:hAnsi="仿宋" w:eastAsia="仿宋" w:cs="仿宋"/>
                <w:sz w:val="24"/>
                <w:szCs w:val="24"/>
                <w:lang w:val="ru-RU"/>
              </w:rPr>
            </w:pPr>
            <w:r>
              <w:rPr>
                <w:rFonts w:hint="eastAsia" w:ascii="仿宋" w:hAnsi="仿宋" w:eastAsia="仿宋" w:cs="仿宋"/>
                <w:sz w:val="24"/>
                <w:szCs w:val="24"/>
                <w:lang w:val="ru-RU" w:eastAsia="ru-RU"/>
              </w:rPr>
              <w:t>报价</w:t>
            </w:r>
            <w:r>
              <w:rPr>
                <w:rFonts w:hint="eastAsia" w:ascii="仿宋" w:hAnsi="仿宋" w:eastAsia="仿宋" w:cs="仿宋"/>
                <w:sz w:val="24"/>
                <w:szCs w:val="24"/>
                <w:lang w:val="ru-RU"/>
              </w:rPr>
              <w:t>（A1）</w:t>
            </w:r>
          </w:p>
        </w:tc>
        <w:tc>
          <w:tcPr>
            <w:tcW w:w="3439" w:type="dxa"/>
            <w:tcBorders>
              <w:top w:val="single" w:color="auto" w:sz="6" w:space="0"/>
              <w:left w:val="single" w:color="auto" w:sz="6" w:space="0"/>
              <w:bottom w:val="single" w:color="auto" w:sz="6" w:space="0"/>
              <w:right w:val="double" w:color="auto" w:sz="4" w:space="0"/>
            </w:tcBorders>
            <w:noWrap w:val="0"/>
            <w:vAlign w:val="center"/>
          </w:tcPr>
          <w:p w14:paraId="2E316332">
            <w:pPr>
              <w:jc w:val="center"/>
              <w:rPr>
                <w:rFonts w:hint="eastAsia" w:ascii="仿宋" w:hAnsi="仿宋" w:eastAsia="仿宋" w:cs="仿宋"/>
                <w:sz w:val="24"/>
                <w:szCs w:val="24"/>
              </w:rPr>
            </w:pPr>
            <w:r>
              <w:rPr>
                <w:rFonts w:hint="eastAsia" w:ascii="仿宋" w:hAnsi="仿宋" w:eastAsia="仿宋" w:cs="仿宋"/>
                <w:sz w:val="24"/>
                <w:szCs w:val="24"/>
              </w:rPr>
              <w:t>50%</w:t>
            </w:r>
          </w:p>
        </w:tc>
      </w:tr>
      <w:tr w14:paraId="1664014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8" w:hRule="atLeast"/>
          <w:jc w:val="center"/>
        </w:trPr>
        <w:tc>
          <w:tcPr>
            <w:tcW w:w="724" w:type="dxa"/>
            <w:tcBorders>
              <w:top w:val="single" w:color="auto" w:sz="6" w:space="0"/>
              <w:left w:val="double" w:color="auto" w:sz="4" w:space="0"/>
              <w:bottom w:val="single" w:color="auto" w:sz="6" w:space="0"/>
              <w:right w:val="single" w:color="auto" w:sz="6" w:space="0"/>
            </w:tcBorders>
            <w:noWrap w:val="0"/>
            <w:vAlign w:val="center"/>
          </w:tcPr>
          <w:p w14:paraId="47A759E2">
            <w:pPr>
              <w:jc w:val="center"/>
              <w:rPr>
                <w:rFonts w:hint="eastAsia" w:ascii="仿宋" w:hAnsi="仿宋" w:eastAsia="仿宋" w:cs="仿宋"/>
                <w:sz w:val="24"/>
                <w:szCs w:val="24"/>
                <w:lang w:val="ru-RU" w:eastAsia="ru-RU"/>
              </w:rPr>
            </w:pPr>
            <w:r>
              <w:rPr>
                <w:rFonts w:hint="eastAsia" w:ascii="仿宋" w:hAnsi="仿宋" w:eastAsia="仿宋" w:cs="仿宋"/>
                <w:sz w:val="24"/>
                <w:szCs w:val="24"/>
                <w:lang w:val="ru-RU" w:eastAsia="ru-RU"/>
              </w:rPr>
              <w:t>2</w:t>
            </w:r>
          </w:p>
        </w:tc>
        <w:tc>
          <w:tcPr>
            <w:tcW w:w="4705" w:type="dxa"/>
            <w:tcBorders>
              <w:top w:val="single" w:color="auto" w:sz="6" w:space="0"/>
              <w:left w:val="single" w:color="auto" w:sz="6" w:space="0"/>
              <w:bottom w:val="single" w:color="auto" w:sz="6" w:space="0"/>
              <w:right w:val="single" w:color="auto" w:sz="6" w:space="0"/>
            </w:tcBorders>
            <w:noWrap w:val="0"/>
            <w:vAlign w:val="center"/>
          </w:tcPr>
          <w:p w14:paraId="13E3F86B">
            <w:pPr>
              <w:jc w:val="center"/>
              <w:rPr>
                <w:rFonts w:hint="eastAsia" w:ascii="仿宋" w:hAnsi="仿宋" w:eastAsia="仿宋" w:cs="仿宋"/>
                <w:sz w:val="24"/>
                <w:szCs w:val="24"/>
                <w:lang w:val="ru-RU" w:eastAsia="ru-RU"/>
              </w:rPr>
            </w:pPr>
            <w:r>
              <w:rPr>
                <w:rFonts w:hint="eastAsia" w:ascii="仿宋" w:hAnsi="仿宋" w:eastAsia="仿宋" w:cs="仿宋"/>
                <w:sz w:val="24"/>
                <w:szCs w:val="24"/>
                <w:lang w:val="ru-RU" w:eastAsia="ru-RU"/>
              </w:rPr>
              <w:t>技术</w:t>
            </w:r>
            <w:r>
              <w:rPr>
                <w:rFonts w:hint="eastAsia" w:ascii="仿宋" w:hAnsi="仿宋" w:eastAsia="仿宋" w:cs="仿宋"/>
                <w:sz w:val="24"/>
                <w:szCs w:val="24"/>
                <w:lang w:val="ru-RU"/>
              </w:rPr>
              <w:t>（A2）</w:t>
            </w:r>
          </w:p>
        </w:tc>
        <w:tc>
          <w:tcPr>
            <w:tcW w:w="3439" w:type="dxa"/>
            <w:tcBorders>
              <w:top w:val="single" w:color="auto" w:sz="6" w:space="0"/>
              <w:left w:val="single" w:color="auto" w:sz="6" w:space="0"/>
              <w:bottom w:val="single" w:color="auto" w:sz="6" w:space="0"/>
              <w:right w:val="double" w:color="auto" w:sz="4" w:space="0"/>
            </w:tcBorders>
            <w:noWrap w:val="0"/>
            <w:vAlign w:val="center"/>
          </w:tcPr>
          <w:p w14:paraId="7AD96277">
            <w:pPr>
              <w:jc w:val="center"/>
              <w:rPr>
                <w:rFonts w:hint="eastAsia" w:ascii="仿宋" w:hAnsi="仿宋" w:eastAsia="仿宋" w:cs="仿宋"/>
                <w:sz w:val="24"/>
                <w:szCs w:val="24"/>
              </w:rPr>
            </w:pPr>
            <w:r>
              <w:rPr>
                <w:rFonts w:hint="eastAsia" w:ascii="仿宋" w:hAnsi="仿宋" w:eastAsia="仿宋" w:cs="仿宋"/>
                <w:sz w:val="24"/>
                <w:szCs w:val="24"/>
              </w:rPr>
              <w:t>40%</w:t>
            </w:r>
          </w:p>
        </w:tc>
      </w:tr>
      <w:tr w14:paraId="5C88DE4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8" w:hRule="atLeast"/>
          <w:jc w:val="center"/>
        </w:trPr>
        <w:tc>
          <w:tcPr>
            <w:tcW w:w="724" w:type="dxa"/>
            <w:tcBorders>
              <w:top w:val="single" w:color="auto" w:sz="6" w:space="0"/>
              <w:left w:val="double" w:color="auto" w:sz="4" w:space="0"/>
              <w:bottom w:val="single" w:color="auto" w:sz="6" w:space="0"/>
              <w:right w:val="single" w:color="auto" w:sz="6" w:space="0"/>
            </w:tcBorders>
            <w:noWrap w:val="0"/>
            <w:vAlign w:val="center"/>
          </w:tcPr>
          <w:p w14:paraId="43E243E6">
            <w:pPr>
              <w:jc w:val="center"/>
              <w:rPr>
                <w:rFonts w:hint="eastAsia" w:ascii="仿宋" w:hAnsi="仿宋" w:eastAsia="仿宋" w:cs="仿宋"/>
                <w:sz w:val="24"/>
                <w:szCs w:val="24"/>
                <w:lang w:val="ru-RU" w:eastAsia="ru-RU"/>
              </w:rPr>
            </w:pPr>
            <w:r>
              <w:rPr>
                <w:rFonts w:hint="eastAsia" w:ascii="仿宋" w:hAnsi="仿宋" w:eastAsia="仿宋" w:cs="仿宋"/>
                <w:sz w:val="24"/>
                <w:szCs w:val="24"/>
                <w:lang w:val="ru-RU" w:eastAsia="ru-RU"/>
              </w:rPr>
              <w:t>3</w:t>
            </w:r>
          </w:p>
        </w:tc>
        <w:tc>
          <w:tcPr>
            <w:tcW w:w="4705" w:type="dxa"/>
            <w:tcBorders>
              <w:top w:val="single" w:color="auto" w:sz="6" w:space="0"/>
              <w:left w:val="single" w:color="auto" w:sz="6" w:space="0"/>
              <w:bottom w:val="single" w:color="auto" w:sz="6" w:space="0"/>
              <w:right w:val="single" w:color="auto" w:sz="6" w:space="0"/>
            </w:tcBorders>
            <w:noWrap w:val="0"/>
            <w:vAlign w:val="center"/>
          </w:tcPr>
          <w:p w14:paraId="0F64A570">
            <w:pPr>
              <w:jc w:val="center"/>
              <w:rPr>
                <w:rFonts w:hint="eastAsia" w:ascii="仿宋" w:hAnsi="仿宋" w:eastAsia="仿宋" w:cs="仿宋"/>
                <w:sz w:val="24"/>
                <w:szCs w:val="24"/>
                <w:lang w:val="ru-RU"/>
              </w:rPr>
            </w:pPr>
            <w:r>
              <w:rPr>
                <w:rFonts w:hint="eastAsia" w:ascii="仿宋" w:hAnsi="仿宋" w:eastAsia="仿宋" w:cs="仿宋"/>
                <w:sz w:val="24"/>
                <w:szCs w:val="24"/>
                <w:lang w:val="ru-RU"/>
              </w:rPr>
              <w:t>商务（A3）</w:t>
            </w:r>
          </w:p>
        </w:tc>
        <w:tc>
          <w:tcPr>
            <w:tcW w:w="3439" w:type="dxa"/>
            <w:tcBorders>
              <w:top w:val="single" w:color="auto" w:sz="6" w:space="0"/>
              <w:left w:val="single" w:color="auto" w:sz="6" w:space="0"/>
              <w:bottom w:val="single" w:color="auto" w:sz="6" w:space="0"/>
              <w:right w:val="double" w:color="auto" w:sz="4" w:space="0"/>
            </w:tcBorders>
            <w:noWrap w:val="0"/>
            <w:vAlign w:val="center"/>
          </w:tcPr>
          <w:p w14:paraId="2F590EDA">
            <w:pPr>
              <w:jc w:val="center"/>
              <w:rPr>
                <w:rFonts w:hint="eastAsia" w:ascii="仿宋" w:hAnsi="仿宋" w:eastAsia="仿宋" w:cs="仿宋"/>
                <w:sz w:val="24"/>
                <w:szCs w:val="24"/>
              </w:rPr>
            </w:pPr>
            <w:r>
              <w:rPr>
                <w:rFonts w:hint="eastAsia" w:ascii="仿宋" w:hAnsi="仿宋" w:eastAsia="仿宋" w:cs="仿宋"/>
                <w:sz w:val="24"/>
                <w:szCs w:val="24"/>
              </w:rPr>
              <w:t>10%</w:t>
            </w:r>
          </w:p>
        </w:tc>
      </w:tr>
      <w:tr w14:paraId="245401C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8" w:hRule="atLeast"/>
          <w:jc w:val="center"/>
        </w:trPr>
        <w:tc>
          <w:tcPr>
            <w:tcW w:w="5429" w:type="dxa"/>
            <w:gridSpan w:val="2"/>
            <w:tcBorders>
              <w:top w:val="single" w:color="auto" w:sz="6" w:space="0"/>
              <w:left w:val="double" w:color="auto" w:sz="4" w:space="0"/>
              <w:bottom w:val="double" w:color="auto" w:sz="4" w:space="0"/>
              <w:right w:val="single" w:color="auto" w:sz="6" w:space="0"/>
            </w:tcBorders>
            <w:noWrap w:val="0"/>
            <w:vAlign w:val="center"/>
          </w:tcPr>
          <w:p w14:paraId="54C197EA">
            <w:pPr>
              <w:jc w:val="center"/>
              <w:rPr>
                <w:rFonts w:hint="eastAsia" w:ascii="仿宋" w:hAnsi="仿宋" w:eastAsia="仿宋" w:cs="仿宋"/>
                <w:sz w:val="24"/>
                <w:szCs w:val="24"/>
                <w:lang w:val="ru-RU" w:eastAsia="ru-RU"/>
              </w:rPr>
            </w:pPr>
            <w:r>
              <w:rPr>
                <w:rFonts w:hint="eastAsia" w:ascii="仿宋" w:hAnsi="仿宋" w:eastAsia="仿宋" w:cs="仿宋"/>
                <w:sz w:val="24"/>
                <w:szCs w:val="24"/>
                <w:lang w:val="ru-RU"/>
              </w:rPr>
              <w:t>合计</w:t>
            </w:r>
          </w:p>
        </w:tc>
        <w:tc>
          <w:tcPr>
            <w:tcW w:w="3439" w:type="dxa"/>
            <w:tcBorders>
              <w:top w:val="single" w:color="auto" w:sz="6" w:space="0"/>
              <w:left w:val="single" w:color="auto" w:sz="6" w:space="0"/>
              <w:bottom w:val="double" w:color="auto" w:sz="4" w:space="0"/>
              <w:right w:val="double" w:color="auto" w:sz="4" w:space="0"/>
            </w:tcBorders>
            <w:noWrap w:val="0"/>
            <w:vAlign w:val="center"/>
          </w:tcPr>
          <w:p w14:paraId="26D0E031">
            <w:pPr>
              <w:jc w:val="center"/>
              <w:rPr>
                <w:rFonts w:hint="eastAsia" w:ascii="仿宋" w:hAnsi="仿宋" w:eastAsia="仿宋" w:cs="仿宋"/>
                <w:sz w:val="24"/>
                <w:szCs w:val="24"/>
              </w:rPr>
            </w:pPr>
            <w:r>
              <w:rPr>
                <w:rFonts w:hint="eastAsia" w:ascii="仿宋" w:hAnsi="仿宋" w:eastAsia="仿宋" w:cs="仿宋"/>
                <w:sz w:val="24"/>
                <w:szCs w:val="24"/>
              </w:rPr>
              <w:t>1</w:t>
            </w:r>
          </w:p>
        </w:tc>
      </w:tr>
    </w:tbl>
    <w:p w14:paraId="0D787171">
      <w:pPr>
        <w:jc w:val="center"/>
        <w:rPr>
          <w:rFonts w:hint="eastAsia" w:ascii="仿宋" w:hAnsi="仿宋" w:eastAsia="仿宋" w:cs="仿宋"/>
          <w:sz w:val="24"/>
          <w:szCs w:val="24"/>
        </w:rPr>
      </w:pPr>
      <w:r>
        <w:rPr>
          <w:rFonts w:hint="eastAsia" w:ascii="仿宋" w:hAnsi="仿宋" w:eastAsia="仿宋" w:cs="仿宋"/>
          <w:sz w:val="24"/>
          <w:szCs w:val="24"/>
        </w:rPr>
        <w:t>附表1.1投标报价评审标准表</w:t>
      </w:r>
    </w:p>
    <w:tbl>
      <w:tblPr>
        <w:tblStyle w:val="10"/>
        <w:tblW w:w="8910"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502"/>
        <w:gridCol w:w="2159"/>
        <w:gridCol w:w="6249"/>
      </w:tblGrid>
      <w:tr w14:paraId="6107679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52" w:hRule="atLeast"/>
          <w:jc w:val="center"/>
        </w:trPr>
        <w:tc>
          <w:tcPr>
            <w:tcW w:w="502" w:type="dxa"/>
            <w:tcBorders>
              <w:top w:val="double" w:color="auto" w:sz="4" w:space="0"/>
              <w:left w:val="double" w:color="auto" w:sz="4" w:space="0"/>
              <w:bottom w:val="single" w:color="auto" w:sz="6" w:space="0"/>
              <w:right w:val="single" w:color="auto" w:sz="4" w:space="0"/>
            </w:tcBorders>
            <w:noWrap w:val="0"/>
            <w:vAlign w:val="center"/>
          </w:tcPr>
          <w:p w14:paraId="6C6AFF37">
            <w:pPr>
              <w:jc w:val="center"/>
              <w:rPr>
                <w:rFonts w:hint="eastAsia" w:ascii="仿宋" w:hAnsi="仿宋" w:eastAsia="仿宋" w:cs="仿宋"/>
                <w:sz w:val="24"/>
                <w:szCs w:val="24"/>
              </w:rPr>
            </w:pPr>
            <w:r>
              <w:rPr>
                <w:rFonts w:hint="eastAsia" w:ascii="仿宋" w:hAnsi="仿宋" w:eastAsia="仿宋" w:cs="仿宋"/>
                <w:sz w:val="24"/>
                <w:szCs w:val="24"/>
              </w:rPr>
              <w:t>序号</w:t>
            </w:r>
          </w:p>
        </w:tc>
        <w:tc>
          <w:tcPr>
            <w:tcW w:w="2159" w:type="dxa"/>
            <w:tcBorders>
              <w:top w:val="double" w:color="auto" w:sz="4" w:space="0"/>
              <w:left w:val="single" w:color="auto" w:sz="4" w:space="0"/>
              <w:bottom w:val="single" w:color="auto" w:sz="6" w:space="0"/>
              <w:right w:val="single" w:color="auto" w:sz="4" w:space="0"/>
            </w:tcBorders>
            <w:noWrap w:val="0"/>
            <w:vAlign w:val="center"/>
          </w:tcPr>
          <w:p w14:paraId="1FF91A54">
            <w:pPr>
              <w:jc w:val="center"/>
              <w:rPr>
                <w:rFonts w:hint="eastAsia" w:ascii="仿宋" w:hAnsi="仿宋" w:eastAsia="仿宋" w:cs="仿宋"/>
                <w:sz w:val="24"/>
                <w:szCs w:val="24"/>
              </w:rPr>
            </w:pPr>
            <w:r>
              <w:rPr>
                <w:rFonts w:hint="eastAsia" w:ascii="仿宋" w:hAnsi="仿宋" w:eastAsia="仿宋" w:cs="仿宋"/>
                <w:sz w:val="24"/>
                <w:szCs w:val="24"/>
              </w:rPr>
              <w:t>评标因素（分值）</w:t>
            </w:r>
          </w:p>
        </w:tc>
        <w:tc>
          <w:tcPr>
            <w:tcW w:w="6249" w:type="dxa"/>
            <w:tcBorders>
              <w:top w:val="double" w:color="auto" w:sz="4" w:space="0"/>
              <w:left w:val="single" w:color="auto" w:sz="4" w:space="0"/>
              <w:bottom w:val="single" w:color="auto" w:sz="6" w:space="0"/>
              <w:right w:val="double" w:color="auto" w:sz="4" w:space="0"/>
            </w:tcBorders>
            <w:noWrap w:val="0"/>
            <w:vAlign w:val="center"/>
          </w:tcPr>
          <w:p w14:paraId="2DC04461">
            <w:pPr>
              <w:jc w:val="center"/>
              <w:rPr>
                <w:rFonts w:hint="eastAsia" w:ascii="仿宋" w:hAnsi="仿宋" w:eastAsia="仿宋" w:cs="仿宋"/>
                <w:sz w:val="24"/>
                <w:szCs w:val="24"/>
              </w:rPr>
            </w:pPr>
            <w:r>
              <w:rPr>
                <w:rFonts w:hint="eastAsia" w:ascii="仿宋" w:hAnsi="仿宋" w:eastAsia="仿宋" w:cs="仿宋"/>
                <w:sz w:val="24"/>
                <w:szCs w:val="24"/>
              </w:rPr>
              <w:t>评标标准</w:t>
            </w:r>
          </w:p>
        </w:tc>
      </w:tr>
      <w:tr w14:paraId="2BC9A39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14" w:hRule="atLeast"/>
          <w:jc w:val="center"/>
        </w:trPr>
        <w:tc>
          <w:tcPr>
            <w:tcW w:w="502" w:type="dxa"/>
            <w:tcBorders>
              <w:top w:val="single" w:color="auto" w:sz="6" w:space="0"/>
              <w:left w:val="double" w:color="auto" w:sz="4" w:space="0"/>
              <w:bottom w:val="single" w:color="auto" w:sz="6" w:space="0"/>
              <w:right w:val="single" w:color="auto" w:sz="4" w:space="0"/>
            </w:tcBorders>
            <w:noWrap w:val="0"/>
            <w:vAlign w:val="center"/>
          </w:tcPr>
          <w:p w14:paraId="5A88A927">
            <w:pPr>
              <w:jc w:val="center"/>
              <w:rPr>
                <w:rFonts w:hint="eastAsia" w:ascii="仿宋" w:hAnsi="仿宋" w:eastAsia="仿宋" w:cs="仿宋"/>
                <w:sz w:val="24"/>
                <w:szCs w:val="24"/>
              </w:rPr>
            </w:pPr>
            <w:r>
              <w:rPr>
                <w:rFonts w:hint="eastAsia" w:ascii="仿宋" w:hAnsi="仿宋" w:eastAsia="仿宋" w:cs="仿宋"/>
                <w:sz w:val="24"/>
                <w:szCs w:val="24"/>
              </w:rPr>
              <w:t>1</w:t>
            </w:r>
          </w:p>
        </w:tc>
        <w:tc>
          <w:tcPr>
            <w:tcW w:w="2159" w:type="dxa"/>
            <w:tcBorders>
              <w:top w:val="single" w:color="auto" w:sz="6" w:space="0"/>
              <w:left w:val="single" w:color="auto" w:sz="4" w:space="0"/>
              <w:bottom w:val="single" w:color="auto" w:sz="6" w:space="0"/>
              <w:right w:val="single" w:color="auto" w:sz="4" w:space="0"/>
            </w:tcBorders>
            <w:noWrap w:val="0"/>
            <w:vAlign w:val="center"/>
          </w:tcPr>
          <w:p w14:paraId="09310B6B">
            <w:pPr>
              <w:jc w:val="center"/>
              <w:rPr>
                <w:rFonts w:hint="eastAsia" w:ascii="仿宋" w:hAnsi="仿宋" w:eastAsia="仿宋" w:cs="仿宋"/>
                <w:sz w:val="24"/>
                <w:szCs w:val="24"/>
              </w:rPr>
            </w:pPr>
            <w:r>
              <w:rPr>
                <w:rFonts w:hint="eastAsia" w:ascii="仿宋" w:hAnsi="仿宋" w:eastAsia="仿宋" w:cs="仿宋"/>
                <w:sz w:val="24"/>
                <w:szCs w:val="24"/>
              </w:rPr>
              <w:t>价格评价项</w:t>
            </w:r>
          </w:p>
          <w:p w14:paraId="6B011D09">
            <w:pPr>
              <w:jc w:val="center"/>
              <w:rPr>
                <w:rFonts w:hint="eastAsia" w:ascii="仿宋" w:hAnsi="仿宋" w:eastAsia="仿宋" w:cs="仿宋"/>
                <w:sz w:val="24"/>
                <w:szCs w:val="24"/>
              </w:rPr>
            </w:pPr>
            <w:r>
              <w:rPr>
                <w:rFonts w:hint="eastAsia" w:ascii="仿宋" w:hAnsi="仿宋" w:eastAsia="仿宋" w:cs="仿宋"/>
                <w:sz w:val="24"/>
                <w:szCs w:val="24"/>
              </w:rPr>
              <w:t>（F=100分）</w:t>
            </w:r>
          </w:p>
        </w:tc>
        <w:tc>
          <w:tcPr>
            <w:tcW w:w="6249" w:type="dxa"/>
            <w:tcBorders>
              <w:top w:val="single" w:color="auto" w:sz="6" w:space="0"/>
              <w:left w:val="single" w:color="auto" w:sz="4" w:space="0"/>
              <w:bottom w:val="single" w:color="auto" w:sz="6" w:space="0"/>
              <w:right w:val="double" w:color="auto" w:sz="4" w:space="0"/>
            </w:tcBorders>
            <w:noWrap w:val="0"/>
            <w:vAlign w:val="center"/>
          </w:tcPr>
          <w:p w14:paraId="67324051">
            <w:pPr>
              <w:jc w:val="left"/>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、满足招标文件要求且投标报价中最低的投标报价为评标基准价其价格分为满分；其他投标人的价格分统一按照以下公式计算：</w:t>
            </w:r>
          </w:p>
          <w:p w14:paraId="6A9F037F">
            <w:pPr>
              <w:jc w:val="left"/>
              <w:rPr>
                <w:rFonts w:hint="eastAsia" w:ascii="仿宋" w:hAnsi="仿宋" w:eastAsia="仿宋" w:cs="仿宋"/>
                <w:sz w:val="24"/>
                <w:szCs w:val="24"/>
              </w:rPr>
            </w:pPr>
            <w:r>
              <w:rPr>
                <w:rFonts w:hint="eastAsia" w:ascii="仿宋" w:hAnsi="仿宋" w:eastAsia="仿宋" w:cs="仿宋"/>
                <w:sz w:val="24"/>
                <w:szCs w:val="24"/>
              </w:rPr>
              <w:t>投标报价得分=（评标基准价/投标报价）×价格权值×100</w:t>
            </w:r>
          </w:p>
          <w:p w14:paraId="5DAEEE89">
            <w:pPr>
              <w:jc w:val="left"/>
              <w:rPr>
                <w:rFonts w:hint="eastAsia" w:ascii="仿宋" w:hAnsi="仿宋" w:eastAsia="仿宋" w:cs="仿宋"/>
                <w:sz w:val="24"/>
                <w:szCs w:val="24"/>
              </w:rPr>
            </w:pPr>
            <w:r>
              <w:rPr>
                <w:rFonts w:hint="eastAsia" w:ascii="仿宋" w:hAnsi="仿宋" w:eastAsia="仿宋" w:cs="仿宋"/>
                <w:sz w:val="24"/>
                <w:szCs w:val="24"/>
                <w:lang w:val="en-US" w:eastAsia="zh-CN"/>
              </w:rPr>
              <w:t>2</w:t>
            </w:r>
            <w:r>
              <w:rPr>
                <w:rFonts w:hint="eastAsia" w:ascii="仿宋" w:hAnsi="仿宋" w:eastAsia="仿宋" w:cs="仿宋"/>
                <w:sz w:val="24"/>
                <w:szCs w:val="24"/>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5D418D2B">
            <w:pPr>
              <w:jc w:val="left"/>
              <w:rPr>
                <w:rFonts w:hint="eastAsia" w:ascii="仿宋" w:hAnsi="仿宋" w:eastAsia="仿宋" w:cs="仿宋"/>
                <w:sz w:val="24"/>
                <w:szCs w:val="24"/>
              </w:rPr>
            </w:pPr>
            <w:r>
              <w:rPr>
                <w:rFonts w:hint="eastAsia" w:ascii="仿宋" w:hAnsi="仿宋" w:eastAsia="仿宋" w:cs="仿宋"/>
                <w:sz w:val="24"/>
                <w:szCs w:val="24"/>
                <w:lang w:val="en-US" w:eastAsia="zh-CN"/>
              </w:rPr>
              <w:t>3</w:t>
            </w:r>
            <w:r>
              <w:rPr>
                <w:rFonts w:hint="eastAsia" w:ascii="仿宋" w:hAnsi="仿宋" w:eastAsia="仿宋" w:cs="仿宋"/>
                <w:sz w:val="24"/>
                <w:szCs w:val="24"/>
              </w:rPr>
              <w:t>、最终投标价以人民币元为单位，计算保留至小数点后2位（百分比亦然），小数点后第3位采取4舍5入</w:t>
            </w:r>
          </w:p>
        </w:tc>
      </w:tr>
    </w:tbl>
    <w:p w14:paraId="548EAA27">
      <w:pPr>
        <w:jc w:val="center"/>
        <w:rPr>
          <w:rFonts w:hint="eastAsia" w:ascii="仿宋" w:hAnsi="仿宋" w:eastAsia="仿宋" w:cs="仿宋"/>
          <w:sz w:val="24"/>
          <w:szCs w:val="24"/>
        </w:rPr>
      </w:pPr>
    </w:p>
    <w:p w14:paraId="47115CE4">
      <w:pPr>
        <w:jc w:val="center"/>
        <w:rPr>
          <w:rFonts w:hint="eastAsia" w:ascii="仿宋" w:hAnsi="仿宋" w:eastAsia="仿宋" w:cs="仿宋"/>
          <w:sz w:val="24"/>
          <w:szCs w:val="24"/>
        </w:rPr>
      </w:pPr>
    </w:p>
    <w:p w14:paraId="683ABBC5">
      <w:pPr>
        <w:jc w:val="center"/>
        <w:rPr>
          <w:rFonts w:hint="eastAsia" w:ascii="仿宋" w:hAnsi="仿宋" w:eastAsia="仿宋" w:cs="仿宋"/>
          <w:sz w:val="24"/>
          <w:szCs w:val="24"/>
        </w:rPr>
      </w:pPr>
    </w:p>
    <w:p w14:paraId="4E755B44">
      <w:pPr>
        <w:jc w:val="center"/>
        <w:rPr>
          <w:rFonts w:hint="eastAsia" w:ascii="仿宋" w:hAnsi="仿宋" w:eastAsia="仿宋" w:cs="仿宋"/>
          <w:sz w:val="24"/>
          <w:szCs w:val="24"/>
        </w:rPr>
      </w:pPr>
    </w:p>
    <w:p w14:paraId="4F0B6473">
      <w:pPr>
        <w:jc w:val="center"/>
        <w:rPr>
          <w:rFonts w:hint="eastAsia" w:ascii="仿宋" w:hAnsi="仿宋" w:eastAsia="仿宋" w:cs="仿宋"/>
          <w:sz w:val="24"/>
          <w:szCs w:val="24"/>
        </w:rPr>
      </w:pPr>
      <w:r>
        <w:rPr>
          <w:rFonts w:hint="eastAsia" w:ascii="仿宋" w:hAnsi="仿宋" w:eastAsia="仿宋" w:cs="仿宋"/>
          <w:sz w:val="24"/>
          <w:szCs w:val="24"/>
        </w:rPr>
        <w:br w:type="page"/>
      </w:r>
    </w:p>
    <w:p w14:paraId="19C9FDF0">
      <w:pPr>
        <w:jc w:val="center"/>
        <w:rPr>
          <w:rFonts w:hint="eastAsia" w:ascii="仿宋" w:hAnsi="仿宋" w:eastAsia="仿宋" w:cs="仿宋"/>
          <w:sz w:val="24"/>
          <w:szCs w:val="24"/>
        </w:rPr>
      </w:pPr>
      <w:r>
        <w:rPr>
          <w:rFonts w:hint="eastAsia" w:ascii="仿宋" w:hAnsi="仿宋" w:eastAsia="仿宋" w:cs="仿宋"/>
          <w:sz w:val="24"/>
          <w:szCs w:val="24"/>
        </w:rPr>
        <w:t>附表1.2技术部分评审标准表</w:t>
      </w:r>
    </w:p>
    <w:tbl>
      <w:tblPr>
        <w:tblStyle w:val="10"/>
        <w:tblW w:w="8940"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503"/>
        <w:gridCol w:w="2160"/>
        <w:gridCol w:w="773"/>
        <w:gridCol w:w="772"/>
        <w:gridCol w:w="4732"/>
      </w:tblGrid>
      <w:tr w14:paraId="4434815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52" w:hRule="atLeast"/>
          <w:jc w:val="center"/>
        </w:trPr>
        <w:tc>
          <w:tcPr>
            <w:tcW w:w="503" w:type="dxa"/>
            <w:tcBorders>
              <w:top w:val="double" w:color="auto" w:sz="4" w:space="0"/>
              <w:left w:val="double" w:color="auto" w:sz="4" w:space="0"/>
              <w:bottom w:val="single" w:color="auto" w:sz="6" w:space="0"/>
              <w:right w:val="single" w:color="auto" w:sz="4" w:space="0"/>
            </w:tcBorders>
            <w:noWrap w:val="0"/>
            <w:vAlign w:val="center"/>
          </w:tcPr>
          <w:p w14:paraId="061196B2">
            <w:pPr>
              <w:jc w:val="center"/>
              <w:rPr>
                <w:rFonts w:hint="eastAsia" w:ascii="仿宋" w:hAnsi="仿宋" w:eastAsia="仿宋" w:cs="仿宋"/>
                <w:sz w:val="24"/>
                <w:szCs w:val="24"/>
              </w:rPr>
            </w:pPr>
            <w:r>
              <w:rPr>
                <w:rFonts w:hint="eastAsia" w:ascii="仿宋" w:hAnsi="仿宋" w:eastAsia="仿宋" w:cs="仿宋"/>
                <w:sz w:val="24"/>
                <w:szCs w:val="24"/>
              </w:rPr>
              <w:t>序号</w:t>
            </w:r>
          </w:p>
        </w:tc>
        <w:tc>
          <w:tcPr>
            <w:tcW w:w="2160" w:type="dxa"/>
            <w:tcBorders>
              <w:top w:val="double" w:color="auto" w:sz="4" w:space="0"/>
              <w:left w:val="single" w:color="auto" w:sz="4" w:space="0"/>
              <w:bottom w:val="single" w:color="auto" w:sz="6" w:space="0"/>
              <w:right w:val="single" w:color="auto" w:sz="4" w:space="0"/>
            </w:tcBorders>
            <w:noWrap w:val="0"/>
            <w:vAlign w:val="center"/>
          </w:tcPr>
          <w:p w14:paraId="53887F81">
            <w:pPr>
              <w:jc w:val="center"/>
              <w:rPr>
                <w:rFonts w:hint="eastAsia" w:ascii="仿宋" w:hAnsi="仿宋" w:eastAsia="仿宋" w:cs="仿宋"/>
                <w:sz w:val="24"/>
                <w:szCs w:val="24"/>
              </w:rPr>
            </w:pPr>
            <w:r>
              <w:rPr>
                <w:rFonts w:hint="eastAsia" w:ascii="仿宋" w:hAnsi="仿宋" w:eastAsia="仿宋" w:cs="仿宋"/>
                <w:sz w:val="24"/>
                <w:szCs w:val="24"/>
              </w:rPr>
              <w:t>评标因素（分值）</w:t>
            </w:r>
          </w:p>
        </w:tc>
        <w:tc>
          <w:tcPr>
            <w:tcW w:w="6277" w:type="dxa"/>
            <w:gridSpan w:val="3"/>
            <w:tcBorders>
              <w:top w:val="double" w:color="auto" w:sz="4" w:space="0"/>
              <w:left w:val="single" w:color="auto" w:sz="4" w:space="0"/>
              <w:bottom w:val="single" w:color="auto" w:sz="6" w:space="0"/>
              <w:right w:val="double" w:color="auto" w:sz="4" w:space="0"/>
            </w:tcBorders>
            <w:noWrap w:val="0"/>
            <w:vAlign w:val="center"/>
          </w:tcPr>
          <w:p w14:paraId="6D88931C">
            <w:pPr>
              <w:jc w:val="center"/>
              <w:rPr>
                <w:rFonts w:hint="eastAsia" w:ascii="仿宋" w:hAnsi="仿宋" w:eastAsia="仿宋" w:cs="仿宋"/>
                <w:sz w:val="24"/>
                <w:szCs w:val="24"/>
              </w:rPr>
            </w:pPr>
            <w:r>
              <w:rPr>
                <w:rFonts w:hint="eastAsia" w:ascii="仿宋" w:hAnsi="仿宋" w:eastAsia="仿宋" w:cs="仿宋"/>
                <w:sz w:val="24"/>
                <w:szCs w:val="24"/>
              </w:rPr>
              <w:t>评标标准</w:t>
            </w:r>
          </w:p>
        </w:tc>
      </w:tr>
      <w:tr w14:paraId="6BE9EDD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trHeight w:val="20" w:hRule="atLeast"/>
          <w:jc w:val="center"/>
        </w:trPr>
        <w:tc>
          <w:tcPr>
            <w:tcW w:w="503" w:type="dxa"/>
            <w:tcBorders>
              <w:top w:val="single" w:color="auto" w:sz="6" w:space="0"/>
              <w:left w:val="double" w:color="auto" w:sz="4" w:space="0"/>
              <w:bottom w:val="single" w:color="auto" w:sz="6" w:space="0"/>
              <w:right w:val="single" w:color="auto" w:sz="4" w:space="0"/>
            </w:tcBorders>
            <w:noWrap w:val="0"/>
            <w:vAlign w:val="center"/>
          </w:tcPr>
          <w:p w14:paraId="400DF757">
            <w:pPr>
              <w:jc w:val="center"/>
              <w:rPr>
                <w:rFonts w:hint="eastAsia" w:ascii="仿宋" w:hAnsi="仿宋" w:eastAsia="仿宋" w:cs="仿宋"/>
                <w:sz w:val="24"/>
                <w:szCs w:val="24"/>
              </w:rPr>
            </w:pPr>
            <w:r>
              <w:rPr>
                <w:rFonts w:hint="eastAsia" w:ascii="仿宋" w:hAnsi="仿宋" w:eastAsia="仿宋" w:cs="仿宋"/>
                <w:sz w:val="24"/>
                <w:szCs w:val="24"/>
              </w:rPr>
              <w:t>1</w:t>
            </w:r>
          </w:p>
        </w:tc>
        <w:tc>
          <w:tcPr>
            <w:tcW w:w="2160" w:type="dxa"/>
            <w:tcBorders>
              <w:top w:val="single" w:color="auto" w:sz="6" w:space="0"/>
              <w:left w:val="single" w:color="auto" w:sz="4" w:space="0"/>
              <w:bottom w:val="single" w:color="auto" w:sz="6" w:space="0"/>
              <w:right w:val="single" w:color="auto" w:sz="6" w:space="0"/>
            </w:tcBorders>
            <w:noWrap w:val="0"/>
            <w:vAlign w:val="center"/>
          </w:tcPr>
          <w:p w14:paraId="22A2A5AD">
            <w:pPr>
              <w:jc w:val="center"/>
              <w:rPr>
                <w:rFonts w:hint="eastAsia" w:ascii="仿宋" w:hAnsi="仿宋" w:eastAsia="仿宋" w:cs="仿宋"/>
                <w:sz w:val="24"/>
                <w:szCs w:val="24"/>
              </w:rPr>
            </w:pPr>
            <w:r>
              <w:rPr>
                <w:rFonts w:hint="eastAsia" w:ascii="仿宋" w:hAnsi="仿宋" w:eastAsia="仿宋" w:cs="仿宋"/>
                <w:sz w:val="24"/>
                <w:szCs w:val="24"/>
              </w:rPr>
              <w:t>技术评价项</w:t>
            </w:r>
          </w:p>
          <w:p w14:paraId="1F6D4742">
            <w:pPr>
              <w:jc w:val="center"/>
              <w:rPr>
                <w:rFonts w:hint="eastAsia" w:ascii="仿宋" w:hAnsi="仿宋" w:eastAsia="仿宋" w:cs="仿宋"/>
                <w:sz w:val="24"/>
                <w:szCs w:val="24"/>
              </w:rPr>
            </w:pPr>
            <w:r>
              <w:rPr>
                <w:rFonts w:hint="eastAsia" w:ascii="仿宋" w:hAnsi="仿宋" w:eastAsia="仿宋" w:cs="仿宋"/>
                <w:sz w:val="24"/>
                <w:szCs w:val="24"/>
              </w:rPr>
              <w:t>（F=100分）</w:t>
            </w:r>
          </w:p>
        </w:tc>
        <w:tc>
          <w:tcPr>
            <w:tcW w:w="773" w:type="dxa"/>
            <w:tcBorders>
              <w:top w:val="single" w:color="auto" w:sz="6" w:space="0"/>
              <w:left w:val="single" w:color="auto" w:sz="6" w:space="0"/>
              <w:bottom w:val="single" w:color="auto" w:sz="6" w:space="0"/>
              <w:right w:val="single" w:color="auto" w:sz="4" w:space="0"/>
            </w:tcBorders>
            <w:noWrap w:val="0"/>
            <w:vAlign w:val="center"/>
          </w:tcPr>
          <w:p w14:paraId="1477CC47">
            <w:pPr>
              <w:jc w:val="center"/>
              <w:rPr>
                <w:rFonts w:hint="eastAsia" w:ascii="仿宋" w:hAnsi="仿宋" w:eastAsia="仿宋" w:cs="仿宋"/>
                <w:sz w:val="24"/>
                <w:szCs w:val="24"/>
              </w:rPr>
            </w:pPr>
            <w:r>
              <w:rPr>
                <w:rFonts w:hint="eastAsia" w:ascii="仿宋" w:hAnsi="仿宋" w:eastAsia="仿宋" w:cs="仿宋"/>
                <w:sz w:val="24"/>
                <w:szCs w:val="24"/>
              </w:rPr>
              <w:t>技术参数</w:t>
            </w:r>
          </w:p>
        </w:tc>
        <w:tc>
          <w:tcPr>
            <w:tcW w:w="772" w:type="dxa"/>
            <w:tcBorders>
              <w:top w:val="single" w:color="auto" w:sz="6" w:space="0"/>
              <w:left w:val="single" w:color="auto" w:sz="4" w:space="0"/>
              <w:bottom w:val="single" w:color="auto" w:sz="6" w:space="0"/>
              <w:right w:val="single" w:color="auto" w:sz="6" w:space="0"/>
            </w:tcBorders>
            <w:noWrap w:val="0"/>
            <w:vAlign w:val="center"/>
          </w:tcPr>
          <w:p w14:paraId="69259C91">
            <w:pPr>
              <w:jc w:val="center"/>
              <w:rPr>
                <w:rFonts w:hint="eastAsia" w:ascii="仿宋" w:hAnsi="仿宋" w:eastAsia="仿宋" w:cs="仿宋"/>
                <w:sz w:val="24"/>
                <w:szCs w:val="24"/>
              </w:rPr>
            </w:pPr>
            <w:r>
              <w:rPr>
                <w:rFonts w:hint="eastAsia" w:ascii="仿宋" w:hAnsi="仿宋" w:eastAsia="仿宋" w:cs="仿宋"/>
                <w:sz w:val="24"/>
                <w:szCs w:val="24"/>
              </w:rPr>
              <w:t>100</w:t>
            </w:r>
          </w:p>
        </w:tc>
        <w:tc>
          <w:tcPr>
            <w:tcW w:w="4732" w:type="dxa"/>
            <w:tcBorders>
              <w:top w:val="single" w:color="auto" w:sz="6" w:space="0"/>
              <w:left w:val="single" w:color="auto" w:sz="6" w:space="0"/>
              <w:bottom w:val="single" w:color="auto" w:sz="6" w:space="0"/>
              <w:right w:val="double" w:color="auto" w:sz="4" w:space="0"/>
            </w:tcBorders>
            <w:noWrap w:val="0"/>
            <w:vAlign w:val="center"/>
          </w:tcPr>
          <w:p w14:paraId="4C9DEE46">
            <w:pPr>
              <w:jc w:val="left"/>
              <w:rPr>
                <w:rFonts w:hint="eastAsia" w:ascii="仿宋" w:hAnsi="仿宋" w:eastAsia="仿宋" w:cs="仿宋"/>
                <w:sz w:val="24"/>
                <w:szCs w:val="24"/>
              </w:rPr>
            </w:pPr>
            <w:r>
              <w:rPr>
                <w:rFonts w:hint="eastAsia" w:ascii="仿宋" w:hAnsi="仿宋" w:eastAsia="仿宋" w:cs="仿宋"/>
                <w:sz w:val="24"/>
                <w:szCs w:val="24"/>
              </w:rPr>
              <w:t>投标文件无技术条款响应/偏离表的本项计0分；</w:t>
            </w:r>
          </w:p>
          <w:p w14:paraId="13A7DBE9">
            <w:pPr>
              <w:jc w:val="left"/>
              <w:rPr>
                <w:rFonts w:hint="eastAsia" w:ascii="仿宋" w:hAnsi="仿宋" w:eastAsia="仿宋" w:cs="仿宋"/>
                <w:sz w:val="24"/>
                <w:szCs w:val="24"/>
              </w:rPr>
            </w:pPr>
            <w:r>
              <w:rPr>
                <w:rFonts w:hint="eastAsia" w:ascii="仿宋" w:hAnsi="仿宋" w:eastAsia="仿宋" w:cs="仿宋"/>
                <w:sz w:val="24"/>
                <w:szCs w:val="24"/>
              </w:rPr>
              <w:t>1、技术参数满足招标文件要求无负偏离的本项计100分；</w:t>
            </w:r>
          </w:p>
          <w:p w14:paraId="3F68929D">
            <w:pPr>
              <w:jc w:val="left"/>
              <w:rPr>
                <w:rFonts w:hint="eastAsia" w:ascii="仿宋" w:hAnsi="仿宋" w:eastAsia="仿宋" w:cs="仿宋"/>
                <w:sz w:val="24"/>
                <w:szCs w:val="24"/>
              </w:rPr>
            </w:pPr>
            <w:r>
              <w:rPr>
                <w:rFonts w:hint="eastAsia" w:ascii="仿宋" w:hAnsi="仿宋" w:eastAsia="仿宋" w:cs="仿宋"/>
                <w:sz w:val="24"/>
                <w:szCs w:val="24"/>
              </w:rPr>
              <w:t>2、标注“▲”的参数为重要参数，每一项负偏离或缺漏扣10分；</w:t>
            </w:r>
          </w:p>
          <w:p w14:paraId="507C1743">
            <w:pPr>
              <w:jc w:val="left"/>
              <w:rPr>
                <w:rFonts w:hint="eastAsia" w:ascii="仿宋" w:hAnsi="仿宋" w:eastAsia="仿宋" w:cs="仿宋"/>
                <w:sz w:val="24"/>
                <w:szCs w:val="24"/>
              </w:rPr>
            </w:pPr>
            <w:r>
              <w:rPr>
                <w:rFonts w:hint="eastAsia" w:ascii="仿宋" w:hAnsi="仿宋" w:eastAsia="仿宋" w:cs="仿宋"/>
                <w:sz w:val="24"/>
                <w:szCs w:val="24"/>
              </w:rPr>
              <w:t>3、一般技术参数（即非“★”非“▲”号参数）存在负偏离，每条负偏离扣6分。</w:t>
            </w:r>
          </w:p>
          <w:p w14:paraId="63DBEE5B">
            <w:pPr>
              <w:jc w:val="left"/>
              <w:rPr>
                <w:rFonts w:hint="eastAsia" w:ascii="仿宋" w:hAnsi="仿宋" w:eastAsia="仿宋" w:cs="仿宋"/>
                <w:sz w:val="24"/>
                <w:szCs w:val="24"/>
              </w:rPr>
            </w:pPr>
            <w:r>
              <w:rPr>
                <w:rFonts w:hint="eastAsia" w:ascii="仿宋" w:hAnsi="仿宋" w:eastAsia="仿宋" w:cs="仿宋"/>
                <w:sz w:val="24"/>
                <w:szCs w:val="24"/>
              </w:rPr>
              <w:t>（注：标注“▲”技术参数以及技术规格中要求该项参数提供有关证明文件的一般参数，投标人应提供证明材料，包括但不限于技术白皮书、产品彩页、检测报告等形式。如无相关证明文件或相关证明文件不完整，则按相应负偏离计算；此项只做评分因素，不做废标条件</w:t>
            </w:r>
            <w:r>
              <w:rPr>
                <w:rFonts w:hint="eastAsia" w:ascii="仿宋" w:hAnsi="仿宋" w:eastAsia="仿宋" w:cs="仿宋"/>
                <w:sz w:val="24"/>
                <w:szCs w:val="24"/>
                <w:lang w:eastAsia="zh-CN"/>
              </w:rPr>
              <w:t>；</w:t>
            </w:r>
            <w:r>
              <w:rPr>
                <w:rFonts w:hint="eastAsia" w:ascii="仿宋" w:hAnsi="仿宋" w:eastAsia="仿宋" w:cs="仿宋"/>
                <w:sz w:val="24"/>
                <w:szCs w:val="24"/>
              </w:rPr>
              <w:t>“★”</w:t>
            </w:r>
            <w:r>
              <w:rPr>
                <w:rFonts w:hint="eastAsia" w:ascii="仿宋" w:hAnsi="仿宋" w:eastAsia="仿宋" w:cs="仿宋"/>
                <w:sz w:val="24"/>
                <w:szCs w:val="24"/>
                <w:lang w:eastAsia="zh-CN"/>
              </w:rPr>
              <w:t>为实质性条款，任何一条负偏离视为无效投标</w:t>
            </w:r>
            <w:r>
              <w:rPr>
                <w:rFonts w:hint="eastAsia" w:ascii="仿宋" w:hAnsi="仿宋" w:eastAsia="仿宋" w:cs="仿宋"/>
                <w:sz w:val="24"/>
                <w:szCs w:val="24"/>
              </w:rPr>
              <w:t>）</w:t>
            </w:r>
          </w:p>
        </w:tc>
      </w:tr>
    </w:tbl>
    <w:p w14:paraId="5294AC11">
      <w:pPr>
        <w:jc w:val="center"/>
        <w:rPr>
          <w:rFonts w:hint="eastAsia" w:ascii="仿宋" w:hAnsi="仿宋" w:eastAsia="仿宋" w:cs="仿宋"/>
          <w:sz w:val="24"/>
          <w:szCs w:val="24"/>
        </w:rPr>
      </w:pPr>
    </w:p>
    <w:p w14:paraId="4A701F25">
      <w:pPr>
        <w:jc w:val="center"/>
        <w:rPr>
          <w:rFonts w:hint="eastAsia" w:ascii="仿宋" w:hAnsi="仿宋" w:eastAsia="仿宋" w:cs="仿宋"/>
          <w:sz w:val="24"/>
          <w:szCs w:val="24"/>
        </w:rPr>
      </w:pPr>
      <w:r>
        <w:rPr>
          <w:rFonts w:hint="eastAsia" w:ascii="仿宋" w:hAnsi="仿宋" w:eastAsia="仿宋" w:cs="仿宋"/>
          <w:sz w:val="24"/>
          <w:szCs w:val="24"/>
        </w:rPr>
        <w:br w:type="page"/>
      </w:r>
      <w:r>
        <w:rPr>
          <w:rFonts w:hint="eastAsia" w:ascii="仿宋" w:hAnsi="仿宋" w:eastAsia="仿宋" w:cs="仿宋"/>
          <w:sz w:val="24"/>
          <w:szCs w:val="24"/>
        </w:rPr>
        <w:t>附表1.3商务部分评审标准表</w:t>
      </w:r>
    </w:p>
    <w:tbl>
      <w:tblPr>
        <w:tblStyle w:val="10"/>
        <w:tblW w:w="8985"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3"/>
        <w:gridCol w:w="1877"/>
        <w:gridCol w:w="1377"/>
        <w:gridCol w:w="709"/>
        <w:gridCol w:w="4519"/>
      </w:tblGrid>
      <w:tr w14:paraId="4BBE93F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503" w:type="dxa"/>
            <w:tcBorders>
              <w:tl2br w:val="nil"/>
              <w:tr2bl w:val="nil"/>
            </w:tcBorders>
            <w:noWrap w:val="0"/>
            <w:vAlign w:val="center"/>
          </w:tcPr>
          <w:p w14:paraId="120D06D8">
            <w:pPr>
              <w:jc w:val="center"/>
              <w:rPr>
                <w:rFonts w:hint="eastAsia" w:ascii="仿宋" w:hAnsi="仿宋" w:eastAsia="仿宋" w:cs="仿宋"/>
                <w:sz w:val="24"/>
                <w:szCs w:val="24"/>
              </w:rPr>
            </w:pPr>
            <w:r>
              <w:rPr>
                <w:rFonts w:hint="eastAsia" w:ascii="仿宋" w:hAnsi="仿宋" w:eastAsia="仿宋" w:cs="仿宋"/>
                <w:sz w:val="24"/>
                <w:szCs w:val="24"/>
              </w:rPr>
              <w:t>序号</w:t>
            </w:r>
          </w:p>
        </w:tc>
        <w:tc>
          <w:tcPr>
            <w:tcW w:w="1877" w:type="dxa"/>
            <w:tcBorders>
              <w:tl2br w:val="nil"/>
              <w:tr2bl w:val="nil"/>
            </w:tcBorders>
            <w:noWrap w:val="0"/>
            <w:vAlign w:val="center"/>
          </w:tcPr>
          <w:p w14:paraId="59AFAB63">
            <w:pPr>
              <w:jc w:val="center"/>
              <w:rPr>
                <w:rFonts w:hint="eastAsia" w:ascii="仿宋" w:hAnsi="仿宋" w:eastAsia="仿宋" w:cs="仿宋"/>
                <w:sz w:val="24"/>
                <w:szCs w:val="24"/>
              </w:rPr>
            </w:pPr>
            <w:r>
              <w:rPr>
                <w:rFonts w:hint="eastAsia" w:ascii="仿宋" w:hAnsi="仿宋" w:eastAsia="仿宋" w:cs="仿宋"/>
                <w:sz w:val="24"/>
                <w:szCs w:val="24"/>
              </w:rPr>
              <w:t>评标因素（分值）</w:t>
            </w:r>
          </w:p>
        </w:tc>
        <w:tc>
          <w:tcPr>
            <w:tcW w:w="6605" w:type="dxa"/>
            <w:gridSpan w:val="3"/>
            <w:tcBorders>
              <w:tl2br w:val="nil"/>
              <w:tr2bl w:val="nil"/>
            </w:tcBorders>
            <w:noWrap w:val="0"/>
            <w:vAlign w:val="center"/>
          </w:tcPr>
          <w:p w14:paraId="70140D21">
            <w:pPr>
              <w:jc w:val="center"/>
              <w:rPr>
                <w:rFonts w:hint="eastAsia" w:ascii="仿宋" w:hAnsi="仿宋" w:eastAsia="仿宋" w:cs="仿宋"/>
                <w:sz w:val="24"/>
                <w:szCs w:val="24"/>
              </w:rPr>
            </w:pPr>
            <w:r>
              <w:rPr>
                <w:rFonts w:hint="eastAsia" w:ascii="仿宋" w:hAnsi="仿宋" w:eastAsia="仿宋" w:cs="仿宋"/>
                <w:sz w:val="24"/>
                <w:szCs w:val="24"/>
              </w:rPr>
              <w:t>评标标准</w:t>
            </w:r>
          </w:p>
        </w:tc>
      </w:tr>
      <w:tr w14:paraId="0BB6087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03" w:type="dxa"/>
            <w:vMerge w:val="restart"/>
            <w:tcBorders>
              <w:tl2br w:val="nil"/>
              <w:tr2bl w:val="nil"/>
            </w:tcBorders>
            <w:noWrap w:val="0"/>
            <w:vAlign w:val="center"/>
          </w:tcPr>
          <w:p w14:paraId="7400741D">
            <w:pPr>
              <w:jc w:val="center"/>
              <w:rPr>
                <w:rFonts w:hint="eastAsia" w:ascii="仿宋" w:hAnsi="仿宋" w:eastAsia="仿宋" w:cs="仿宋"/>
                <w:sz w:val="24"/>
                <w:szCs w:val="24"/>
              </w:rPr>
            </w:pPr>
            <w:r>
              <w:rPr>
                <w:rFonts w:hint="eastAsia" w:ascii="仿宋" w:hAnsi="仿宋" w:eastAsia="仿宋" w:cs="仿宋"/>
                <w:sz w:val="24"/>
                <w:szCs w:val="24"/>
              </w:rPr>
              <w:t>1</w:t>
            </w:r>
          </w:p>
        </w:tc>
        <w:tc>
          <w:tcPr>
            <w:tcW w:w="1877" w:type="dxa"/>
            <w:vMerge w:val="restart"/>
            <w:tcBorders>
              <w:tl2br w:val="nil"/>
              <w:tr2bl w:val="nil"/>
            </w:tcBorders>
            <w:noWrap w:val="0"/>
            <w:vAlign w:val="center"/>
          </w:tcPr>
          <w:p w14:paraId="5B0CA72E">
            <w:pPr>
              <w:jc w:val="center"/>
              <w:rPr>
                <w:rFonts w:hint="eastAsia" w:ascii="仿宋" w:hAnsi="仿宋" w:eastAsia="仿宋" w:cs="仿宋"/>
                <w:sz w:val="24"/>
                <w:szCs w:val="24"/>
              </w:rPr>
            </w:pPr>
            <w:r>
              <w:rPr>
                <w:rFonts w:hint="eastAsia" w:ascii="仿宋" w:hAnsi="仿宋" w:eastAsia="仿宋" w:cs="仿宋"/>
                <w:sz w:val="24"/>
                <w:szCs w:val="24"/>
              </w:rPr>
              <w:t>商务评价项</w:t>
            </w:r>
          </w:p>
          <w:p w14:paraId="042B2229">
            <w:pPr>
              <w:jc w:val="center"/>
              <w:rPr>
                <w:rFonts w:hint="eastAsia" w:ascii="仿宋" w:hAnsi="仿宋" w:eastAsia="仿宋" w:cs="仿宋"/>
                <w:sz w:val="24"/>
                <w:szCs w:val="24"/>
              </w:rPr>
            </w:pPr>
            <w:r>
              <w:rPr>
                <w:rFonts w:hint="eastAsia" w:ascii="仿宋" w:hAnsi="仿宋" w:eastAsia="仿宋" w:cs="仿宋"/>
                <w:sz w:val="24"/>
                <w:szCs w:val="24"/>
              </w:rPr>
              <w:t>（F=100分）</w:t>
            </w:r>
          </w:p>
        </w:tc>
        <w:tc>
          <w:tcPr>
            <w:tcW w:w="1377" w:type="dxa"/>
            <w:tcBorders>
              <w:tl2br w:val="nil"/>
              <w:tr2bl w:val="nil"/>
            </w:tcBorders>
            <w:noWrap w:val="0"/>
            <w:vAlign w:val="center"/>
          </w:tcPr>
          <w:p w14:paraId="52D7D2CC">
            <w:pPr>
              <w:jc w:val="center"/>
              <w:rPr>
                <w:rFonts w:hint="eastAsia" w:ascii="仿宋" w:hAnsi="仿宋" w:eastAsia="仿宋" w:cs="仿宋"/>
                <w:sz w:val="24"/>
                <w:szCs w:val="24"/>
              </w:rPr>
            </w:pPr>
            <w:r>
              <w:rPr>
                <w:rFonts w:hint="eastAsia" w:ascii="仿宋" w:hAnsi="仿宋" w:eastAsia="仿宋" w:cs="仿宋"/>
                <w:sz w:val="24"/>
                <w:szCs w:val="24"/>
              </w:rPr>
              <w:t>售后服务</w:t>
            </w:r>
          </w:p>
        </w:tc>
        <w:tc>
          <w:tcPr>
            <w:tcW w:w="709" w:type="dxa"/>
            <w:tcBorders>
              <w:tl2br w:val="nil"/>
              <w:tr2bl w:val="nil"/>
            </w:tcBorders>
            <w:noWrap w:val="0"/>
            <w:vAlign w:val="center"/>
          </w:tcPr>
          <w:p w14:paraId="07B35741">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55</w:t>
            </w:r>
          </w:p>
        </w:tc>
        <w:tc>
          <w:tcPr>
            <w:tcW w:w="4519" w:type="dxa"/>
            <w:tcBorders>
              <w:tl2br w:val="nil"/>
              <w:tr2bl w:val="nil"/>
            </w:tcBorders>
            <w:noWrap w:val="0"/>
            <w:vAlign w:val="center"/>
          </w:tcPr>
          <w:p w14:paraId="438506F2">
            <w:pPr>
              <w:jc w:val="left"/>
              <w:rPr>
                <w:rFonts w:hint="eastAsia" w:ascii="仿宋" w:hAnsi="仿宋" w:eastAsia="仿宋" w:cs="仿宋"/>
                <w:color w:val="FF0000"/>
                <w:sz w:val="24"/>
                <w:szCs w:val="24"/>
                <w:lang w:val="en-US" w:eastAsia="zh-CN"/>
              </w:rPr>
            </w:pPr>
            <w:r>
              <w:rPr>
                <w:rFonts w:hint="eastAsia" w:ascii="仿宋" w:hAnsi="仿宋" w:eastAsia="仿宋" w:cs="仿宋"/>
                <w:sz w:val="24"/>
                <w:szCs w:val="24"/>
              </w:rPr>
              <w:t>1、</w:t>
            </w:r>
            <w:r>
              <w:rPr>
                <w:rFonts w:hint="eastAsia" w:ascii="仿宋" w:hAnsi="仿宋" w:eastAsia="仿宋" w:cs="仿宋"/>
                <w:color w:val="FF0000"/>
                <w:sz w:val="24"/>
                <w:szCs w:val="24"/>
                <w:lang w:val="en-US" w:eastAsia="zh-CN"/>
              </w:rPr>
              <w:t>针对本项目有明确的售后服务方案，包括但不限于：①设备配送、安装、检验等；②发生故障后的补救措施及巡检服务；③售后服务维修人员详细情况；④维修的响应时间；⑤备品配件的清单及供应保障措施。</w:t>
            </w:r>
          </w:p>
          <w:p w14:paraId="0C08F793">
            <w:pPr>
              <w:jc w:val="left"/>
              <w:rPr>
                <w:rFonts w:hint="eastAsia" w:ascii="仿宋" w:hAnsi="仿宋" w:eastAsia="仿宋" w:cs="仿宋"/>
                <w:color w:val="FF0000"/>
                <w:sz w:val="24"/>
                <w:szCs w:val="24"/>
                <w:lang w:val="en-US" w:eastAsia="zh-CN"/>
              </w:rPr>
            </w:pPr>
            <w:r>
              <w:rPr>
                <w:rFonts w:hint="eastAsia" w:ascii="仿宋" w:hAnsi="仿宋" w:eastAsia="仿宋" w:cs="仿宋"/>
                <w:color w:val="FF0000"/>
                <w:sz w:val="24"/>
                <w:szCs w:val="24"/>
                <w:lang w:val="en-US" w:eastAsia="zh-CN"/>
              </w:rPr>
              <w:t>上述小项方案具有针对性和可行性，符合采购实际需求，内容完整合理满足招标文件要求的每项得7分。存在一般缺陷的每项方案得3.5分（一般缺陷是指方案内容前后不一致或前后逻辑错误或内容有缺失，不影响项目的实施）。未提供或存在重大缺陷的每项方案不得分（重大缺陷是指方案凭空编造或与采购项目和采购需求无关，无法指导项目实施）。</w:t>
            </w:r>
          </w:p>
          <w:p w14:paraId="365D08D4">
            <w:pPr>
              <w:jc w:val="left"/>
              <w:rPr>
                <w:rFonts w:hint="eastAsia" w:ascii="仿宋" w:hAnsi="仿宋" w:eastAsia="仿宋" w:cs="仿宋"/>
                <w:sz w:val="24"/>
                <w:szCs w:val="24"/>
              </w:rPr>
            </w:pPr>
            <w:r>
              <w:rPr>
                <w:rFonts w:hint="eastAsia" w:ascii="仿宋" w:hAnsi="仿宋" w:eastAsia="仿宋" w:cs="仿宋"/>
                <w:sz w:val="24"/>
                <w:szCs w:val="24"/>
              </w:rPr>
              <w:t>2、质保期在招标要求基础上再增加1年的加10分，增加2年以上的加20分，最高可加20分。</w:t>
            </w:r>
          </w:p>
        </w:tc>
      </w:tr>
      <w:tr w14:paraId="7A79325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03" w:type="dxa"/>
            <w:vMerge w:val="continue"/>
            <w:tcBorders>
              <w:tl2br w:val="nil"/>
              <w:tr2bl w:val="nil"/>
            </w:tcBorders>
            <w:noWrap w:val="0"/>
            <w:vAlign w:val="center"/>
          </w:tcPr>
          <w:p w14:paraId="75A84BC5">
            <w:pPr>
              <w:jc w:val="center"/>
              <w:rPr>
                <w:rFonts w:hint="eastAsia" w:ascii="仿宋" w:hAnsi="仿宋" w:eastAsia="仿宋" w:cs="仿宋"/>
                <w:sz w:val="24"/>
                <w:szCs w:val="24"/>
              </w:rPr>
            </w:pPr>
          </w:p>
        </w:tc>
        <w:tc>
          <w:tcPr>
            <w:tcW w:w="1877" w:type="dxa"/>
            <w:vMerge w:val="continue"/>
            <w:tcBorders>
              <w:tl2br w:val="nil"/>
              <w:tr2bl w:val="nil"/>
            </w:tcBorders>
            <w:noWrap w:val="0"/>
            <w:vAlign w:val="center"/>
          </w:tcPr>
          <w:p w14:paraId="3CF28375">
            <w:pPr>
              <w:jc w:val="center"/>
              <w:rPr>
                <w:rFonts w:hint="eastAsia" w:ascii="仿宋" w:hAnsi="仿宋" w:eastAsia="仿宋" w:cs="仿宋"/>
                <w:sz w:val="24"/>
                <w:szCs w:val="24"/>
              </w:rPr>
            </w:pPr>
          </w:p>
        </w:tc>
        <w:tc>
          <w:tcPr>
            <w:tcW w:w="1377" w:type="dxa"/>
            <w:tcBorders>
              <w:tl2br w:val="nil"/>
              <w:tr2bl w:val="nil"/>
            </w:tcBorders>
            <w:noWrap w:val="0"/>
            <w:vAlign w:val="center"/>
          </w:tcPr>
          <w:p w14:paraId="4C0261BB">
            <w:pPr>
              <w:jc w:val="center"/>
              <w:rPr>
                <w:rFonts w:hint="eastAsia" w:ascii="仿宋" w:hAnsi="仿宋" w:eastAsia="仿宋" w:cs="仿宋"/>
                <w:sz w:val="24"/>
                <w:szCs w:val="24"/>
              </w:rPr>
            </w:pPr>
            <w:r>
              <w:rPr>
                <w:rFonts w:hint="eastAsia" w:ascii="仿宋" w:hAnsi="仿宋" w:eastAsia="仿宋" w:cs="仿宋"/>
                <w:sz w:val="24"/>
                <w:szCs w:val="24"/>
              </w:rPr>
              <w:t>培训方案</w:t>
            </w:r>
          </w:p>
        </w:tc>
        <w:tc>
          <w:tcPr>
            <w:tcW w:w="709" w:type="dxa"/>
            <w:tcBorders>
              <w:tl2br w:val="nil"/>
              <w:tr2bl w:val="nil"/>
            </w:tcBorders>
            <w:noWrap w:val="0"/>
            <w:vAlign w:val="center"/>
          </w:tcPr>
          <w:p w14:paraId="28CE464E">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15</w:t>
            </w:r>
          </w:p>
        </w:tc>
        <w:tc>
          <w:tcPr>
            <w:tcW w:w="4519" w:type="dxa"/>
            <w:tcBorders>
              <w:tl2br w:val="nil"/>
              <w:tr2bl w:val="nil"/>
            </w:tcBorders>
            <w:noWrap w:val="0"/>
            <w:vAlign w:val="center"/>
          </w:tcPr>
          <w:p w14:paraId="3F50A818">
            <w:pPr>
              <w:jc w:val="left"/>
              <w:rPr>
                <w:rFonts w:hint="eastAsia" w:ascii="仿宋" w:hAnsi="仿宋" w:eastAsia="仿宋" w:cs="仿宋"/>
                <w:color w:val="FF0000"/>
                <w:sz w:val="24"/>
                <w:szCs w:val="24"/>
              </w:rPr>
            </w:pPr>
            <w:r>
              <w:rPr>
                <w:rFonts w:hint="eastAsia" w:ascii="仿宋" w:hAnsi="仿宋" w:eastAsia="仿宋" w:cs="仿宋"/>
                <w:color w:val="FF0000"/>
                <w:sz w:val="24"/>
                <w:szCs w:val="24"/>
              </w:rPr>
              <w:t>针对本项目具有可行的技术培训方案，包括但不限于：①所提供设备的原理和技术性能；②操作维护方法；③安装调试、排除故障等各个方面</w:t>
            </w:r>
            <w:r>
              <w:rPr>
                <w:rFonts w:hint="eastAsia" w:ascii="仿宋" w:hAnsi="仿宋" w:eastAsia="仿宋" w:cs="仿宋"/>
                <w:color w:val="FF0000"/>
                <w:sz w:val="24"/>
                <w:szCs w:val="24"/>
                <w:lang w:eastAsia="zh-CN"/>
              </w:rPr>
              <w:t>；</w:t>
            </w:r>
            <w:r>
              <w:rPr>
                <w:rFonts w:hint="eastAsia" w:ascii="仿宋" w:hAnsi="仿宋" w:eastAsia="仿宋" w:cs="仿宋"/>
                <w:color w:val="FF0000"/>
                <w:sz w:val="24"/>
                <w:szCs w:val="24"/>
              </w:rPr>
              <w:fldChar w:fldCharType="begin"/>
            </w:r>
            <w:r>
              <w:rPr>
                <w:rFonts w:hint="eastAsia" w:ascii="仿宋" w:hAnsi="仿宋" w:eastAsia="仿宋" w:cs="仿宋"/>
                <w:color w:val="FF0000"/>
                <w:sz w:val="24"/>
                <w:szCs w:val="24"/>
              </w:rPr>
              <w:instrText xml:space="preserve"> = 4 \* GB3 \* MERGEFORMAT </w:instrText>
            </w:r>
            <w:r>
              <w:rPr>
                <w:rFonts w:hint="eastAsia" w:ascii="仿宋" w:hAnsi="仿宋" w:eastAsia="仿宋" w:cs="仿宋"/>
                <w:color w:val="FF0000"/>
                <w:sz w:val="24"/>
                <w:szCs w:val="24"/>
              </w:rPr>
              <w:fldChar w:fldCharType="separate"/>
            </w:r>
            <w:r>
              <w:rPr>
                <w:rFonts w:hint="eastAsia" w:ascii="仿宋" w:hAnsi="仿宋" w:eastAsia="仿宋" w:cs="仿宋"/>
                <w:color w:val="FF0000"/>
                <w:sz w:val="24"/>
                <w:szCs w:val="24"/>
              </w:rPr>
              <w:t>④</w:t>
            </w:r>
            <w:r>
              <w:rPr>
                <w:rFonts w:hint="eastAsia" w:ascii="仿宋" w:hAnsi="仿宋" w:eastAsia="仿宋" w:cs="仿宋"/>
                <w:color w:val="FF0000"/>
                <w:sz w:val="24"/>
                <w:szCs w:val="24"/>
              </w:rPr>
              <w:fldChar w:fldCharType="end"/>
            </w:r>
            <w:r>
              <w:rPr>
                <w:rFonts w:hint="eastAsia" w:ascii="仿宋" w:hAnsi="仿宋" w:eastAsia="仿宋" w:cs="仿宋"/>
                <w:color w:val="FF0000"/>
                <w:sz w:val="24"/>
                <w:szCs w:val="24"/>
              </w:rPr>
              <w:t>培训</w:t>
            </w:r>
            <w:r>
              <w:rPr>
                <w:rFonts w:hint="eastAsia" w:ascii="仿宋" w:hAnsi="仿宋" w:eastAsia="仿宋" w:cs="仿宋"/>
                <w:color w:val="FF0000"/>
                <w:sz w:val="24"/>
                <w:szCs w:val="24"/>
                <w:lang w:eastAsia="zh-CN"/>
              </w:rPr>
              <w:t>计划安排</w:t>
            </w:r>
            <w:r>
              <w:rPr>
                <w:rFonts w:hint="eastAsia" w:ascii="仿宋" w:hAnsi="仿宋" w:eastAsia="仿宋" w:cs="仿宋"/>
                <w:color w:val="FF0000"/>
                <w:sz w:val="24"/>
                <w:szCs w:val="24"/>
              </w:rPr>
              <w:t>；</w:t>
            </w:r>
            <w:r>
              <w:rPr>
                <w:rFonts w:hint="eastAsia" w:ascii="仿宋" w:hAnsi="仿宋" w:eastAsia="仿宋" w:cs="仿宋"/>
                <w:color w:val="FF0000"/>
                <w:sz w:val="24"/>
                <w:szCs w:val="24"/>
              </w:rPr>
              <w:fldChar w:fldCharType="begin"/>
            </w:r>
            <w:r>
              <w:rPr>
                <w:rFonts w:hint="eastAsia" w:ascii="仿宋" w:hAnsi="仿宋" w:eastAsia="仿宋" w:cs="仿宋"/>
                <w:color w:val="FF0000"/>
                <w:sz w:val="24"/>
                <w:szCs w:val="24"/>
              </w:rPr>
              <w:instrText xml:space="preserve"> = 5 \* GB3 \* MERGEFORMAT </w:instrText>
            </w:r>
            <w:r>
              <w:rPr>
                <w:rFonts w:hint="eastAsia" w:ascii="仿宋" w:hAnsi="仿宋" w:eastAsia="仿宋" w:cs="仿宋"/>
                <w:color w:val="FF0000"/>
                <w:sz w:val="24"/>
                <w:szCs w:val="24"/>
              </w:rPr>
              <w:fldChar w:fldCharType="separate"/>
            </w:r>
            <w:r>
              <w:rPr>
                <w:rFonts w:hint="eastAsia" w:ascii="仿宋" w:hAnsi="仿宋" w:eastAsia="仿宋" w:cs="仿宋"/>
                <w:color w:val="FF0000"/>
                <w:sz w:val="24"/>
                <w:szCs w:val="24"/>
              </w:rPr>
              <w:t>⑤</w:t>
            </w:r>
            <w:r>
              <w:rPr>
                <w:rFonts w:hint="eastAsia" w:ascii="仿宋" w:hAnsi="仿宋" w:eastAsia="仿宋" w:cs="仿宋"/>
                <w:color w:val="FF0000"/>
                <w:sz w:val="24"/>
                <w:szCs w:val="24"/>
              </w:rPr>
              <w:fldChar w:fldCharType="end"/>
            </w:r>
            <w:r>
              <w:rPr>
                <w:rFonts w:hint="eastAsia" w:ascii="仿宋" w:hAnsi="仿宋" w:eastAsia="仿宋" w:cs="仿宋"/>
                <w:color w:val="FF0000"/>
                <w:sz w:val="24"/>
                <w:szCs w:val="24"/>
                <w:lang w:eastAsia="zh-CN"/>
              </w:rPr>
              <w:t>培训效果</w:t>
            </w:r>
            <w:r>
              <w:rPr>
                <w:rFonts w:hint="eastAsia" w:ascii="仿宋" w:hAnsi="仿宋" w:eastAsia="仿宋" w:cs="仿宋"/>
                <w:color w:val="FF0000"/>
                <w:sz w:val="24"/>
                <w:szCs w:val="24"/>
              </w:rPr>
              <w:t>等。</w:t>
            </w:r>
          </w:p>
          <w:p w14:paraId="3F46F640">
            <w:pPr>
              <w:jc w:val="left"/>
              <w:rPr>
                <w:rFonts w:hint="eastAsia" w:ascii="仿宋" w:hAnsi="仿宋" w:eastAsia="仿宋" w:cs="仿宋"/>
                <w:sz w:val="24"/>
                <w:szCs w:val="24"/>
              </w:rPr>
            </w:pPr>
            <w:r>
              <w:rPr>
                <w:rFonts w:hint="eastAsia" w:ascii="仿宋" w:hAnsi="仿宋" w:eastAsia="仿宋" w:cs="仿宋"/>
                <w:color w:val="FF0000"/>
                <w:sz w:val="24"/>
                <w:szCs w:val="24"/>
                <w:lang w:val="en-US" w:eastAsia="zh-CN"/>
              </w:rPr>
              <w:t>上述小项方案具有针对性和可行性，符合采购实际需求，内容完整合理满足招标文件要求的每项得3分。存在一般缺陷的每项方案得1.5分（一般缺陷是指方案内容前后不一致或前后逻辑错误或内容有缺失，不影响项目的实施）。未提供或存在重大缺陷的每项方案不得分（重大缺陷是指方案凭空编造或与采购项目和采购需求无关，无法指导项目实施）。</w:t>
            </w:r>
          </w:p>
        </w:tc>
      </w:tr>
      <w:tr w14:paraId="6AB131C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03" w:type="dxa"/>
            <w:vMerge w:val="continue"/>
            <w:tcBorders>
              <w:tl2br w:val="nil"/>
              <w:tr2bl w:val="nil"/>
            </w:tcBorders>
            <w:noWrap w:val="0"/>
            <w:vAlign w:val="center"/>
          </w:tcPr>
          <w:p w14:paraId="3FE4007E">
            <w:pPr>
              <w:jc w:val="center"/>
              <w:rPr>
                <w:rFonts w:hint="eastAsia" w:ascii="仿宋" w:hAnsi="仿宋" w:eastAsia="仿宋" w:cs="仿宋"/>
                <w:sz w:val="24"/>
                <w:szCs w:val="24"/>
              </w:rPr>
            </w:pPr>
          </w:p>
        </w:tc>
        <w:tc>
          <w:tcPr>
            <w:tcW w:w="1877" w:type="dxa"/>
            <w:vMerge w:val="continue"/>
            <w:tcBorders>
              <w:tl2br w:val="nil"/>
              <w:tr2bl w:val="nil"/>
            </w:tcBorders>
            <w:noWrap w:val="0"/>
            <w:vAlign w:val="center"/>
          </w:tcPr>
          <w:p w14:paraId="3EAC6943">
            <w:pPr>
              <w:jc w:val="center"/>
              <w:rPr>
                <w:rFonts w:hint="eastAsia" w:ascii="仿宋" w:hAnsi="仿宋" w:eastAsia="仿宋" w:cs="仿宋"/>
                <w:sz w:val="24"/>
                <w:szCs w:val="24"/>
              </w:rPr>
            </w:pPr>
          </w:p>
        </w:tc>
        <w:tc>
          <w:tcPr>
            <w:tcW w:w="1377" w:type="dxa"/>
            <w:tcBorders>
              <w:tl2br w:val="nil"/>
              <w:tr2bl w:val="nil"/>
            </w:tcBorders>
            <w:noWrap w:val="0"/>
            <w:vAlign w:val="center"/>
          </w:tcPr>
          <w:p w14:paraId="71A1BDC1">
            <w:pPr>
              <w:jc w:val="center"/>
              <w:rPr>
                <w:rFonts w:hint="eastAsia" w:ascii="仿宋" w:hAnsi="仿宋" w:eastAsia="仿宋" w:cs="仿宋"/>
                <w:sz w:val="24"/>
                <w:szCs w:val="24"/>
              </w:rPr>
            </w:pPr>
            <w:r>
              <w:rPr>
                <w:rFonts w:hint="eastAsia" w:ascii="仿宋" w:hAnsi="仿宋" w:eastAsia="仿宋" w:cs="仿宋"/>
                <w:sz w:val="24"/>
                <w:szCs w:val="24"/>
              </w:rPr>
              <w:t>类似业绩</w:t>
            </w:r>
          </w:p>
        </w:tc>
        <w:tc>
          <w:tcPr>
            <w:tcW w:w="709" w:type="dxa"/>
            <w:tcBorders>
              <w:tl2br w:val="nil"/>
              <w:tr2bl w:val="nil"/>
            </w:tcBorders>
            <w:noWrap w:val="0"/>
            <w:vAlign w:val="center"/>
          </w:tcPr>
          <w:p w14:paraId="189FF598">
            <w:pPr>
              <w:jc w:val="center"/>
              <w:rPr>
                <w:rFonts w:hint="eastAsia" w:ascii="仿宋" w:hAnsi="仿宋" w:eastAsia="仿宋" w:cs="仿宋"/>
                <w:sz w:val="24"/>
                <w:szCs w:val="24"/>
              </w:rPr>
            </w:pPr>
            <w:r>
              <w:rPr>
                <w:rFonts w:hint="eastAsia" w:ascii="仿宋" w:hAnsi="仿宋" w:eastAsia="仿宋" w:cs="仿宋"/>
                <w:sz w:val="24"/>
                <w:szCs w:val="24"/>
              </w:rPr>
              <w:t>30</w:t>
            </w:r>
          </w:p>
        </w:tc>
        <w:tc>
          <w:tcPr>
            <w:tcW w:w="4519" w:type="dxa"/>
            <w:tcBorders>
              <w:tl2br w:val="nil"/>
              <w:tr2bl w:val="nil"/>
            </w:tcBorders>
            <w:noWrap w:val="0"/>
            <w:vAlign w:val="center"/>
          </w:tcPr>
          <w:p w14:paraId="64AB8814">
            <w:pPr>
              <w:jc w:val="left"/>
              <w:rPr>
                <w:rFonts w:hint="eastAsia" w:ascii="仿宋" w:hAnsi="仿宋" w:eastAsia="仿宋" w:cs="仿宋"/>
                <w:sz w:val="24"/>
                <w:szCs w:val="24"/>
              </w:rPr>
            </w:pPr>
            <w:r>
              <w:rPr>
                <w:rFonts w:hint="eastAsia" w:ascii="仿宋" w:hAnsi="仿宋" w:eastAsia="仿宋" w:cs="仿宋"/>
                <w:sz w:val="24"/>
                <w:szCs w:val="24"/>
              </w:rPr>
              <w:t>提供近两年以来同型号设备销售业绩证明材料（证明材料可以是中标通知书或中标公示截图或合同相关页面，且证明材料要体现中标设备的型号），每提供一份计1</w:t>
            </w:r>
            <w:r>
              <w:rPr>
                <w:rFonts w:hint="eastAsia" w:ascii="仿宋" w:hAnsi="仿宋" w:eastAsia="仿宋" w:cs="仿宋"/>
                <w:sz w:val="24"/>
                <w:szCs w:val="24"/>
                <w:lang w:val="en-US" w:eastAsia="zh-CN"/>
              </w:rPr>
              <w:t>5</w:t>
            </w:r>
            <w:r>
              <w:rPr>
                <w:rFonts w:hint="eastAsia" w:ascii="仿宋" w:hAnsi="仿宋" w:eastAsia="仿宋" w:cs="仿宋"/>
                <w:sz w:val="24"/>
                <w:szCs w:val="24"/>
              </w:rPr>
              <w:t>分，计满30分为止，未按要求提供不得分。</w:t>
            </w:r>
          </w:p>
        </w:tc>
      </w:tr>
    </w:tbl>
    <w:p w14:paraId="33E240A8">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p>
    <w:p w14:paraId="6F76C45F">
      <w:pPr>
        <w:pStyle w:val="2"/>
        <w:numPr>
          <w:ilvl w:val="0"/>
          <w:numId w:val="0"/>
        </w:numPr>
        <w:spacing w:line="240" w:lineRule="auto"/>
        <w:ind w:left="2940" w:leftChars="0"/>
        <w:jc w:val="both"/>
        <w:rPr>
          <w:rFonts w:hint="eastAsia" w:ascii="宋体" w:hAnsi="宋体" w:cs="宋体"/>
          <w:color w:val="auto"/>
          <w:sz w:val="30"/>
          <w:szCs w:val="30"/>
        </w:rPr>
      </w:pPr>
      <w:bookmarkStart w:id="2" w:name="_Toc16523574"/>
      <w:r>
        <w:rPr>
          <w:rFonts w:hint="eastAsia" w:ascii="宋体" w:hAnsi="宋体" w:cs="宋体"/>
          <w:color w:val="auto"/>
          <w:sz w:val="30"/>
          <w:szCs w:val="30"/>
          <w:lang w:val="en-US" w:eastAsia="zh-CN"/>
        </w:rPr>
        <w:t xml:space="preserve">第三章   </w:t>
      </w:r>
      <w:r>
        <w:rPr>
          <w:rFonts w:hint="eastAsia" w:ascii="宋体" w:hAnsi="宋体" w:cs="宋体"/>
          <w:color w:val="auto"/>
          <w:sz w:val="30"/>
          <w:szCs w:val="30"/>
        </w:rPr>
        <w:t>投标文件的格式</w:t>
      </w:r>
    </w:p>
    <w:p w14:paraId="7A4E95C4">
      <w:pPr>
        <w:pStyle w:val="2"/>
        <w:numPr>
          <w:ilvl w:val="0"/>
          <w:numId w:val="0"/>
        </w:numPr>
        <w:spacing w:line="240" w:lineRule="auto"/>
        <w:ind w:firstLine="2108" w:firstLineChars="700"/>
        <w:jc w:val="both"/>
        <w:rPr>
          <w:rFonts w:hint="eastAsia" w:ascii="宋体" w:hAnsi="宋体" w:cs="宋体"/>
          <w:color w:val="auto"/>
          <w:sz w:val="30"/>
          <w:szCs w:val="30"/>
        </w:rPr>
      </w:pPr>
      <w:r>
        <w:rPr>
          <w:rFonts w:hint="eastAsia" w:ascii="宋体" w:hAnsi="宋体" w:cs="宋体"/>
          <w:color w:val="auto"/>
          <w:sz w:val="30"/>
          <w:szCs w:val="30"/>
        </w:rPr>
        <w:t>（必须按以下标题和顺序进行编制）</w:t>
      </w:r>
    </w:p>
    <w:p w14:paraId="13CAE84F">
      <w:pPr>
        <w:rPr>
          <w:rFonts w:hint="eastAsia" w:ascii="宋体" w:hAnsi="宋体" w:cs="宋体"/>
          <w:color w:val="auto"/>
        </w:rPr>
      </w:pPr>
    </w:p>
    <w:bookmarkEnd w:id="2"/>
    <w:p w14:paraId="09E4C51D">
      <w:pPr>
        <w:rPr>
          <w:rFonts w:hint="eastAsia"/>
          <w:color w:val="auto"/>
        </w:rPr>
      </w:pPr>
    </w:p>
    <w:p w14:paraId="37CD40BF">
      <w:pPr>
        <w:jc w:val="center"/>
        <w:rPr>
          <w:b/>
          <w:color w:val="auto"/>
          <w:sz w:val="24"/>
        </w:rPr>
      </w:pPr>
      <w:r>
        <w:rPr>
          <w:b/>
          <w:color w:val="auto"/>
          <w:sz w:val="28"/>
          <w:szCs w:val="28"/>
        </w:rPr>
        <w:t>第一部分、开标一览表</w:t>
      </w:r>
    </w:p>
    <w:p w14:paraId="6B1338EE">
      <w:pPr>
        <w:jc w:val="center"/>
        <w:rPr>
          <w:b/>
          <w:color w:val="auto"/>
          <w:sz w:val="24"/>
        </w:rPr>
      </w:pPr>
    </w:p>
    <w:p w14:paraId="3D3C4477">
      <w:pPr>
        <w:jc w:val="center"/>
        <w:rPr>
          <w:rFonts w:hint="eastAsia" w:eastAsia="宋体"/>
          <w:b/>
          <w:color w:val="auto"/>
          <w:sz w:val="24"/>
          <w:lang w:eastAsia="zh-CN"/>
        </w:rPr>
      </w:pPr>
      <w:r>
        <w:rPr>
          <w:rFonts w:hint="eastAsia"/>
          <w:b/>
          <w:color w:val="auto"/>
          <w:sz w:val="24"/>
          <w:lang w:eastAsia="zh-CN"/>
        </w:rPr>
        <w:t>注：此项内容需包含投标商品名称、数量、品牌、型号、单价、总价、等信息</w:t>
      </w:r>
    </w:p>
    <w:p w14:paraId="75BF73B1">
      <w:pPr>
        <w:pStyle w:val="18"/>
        <w:rPr>
          <w:color w:val="auto"/>
        </w:rPr>
      </w:pPr>
    </w:p>
    <w:p w14:paraId="7D0A891F">
      <w:pPr>
        <w:adjustRightInd w:val="0"/>
        <w:snapToGrid w:val="0"/>
        <w:spacing w:line="360" w:lineRule="auto"/>
        <w:jc w:val="center"/>
        <w:rPr>
          <w:rFonts w:hint="eastAsia" w:ascii="宋体" w:hAnsi="宋体" w:cs="宋体"/>
          <w:b/>
          <w:color w:val="auto"/>
          <w:sz w:val="28"/>
          <w:szCs w:val="28"/>
        </w:rPr>
      </w:pPr>
    </w:p>
    <w:p w14:paraId="62BF4973">
      <w:pPr>
        <w:adjustRightInd w:val="0"/>
        <w:snapToGrid w:val="0"/>
        <w:spacing w:line="360" w:lineRule="auto"/>
        <w:jc w:val="center"/>
        <w:rPr>
          <w:rFonts w:hint="eastAsia" w:ascii="宋体" w:hAnsi="宋体" w:cs="宋体"/>
          <w:b/>
          <w:color w:val="auto"/>
          <w:sz w:val="28"/>
          <w:szCs w:val="28"/>
        </w:rPr>
      </w:pPr>
    </w:p>
    <w:p w14:paraId="0BBB54E5">
      <w:pPr>
        <w:adjustRightInd w:val="0"/>
        <w:snapToGrid w:val="0"/>
        <w:spacing w:line="360" w:lineRule="auto"/>
        <w:jc w:val="center"/>
        <w:rPr>
          <w:rFonts w:hint="eastAsia" w:ascii="宋体" w:hAnsi="宋体" w:cs="宋体"/>
          <w:b/>
          <w:color w:val="auto"/>
          <w:sz w:val="28"/>
          <w:szCs w:val="28"/>
        </w:rPr>
      </w:pPr>
    </w:p>
    <w:p w14:paraId="4CE6E22F">
      <w:pPr>
        <w:adjustRightInd w:val="0"/>
        <w:snapToGrid w:val="0"/>
        <w:spacing w:line="360" w:lineRule="auto"/>
        <w:jc w:val="center"/>
        <w:rPr>
          <w:rFonts w:hint="eastAsia" w:ascii="宋体" w:hAnsi="宋体" w:cs="宋体"/>
          <w:b/>
          <w:color w:val="auto"/>
          <w:sz w:val="28"/>
          <w:szCs w:val="28"/>
        </w:rPr>
      </w:pPr>
    </w:p>
    <w:p w14:paraId="1982FCFC">
      <w:pPr>
        <w:adjustRightInd w:val="0"/>
        <w:snapToGrid w:val="0"/>
        <w:spacing w:line="360"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第二部分、资格证明文件</w:t>
      </w:r>
    </w:p>
    <w:p w14:paraId="171996F6">
      <w:pPr>
        <w:pStyle w:val="17"/>
        <w:rPr>
          <w:rFonts w:hint="eastAsia"/>
          <w:lang w:eastAsia="zh-CN"/>
        </w:rPr>
      </w:pPr>
    </w:p>
    <w:p w14:paraId="7FDE0FEA">
      <w:pPr>
        <w:adjustRightInd w:val="0"/>
        <w:snapToGrid w:val="0"/>
        <w:spacing w:line="360" w:lineRule="auto"/>
        <w:jc w:val="center"/>
        <w:rPr>
          <w:rFonts w:hint="eastAsia" w:ascii="宋体" w:hAnsi="宋体" w:cs="宋体"/>
          <w:b/>
          <w:color w:val="auto"/>
          <w:sz w:val="24"/>
          <w:szCs w:val="20"/>
        </w:rPr>
      </w:pPr>
    </w:p>
    <w:p w14:paraId="239AF00B">
      <w:pPr>
        <w:adjustRightInd w:val="0"/>
        <w:snapToGrid w:val="0"/>
        <w:spacing w:line="360" w:lineRule="auto"/>
        <w:jc w:val="center"/>
        <w:rPr>
          <w:rFonts w:hint="eastAsia" w:ascii="宋体" w:hAnsi="宋体" w:cs="宋体"/>
          <w:b/>
          <w:color w:val="auto"/>
          <w:sz w:val="24"/>
          <w:szCs w:val="20"/>
        </w:rPr>
      </w:pPr>
      <w:r>
        <w:rPr>
          <w:rFonts w:hint="eastAsia" w:ascii="宋体" w:hAnsi="宋体" w:cs="宋体"/>
          <w:b/>
          <w:color w:val="auto"/>
          <w:sz w:val="24"/>
          <w:szCs w:val="20"/>
        </w:rPr>
        <w:t>一、法定代表人授权委托书</w:t>
      </w:r>
    </w:p>
    <w:p w14:paraId="59A4596C">
      <w:pPr>
        <w:adjustRightInd w:val="0"/>
        <w:snapToGrid w:val="0"/>
        <w:spacing w:line="360" w:lineRule="auto"/>
        <w:rPr>
          <w:rFonts w:hint="eastAsia" w:ascii="宋体" w:hAnsi="宋体" w:cs="宋体"/>
          <w:b/>
          <w:color w:val="auto"/>
          <w:sz w:val="28"/>
          <w:szCs w:val="28"/>
        </w:rPr>
      </w:pPr>
    </w:p>
    <w:p w14:paraId="7BE53E5B">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本人</w:t>
      </w:r>
      <w:r>
        <w:rPr>
          <w:rFonts w:hint="eastAsia" w:ascii="宋体" w:hAnsi="宋体" w:cs="宋体"/>
          <w:color w:val="auto"/>
          <w:kern w:val="0"/>
          <w:sz w:val="24"/>
          <w:u w:val="single"/>
        </w:rPr>
        <w:t>（姓名、职务）</w:t>
      </w:r>
      <w:r>
        <w:rPr>
          <w:rFonts w:hint="eastAsia" w:ascii="宋体" w:hAnsi="宋体" w:cs="宋体"/>
          <w:color w:val="auto"/>
          <w:kern w:val="0"/>
          <w:sz w:val="24"/>
        </w:rPr>
        <w:t>系</w:t>
      </w:r>
      <w:r>
        <w:rPr>
          <w:rFonts w:hint="eastAsia" w:ascii="宋体" w:hAnsi="宋体" w:cs="宋体"/>
          <w:color w:val="auto"/>
          <w:kern w:val="0"/>
          <w:sz w:val="24"/>
          <w:u w:val="single"/>
        </w:rPr>
        <w:t xml:space="preserve"> （</w:t>
      </w:r>
      <w:r>
        <w:rPr>
          <w:rFonts w:hint="eastAsia" w:ascii="宋体" w:hAnsi="宋体" w:cs="宋体"/>
          <w:color w:val="auto"/>
          <w:sz w:val="24"/>
          <w:u w:val="single"/>
        </w:rPr>
        <w:t>投标人</w:t>
      </w:r>
      <w:r>
        <w:rPr>
          <w:rFonts w:hint="eastAsia" w:ascii="宋体" w:hAnsi="宋体" w:cs="宋体"/>
          <w:color w:val="auto"/>
          <w:kern w:val="0"/>
          <w:sz w:val="24"/>
          <w:u w:val="single"/>
        </w:rPr>
        <w:t>名称）</w:t>
      </w:r>
      <w:r>
        <w:rPr>
          <w:rFonts w:hint="eastAsia" w:ascii="宋体" w:hAnsi="宋体" w:cs="宋体"/>
          <w:color w:val="auto"/>
          <w:kern w:val="0"/>
          <w:sz w:val="24"/>
        </w:rPr>
        <w:t>的法定代表人，现授权</w:t>
      </w:r>
      <w:r>
        <w:rPr>
          <w:rFonts w:hint="eastAsia" w:ascii="宋体" w:hAnsi="宋体" w:cs="宋体"/>
          <w:color w:val="auto"/>
          <w:kern w:val="0"/>
          <w:sz w:val="24"/>
          <w:u w:val="single"/>
        </w:rPr>
        <w:t>（姓名、职务）</w:t>
      </w:r>
      <w:r>
        <w:rPr>
          <w:rFonts w:hint="eastAsia" w:ascii="宋体" w:hAnsi="宋体" w:cs="宋体"/>
          <w:color w:val="auto"/>
          <w:kern w:val="0"/>
          <w:sz w:val="24"/>
        </w:rPr>
        <w:t>为我方代理人。代理人根据授权，以我方名义签署、澄清、说明、补正、递交、撤回、修改</w:t>
      </w:r>
      <w:r>
        <w:rPr>
          <w:rFonts w:hint="eastAsia" w:ascii="宋体" w:hAnsi="宋体" w:cs="宋体"/>
          <w:color w:val="auto"/>
          <w:kern w:val="0"/>
          <w:sz w:val="24"/>
          <w:u w:val="single"/>
        </w:rPr>
        <w:t>（项目名称）</w:t>
      </w:r>
      <w:r>
        <w:rPr>
          <w:rFonts w:hint="eastAsia" w:ascii="宋体" w:hAnsi="宋体" w:cs="宋体"/>
          <w:color w:val="auto"/>
          <w:kern w:val="0"/>
          <w:sz w:val="24"/>
        </w:rPr>
        <w:t>（采购编号：</w:t>
      </w:r>
      <w:r>
        <w:rPr>
          <w:rFonts w:hint="eastAsia" w:ascii="宋体" w:hAnsi="宋体" w:cs="宋体"/>
          <w:color w:val="auto"/>
          <w:kern w:val="0"/>
          <w:sz w:val="24"/>
          <w:u w:val="single"/>
        </w:rPr>
        <w:t xml:space="preserve">     </w:t>
      </w:r>
      <w:r>
        <w:rPr>
          <w:rFonts w:hint="eastAsia" w:ascii="宋体" w:hAnsi="宋体" w:cs="宋体"/>
          <w:color w:val="auto"/>
          <w:kern w:val="0"/>
          <w:sz w:val="24"/>
        </w:rPr>
        <w:t>）投标文件、签订合同和处理有关事宜，其法律后果由我方承担。</w:t>
      </w:r>
    </w:p>
    <w:p w14:paraId="4D5D1246">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委托期限：</w:t>
      </w:r>
      <w:r>
        <w:rPr>
          <w:rFonts w:hint="eastAsia" w:ascii="宋体" w:hAnsi="宋体" w:cs="宋体"/>
          <w:color w:val="auto"/>
          <w:kern w:val="0"/>
          <w:sz w:val="24"/>
          <w:u w:val="single"/>
        </w:rPr>
        <w:t xml:space="preserve">       </w:t>
      </w:r>
      <w:r>
        <w:rPr>
          <w:rFonts w:hint="eastAsia" w:ascii="宋体" w:hAnsi="宋体" w:cs="宋体"/>
          <w:color w:val="auto"/>
          <w:kern w:val="0"/>
          <w:sz w:val="24"/>
        </w:rPr>
        <w:t>。</w:t>
      </w:r>
    </w:p>
    <w:p w14:paraId="58ACAEB5">
      <w:pPr>
        <w:adjustRightInd w:val="0"/>
        <w:snapToGrid w:val="0"/>
        <w:spacing w:line="360" w:lineRule="auto"/>
        <w:ind w:firstLine="435"/>
        <w:rPr>
          <w:rFonts w:hint="eastAsia" w:ascii="宋体" w:hAnsi="宋体" w:cs="宋体"/>
          <w:color w:val="auto"/>
          <w:kern w:val="0"/>
          <w:sz w:val="24"/>
        </w:rPr>
      </w:pPr>
      <w:r>
        <w:rPr>
          <w:rFonts w:hint="eastAsia" w:ascii="宋体" w:hAnsi="宋体" w:cs="宋体"/>
          <w:color w:val="auto"/>
          <w:kern w:val="0"/>
          <w:sz w:val="24"/>
        </w:rPr>
        <w:t>代理人无转委托权。</w:t>
      </w:r>
    </w:p>
    <w:p w14:paraId="20CBF8D2">
      <w:pPr>
        <w:adjustRightInd w:val="0"/>
        <w:snapToGrid w:val="0"/>
        <w:spacing w:line="360" w:lineRule="auto"/>
        <w:ind w:firstLine="435"/>
        <w:rPr>
          <w:rFonts w:hint="eastAsia" w:ascii="宋体" w:hAnsi="宋体" w:cs="宋体"/>
          <w:color w:val="auto"/>
          <w:sz w:val="24"/>
        </w:rPr>
      </w:pPr>
      <w:r>
        <w:rPr>
          <w:rFonts w:hint="eastAsia" w:ascii="宋体" w:hAnsi="宋体" w:cs="宋体"/>
          <w:color w:val="auto"/>
          <w:sz w:val="24"/>
        </w:rPr>
        <w:t>本授权书于日期：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日签字生效，特此声明。</w:t>
      </w:r>
    </w:p>
    <w:p w14:paraId="52A99B80">
      <w:pPr>
        <w:adjustRightInd w:val="0"/>
        <w:snapToGrid w:val="0"/>
        <w:spacing w:line="360" w:lineRule="auto"/>
        <w:ind w:firstLine="480" w:firstLineChars="200"/>
        <w:rPr>
          <w:rFonts w:hint="eastAsia" w:ascii="宋体" w:hAnsi="宋体" w:cs="宋体"/>
          <w:color w:val="auto"/>
          <w:sz w:val="24"/>
        </w:rPr>
      </w:pPr>
    </w:p>
    <w:tbl>
      <w:tblPr>
        <w:tblStyle w:val="10"/>
        <w:tblW w:w="8278" w:type="dxa"/>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14:paraId="0DF39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14:paraId="7FA19577">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委托代理人身份证（正面、反面）复印件</w:t>
            </w:r>
          </w:p>
        </w:tc>
      </w:tr>
    </w:tbl>
    <w:p w14:paraId="0F0B2064">
      <w:pPr>
        <w:adjustRightInd w:val="0"/>
        <w:snapToGrid w:val="0"/>
        <w:spacing w:line="360" w:lineRule="auto"/>
        <w:rPr>
          <w:rFonts w:hint="eastAsia" w:ascii="宋体" w:hAnsi="宋体" w:cs="宋体"/>
          <w:color w:val="auto"/>
          <w:sz w:val="24"/>
        </w:rPr>
      </w:pPr>
    </w:p>
    <w:tbl>
      <w:tblPr>
        <w:tblStyle w:val="10"/>
        <w:tblW w:w="8278" w:type="dxa"/>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14:paraId="01BAE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14:paraId="04DE166E">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法定代表人身份证（正面、反面）复印件</w:t>
            </w:r>
          </w:p>
        </w:tc>
      </w:tr>
    </w:tbl>
    <w:p w14:paraId="7F769BE4">
      <w:pPr>
        <w:adjustRightInd w:val="0"/>
        <w:snapToGrid w:val="0"/>
        <w:spacing w:line="360" w:lineRule="auto"/>
        <w:rPr>
          <w:rFonts w:hint="eastAsia" w:ascii="宋体" w:hAnsi="宋体" w:cs="宋体"/>
          <w:color w:val="auto"/>
          <w:sz w:val="24"/>
        </w:rPr>
      </w:pPr>
    </w:p>
    <w:p w14:paraId="12DF4C75">
      <w:pPr>
        <w:adjustRightInd w:val="0"/>
        <w:snapToGrid w:val="0"/>
        <w:spacing w:line="360" w:lineRule="auto"/>
        <w:rPr>
          <w:rFonts w:hint="eastAsia" w:ascii="宋体" w:hAnsi="宋体" w:cs="宋体"/>
          <w:color w:val="auto"/>
          <w:sz w:val="24"/>
        </w:rPr>
      </w:pPr>
    </w:p>
    <w:p w14:paraId="5D331BAC">
      <w:pPr>
        <w:adjustRightInd w:val="0"/>
        <w:snapToGrid w:val="0"/>
        <w:spacing w:line="360" w:lineRule="auto"/>
        <w:rPr>
          <w:rFonts w:hint="eastAsia" w:ascii="宋体" w:hAnsi="宋体" w:cs="宋体"/>
          <w:color w:val="auto"/>
          <w:sz w:val="24"/>
        </w:rPr>
      </w:pPr>
      <w:r>
        <w:rPr>
          <w:rFonts w:hint="eastAsia" w:ascii="宋体" w:hAnsi="宋体" w:cs="宋体"/>
          <w:color w:val="auto"/>
          <w:sz w:val="24"/>
        </w:rPr>
        <w:t>投标人名称（盖单位章）：</w:t>
      </w:r>
    </w:p>
    <w:p w14:paraId="239D7F17">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法定代表人（签字）：</w:t>
      </w:r>
    </w:p>
    <w:p w14:paraId="39BA960E">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委托代理人（签字）：</w:t>
      </w:r>
    </w:p>
    <w:p w14:paraId="032955DF">
      <w:pPr>
        <w:adjustRightInd w:val="0"/>
        <w:snapToGrid w:val="0"/>
        <w:spacing w:line="360" w:lineRule="auto"/>
        <w:rPr>
          <w:rFonts w:hint="eastAsia" w:ascii="宋体" w:hAnsi="宋体" w:cs="宋体"/>
          <w:b/>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14:paraId="66EEFB55">
      <w:pPr>
        <w:adjustRightInd w:val="0"/>
        <w:snapToGrid w:val="0"/>
        <w:spacing w:line="360" w:lineRule="auto"/>
        <w:rPr>
          <w:rFonts w:hint="eastAsia" w:ascii="宋体" w:hAnsi="宋体" w:cs="宋体"/>
          <w:b/>
          <w:color w:val="auto"/>
          <w:sz w:val="28"/>
          <w:szCs w:val="28"/>
        </w:rPr>
      </w:pPr>
    </w:p>
    <w:p w14:paraId="23D97461">
      <w:pPr>
        <w:adjustRightInd w:val="0"/>
        <w:snapToGrid w:val="0"/>
        <w:spacing w:line="360" w:lineRule="auto"/>
        <w:jc w:val="center"/>
        <w:rPr>
          <w:rFonts w:hint="eastAsia" w:ascii="宋体" w:hAnsi="宋体" w:cs="宋体"/>
          <w:color w:val="auto"/>
          <w:sz w:val="24"/>
        </w:rPr>
      </w:pPr>
      <w:r>
        <w:rPr>
          <w:rFonts w:hint="eastAsia" w:ascii="宋体" w:hAnsi="宋体" w:cs="宋体"/>
          <w:b/>
          <w:color w:val="auto"/>
          <w:sz w:val="24"/>
          <w:szCs w:val="20"/>
        </w:rPr>
        <w:t>二、投标人资格声明</w:t>
      </w:r>
    </w:p>
    <w:p w14:paraId="6D173D33">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致(</w:t>
      </w:r>
      <w:r>
        <w:rPr>
          <w:rFonts w:hint="eastAsia" w:ascii="宋体" w:hAnsi="宋体" w:cs="宋体"/>
          <w:color w:val="auto"/>
          <w:sz w:val="24"/>
          <w:lang w:val="en-US" w:eastAsia="zh-CN"/>
        </w:rPr>
        <w:t xml:space="preserve">           </w:t>
      </w:r>
      <w:r>
        <w:rPr>
          <w:rFonts w:hint="eastAsia" w:ascii="宋体" w:hAnsi="宋体" w:cs="宋体"/>
          <w:color w:val="auto"/>
          <w:sz w:val="24"/>
        </w:rPr>
        <w:t>)：</w:t>
      </w:r>
    </w:p>
    <w:p w14:paraId="36169FC3">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按照</w:t>
      </w:r>
      <w:r>
        <w:rPr>
          <w:rFonts w:hint="eastAsia" w:ascii="宋体" w:hAnsi="宋体" w:cs="宋体"/>
          <w:color w:val="auto"/>
          <w:sz w:val="24"/>
          <w:lang w:eastAsia="zh-CN"/>
        </w:rPr>
        <w:t>招标</w:t>
      </w:r>
      <w:r>
        <w:rPr>
          <w:rFonts w:hint="eastAsia" w:ascii="宋体" w:hAnsi="宋体" w:cs="宋体"/>
          <w:color w:val="auto"/>
          <w:sz w:val="24"/>
        </w:rPr>
        <w:t>文件的规定，我单位郑重声明如下：</w:t>
      </w:r>
    </w:p>
    <w:p w14:paraId="68F540D2">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一、我单位是按照中华人民共和国法律规定登记注册的，注册地点为</w:t>
      </w:r>
      <w:r>
        <w:rPr>
          <w:rFonts w:hint="eastAsia" w:ascii="宋体" w:hAnsi="宋体" w:cs="宋体"/>
          <w:color w:val="auto"/>
          <w:sz w:val="24"/>
          <w:u w:val="single"/>
        </w:rPr>
        <w:t xml:space="preserve">      </w:t>
      </w:r>
      <w:r>
        <w:rPr>
          <w:rFonts w:hint="eastAsia" w:ascii="宋体" w:hAnsi="宋体" w:cs="宋体"/>
          <w:color w:val="auto"/>
          <w:sz w:val="24"/>
        </w:rPr>
        <w:t>，全称为</w:t>
      </w:r>
      <w:r>
        <w:rPr>
          <w:rFonts w:hint="eastAsia" w:ascii="宋体" w:hAnsi="宋体" w:cs="宋体"/>
          <w:color w:val="auto"/>
          <w:sz w:val="24"/>
          <w:u w:val="single"/>
        </w:rPr>
        <w:t xml:space="preserve">      </w:t>
      </w:r>
      <w:r>
        <w:rPr>
          <w:rFonts w:hint="eastAsia" w:ascii="宋体" w:hAnsi="宋体" w:cs="宋体"/>
          <w:color w:val="auto"/>
          <w:sz w:val="24"/>
        </w:rPr>
        <w:t>，统一社会信用代码为</w:t>
      </w:r>
      <w:r>
        <w:rPr>
          <w:rFonts w:hint="eastAsia" w:ascii="宋体" w:hAnsi="宋体" w:cs="宋体"/>
          <w:color w:val="auto"/>
          <w:sz w:val="24"/>
          <w:u w:val="single"/>
        </w:rPr>
        <w:t xml:space="preserve">      </w:t>
      </w:r>
      <w:r>
        <w:rPr>
          <w:rFonts w:hint="eastAsia" w:ascii="宋体" w:hAnsi="宋体" w:cs="宋体"/>
          <w:color w:val="auto"/>
          <w:sz w:val="24"/>
        </w:rPr>
        <w:t>，法定代表人为</w:t>
      </w:r>
      <w:r>
        <w:rPr>
          <w:rFonts w:hint="eastAsia" w:ascii="宋体" w:hAnsi="宋体" w:cs="宋体"/>
          <w:color w:val="auto"/>
          <w:sz w:val="24"/>
          <w:u w:val="single"/>
        </w:rPr>
        <w:t xml:space="preserve">      </w:t>
      </w:r>
      <w:r>
        <w:rPr>
          <w:rFonts w:hint="eastAsia" w:ascii="宋体" w:hAnsi="宋体" w:cs="宋体"/>
          <w:color w:val="auto"/>
          <w:sz w:val="24"/>
        </w:rPr>
        <w:t>，具有独立承担民事责任的能力。</w:t>
      </w:r>
    </w:p>
    <w:p w14:paraId="36001FAC">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二、我单位具有良好的商业信誉和健全的财务会计制度。</w:t>
      </w:r>
    </w:p>
    <w:p w14:paraId="6F347074">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三、</w:t>
      </w:r>
      <w:r>
        <w:rPr>
          <w:rFonts w:hint="eastAsia" w:ascii="宋体" w:hAnsi="宋体" w:cs="宋体"/>
          <w:color w:val="auto"/>
          <w:sz w:val="24"/>
        </w:rPr>
        <w:t>我单位具有履行本项目采购合同所必需的设备和专业技术能力。</w:t>
      </w:r>
    </w:p>
    <w:p w14:paraId="06F1225D">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四、我单位在参加本</w:t>
      </w:r>
      <w:r>
        <w:rPr>
          <w:rFonts w:hint="eastAsia" w:asciiTheme="minorEastAsia" w:hAnsiTheme="minorEastAsia" w:eastAsiaTheme="minorEastAsia" w:cstheme="minorEastAsia"/>
          <w:bCs/>
          <w:color w:val="auto"/>
          <w:sz w:val="24"/>
          <w:szCs w:val="24"/>
          <w:lang w:val="en-US" w:eastAsia="zh-CN"/>
        </w:rPr>
        <w:t>采购</w:t>
      </w:r>
      <w:r>
        <w:rPr>
          <w:rFonts w:hint="eastAsia" w:ascii="宋体" w:hAnsi="宋体" w:cs="宋体"/>
          <w:color w:val="auto"/>
          <w:sz w:val="24"/>
        </w:rPr>
        <w:t>项目前三年内，在经营活动中，未因违法经营受到刑事处罚或者责令停产停业、吊销许可证或者执照、较大数额罚款等行政处罚。其中较大数额罚款是指：对公民处罚款在1000元及以上；对法人或者其他组织处罚款在2万元及以上；法律法规另有规定的，从其规定。</w:t>
      </w:r>
    </w:p>
    <w:p w14:paraId="405C72CD">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五、我单位具备法律、行政法规规定的其他条件。</w:t>
      </w:r>
    </w:p>
    <w:p w14:paraId="16F92768">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kern w:val="0"/>
          <w:sz w:val="24"/>
        </w:rPr>
        <w:t>六、</w:t>
      </w:r>
      <w:r>
        <w:rPr>
          <w:rFonts w:hint="eastAsia" w:ascii="宋体" w:hAnsi="宋体" w:cs="宋体"/>
          <w:color w:val="auto"/>
          <w:sz w:val="24"/>
        </w:rPr>
        <w:t>与我单位存在“单位负责人为同一人或者存在直接控股、管理关系”的其他法人单位信息如下（如无，填写“无”）：</w:t>
      </w:r>
    </w:p>
    <w:p w14:paraId="2D730301">
      <w:pPr>
        <w:adjustRightInd w:val="0"/>
        <w:snapToGrid w:val="0"/>
        <w:spacing w:before="120" w:beforeLines="50" w:line="360" w:lineRule="auto"/>
        <w:ind w:firstLine="480" w:firstLineChars="200"/>
        <w:rPr>
          <w:rFonts w:hint="eastAsia" w:ascii="宋体" w:hAnsi="宋体" w:cs="宋体"/>
          <w:color w:val="auto"/>
          <w:sz w:val="24"/>
          <w:u w:val="single"/>
        </w:rPr>
      </w:pPr>
      <w:r>
        <w:rPr>
          <w:rFonts w:hint="eastAsia" w:ascii="宋体" w:hAnsi="宋体" w:cs="宋体"/>
          <w:color w:val="auto"/>
          <w:sz w:val="24"/>
        </w:rPr>
        <w:t>1、与我单位的法定代表人（单位负责人）为同一人的其他法人单位如下：</w:t>
      </w:r>
      <w:r>
        <w:rPr>
          <w:rFonts w:hint="eastAsia" w:ascii="宋体" w:hAnsi="宋体" w:cs="宋体"/>
          <w:color w:val="auto"/>
          <w:sz w:val="24"/>
          <w:u w:val="single"/>
        </w:rPr>
        <w:t xml:space="preserve">               </w:t>
      </w:r>
    </w:p>
    <w:p w14:paraId="34B24CAD">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2、我单位直接控股的其他法人单位如下：</w:t>
      </w:r>
      <w:r>
        <w:rPr>
          <w:rFonts w:hint="eastAsia" w:ascii="宋体" w:hAnsi="宋体" w:cs="宋体"/>
          <w:color w:val="auto"/>
          <w:sz w:val="24"/>
          <w:u w:val="single"/>
        </w:rPr>
        <w:t xml:space="preserve">                                            </w:t>
      </w:r>
    </w:p>
    <w:p w14:paraId="547A6804">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3、与我单位存在管理关系的其他法人单位如下：</w:t>
      </w:r>
      <w:r>
        <w:rPr>
          <w:rFonts w:hint="eastAsia" w:ascii="宋体" w:hAnsi="宋体" w:cs="宋体"/>
          <w:color w:val="auto"/>
          <w:sz w:val="24"/>
          <w:u w:val="single"/>
        </w:rPr>
        <w:t xml:space="preserve">                                      </w:t>
      </w:r>
    </w:p>
    <w:p w14:paraId="1BFC6EF2">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我单位保证上述声明的事项都是真实的，如有虚假，我单位愿意承担相应的法律责任，并承担因此所造成的一切损失。</w:t>
      </w:r>
    </w:p>
    <w:p w14:paraId="054CE100">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我单位保证随时按照要求提供能够证明上述声明事项真实性的任何有效文件。</w:t>
      </w:r>
    </w:p>
    <w:p w14:paraId="7587F385">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投标人名称（盖单位公章）：</w:t>
      </w:r>
    </w:p>
    <w:p w14:paraId="0DC8F09C">
      <w:pPr>
        <w:widowControl/>
        <w:adjustRightInd w:val="0"/>
        <w:snapToGrid w:val="0"/>
        <w:spacing w:before="120" w:beforeLines="50" w:line="360" w:lineRule="auto"/>
        <w:jc w:val="left"/>
        <w:rPr>
          <w:rFonts w:hint="eastAsia" w:ascii="宋体" w:hAnsi="宋体" w:cs="宋体"/>
          <w:b/>
          <w:bCs/>
          <w:color w:val="auto"/>
          <w:kern w:val="0"/>
          <w:sz w:val="24"/>
        </w:rPr>
      </w:pPr>
      <w:r>
        <w:rPr>
          <w:rFonts w:hint="eastAsia" w:ascii="宋体" w:hAnsi="宋体" w:cs="宋体"/>
          <w:color w:val="auto"/>
          <w:sz w:val="24"/>
        </w:rPr>
        <w:t>法定代表人或委托代理人（签字）：</w:t>
      </w:r>
    </w:p>
    <w:p w14:paraId="5D3D85C2">
      <w:pPr>
        <w:widowControl/>
        <w:adjustRightInd w:val="0"/>
        <w:snapToGrid w:val="0"/>
        <w:spacing w:before="120" w:beforeLines="50" w:line="360" w:lineRule="auto"/>
        <w:jc w:val="left"/>
        <w:rPr>
          <w:rFonts w:hint="eastAsia" w:ascii="宋体" w:hAnsi="宋体" w:cs="宋体"/>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14:paraId="6F9A78D9">
      <w:pPr>
        <w:adjustRightInd w:val="0"/>
        <w:snapToGrid w:val="0"/>
        <w:spacing w:line="360" w:lineRule="auto"/>
        <w:jc w:val="center"/>
        <w:rPr>
          <w:rFonts w:hint="eastAsia" w:ascii="宋体" w:hAnsi="宋体" w:cs="宋体"/>
          <w:b/>
          <w:color w:val="auto"/>
          <w:sz w:val="24"/>
          <w:szCs w:val="20"/>
        </w:rPr>
      </w:pPr>
    </w:p>
    <w:p w14:paraId="00AEF35C">
      <w:pPr>
        <w:adjustRightInd w:val="0"/>
        <w:snapToGrid w:val="0"/>
        <w:spacing w:line="360" w:lineRule="auto"/>
        <w:rPr>
          <w:rFonts w:hint="eastAsia" w:ascii="宋体" w:hAnsi="宋体" w:cs="宋体"/>
          <w:b/>
          <w:color w:val="auto"/>
          <w:sz w:val="24"/>
          <w:szCs w:val="20"/>
        </w:rPr>
      </w:pPr>
    </w:p>
    <w:p w14:paraId="43C11026">
      <w:pPr>
        <w:adjustRightInd w:val="0"/>
        <w:snapToGrid w:val="0"/>
        <w:spacing w:line="360" w:lineRule="auto"/>
        <w:rPr>
          <w:rFonts w:hint="eastAsia" w:ascii="宋体" w:hAnsi="宋体" w:cs="宋体"/>
          <w:b/>
          <w:color w:val="auto"/>
          <w:sz w:val="24"/>
          <w:szCs w:val="20"/>
        </w:rPr>
      </w:pPr>
    </w:p>
    <w:p w14:paraId="1E91EA51">
      <w:pPr>
        <w:adjustRightInd w:val="0"/>
        <w:snapToGrid w:val="0"/>
        <w:spacing w:line="360" w:lineRule="auto"/>
        <w:jc w:val="center"/>
        <w:rPr>
          <w:rFonts w:ascii="宋体" w:hAnsi="宋体" w:cs="宋体"/>
          <w:b/>
          <w:color w:val="auto"/>
          <w:sz w:val="28"/>
          <w:szCs w:val="28"/>
        </w:rPr>
      </w:pPr>
      <w:r>
        <w:rPr>
          <w:rFonts w:hint="eastAsia" w:ascii="宋体" w:hAnsi="宋体" w:cs="宋体"/>
          <w:b/>
          <w:color w:val="auto"/>
          <w:sz w:val="28"/>
          <w:szCs w:val="28"/>
        </w:rPr>
        <w:t>三、符合基本资格条件证明材料复印件或者情况说明</w:t>
      </w:r>
    </w:p>
    <w:p w14:paraId="7195D7F0">
      <w:pPr>
        <w:adjustRightInd w:val="0"/>
        <w:snapToGrid w:val="0"/>
        <w:spacing w:line="360" w:lineRule="auto"/>
        <w:jc w:val="center"/>
        <w:rPr>
          <w:rFonts w:hint="eastAsia" w:ascii="宋体" w:hAnsi="宋体" w:cs="宋体"/>
          <w:b/>
          <w:color w:val="auto"/>
          <w:sz w:val="24"/>
          <w:szCs w:val="20"/>
        </w:rPr>
      </w:pPr>
    </w:p>
    <w:p w14:paraId="0509E404">
      <w:pPr>
        <w:pStyle w:val="3"/>
        <w:keepLines w:val="0"/>
        <w:snapToGrid w:val="0"/>
        <w:spacing w:before="0" w:after="0" w:line="520" w:lineRule="exact"/>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cs="宋体"/>
          <w:b w:val="0"/>
          <w:color w:val="auto"/>
          <w:sz w:val="24"/>
          <w:szCs w:val="24"/>
        </w:rPr>
        <w:t>注：</w:t>
      </w:r>
      <w:r>
        <w:rPr>
          <w:rFonts w:hint="eastAsia" w:ascii="宋体" w:hAnsi="宋体" w:cs="宋体"/>
          <w:b w:val="0"/>
          <w:color w:val="auto"/>
          <w:sz w:val="24"/>
          <w:szCs w:val="24"/>
          <w:lang w:bidi="zh-CN"/>
        </w:rPr>
        <w:t>投标公司的营业执照</w:t>
      </w:r>
      <w:r>
        <w:rPr>
          <w:rFonts w:hint="eastAsia" w:ascii="宋体" w:hAnsi="宋体" w:cs="宋体"/>
          <w:b w:val="0"/>
          <w:color w:val="auto"/>
          <w:sz w:val="24"/>
          <w:szCs w:val="24"/>
          <w:lang w:val="en-US" w:bidi="zh-CN"/>
        </w:rPr>
        <w:t>及资格要求的证明材料，提供信用中国网页查询截图，</w:t>
      </w:r>
      <w:r>
        <w:rPr>
          <w:rFonts w:hint="eastAsia" w:ascii="宋体" w:hAnsi="宋体" w:cs="宋体"/>
          <w:b w:val="0"/>
          <w:color w:val="auto"/>
          <w:sz w:val="24"/>
          <w:szCs w:val="24"/>
          <w:lang w:bidi="zh-CN"/>
        </w:rPr>
        <w:t>并加盖单位公章（按顺序装订）。</w:t>
      </w:r>
      <w:r>
        <w:rPr>
          <w:rFonts w:hint="eastAsia" w:ascii="宋体" w:hAnsi="宋体" w:eastAsia="宋体" w:cs="Times New Roman"/>
          <w:b w:val="0"/>
          <w:bCs w:val="0"/>
          <w:color w:val="auto"/>
          <w:kern w:val="2"/>
          <w:sz w:val="24"/>
          <w:szCs w:val="24"/>
          <w:lang w:val="en-US" w:eastAsia="zh-CN" w:bidi="ar-SA"/>
        </w:rPr>
        <w:t>附件    湖南省政府采购供应商资格承诺函</w:t>
      </w:r>
    </w:p>
    <w:p w14:paraId="6B0A1D41">
      <w:pPr>
        <w:widowControl/>
        <w:spacing w:after="100" w:afterAutospacing="1" w:line="360" w:lineRule="auto"/>
        <w:ind w:left="227" w:right="113" w:firstLine="482"/>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具有独立承担民事责任、具有良好的商业信誉和健全的财务会计制度，依法缴纳税收和社会保障资金，在前三年的经营活动中无重大违法记录，未列入严重失信行为名单，符合政府采购供应商的基本资格要求。</w:t>
      </w:r>
    </w:p>
    <w:p w14:paraId="0A1DD13E">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按照《政府采购促进中小企业发展管理办法》(财库〔2020〕46号)规定，</w:t>
      </w:r>
    </w:p>
    <w:p w14:paraId="76F09C83">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本公司企业规模为：          （大型、中型、小型、微型 ）</w:t>
      </w:r>
    </w:p>
    <w:p w14:paraId="62E1A2C4">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统一社会信用代码：                        、注册登记机构：                 、 注册日期：                 、有效期：               、注册资本：                、地址：               、经济行业：                 、经济性质：              </w:t>
      </w:r>
    </w:p>
    <w:p w14:paraId="396F680D">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法定代表人姓名 (签字)：             、身份证号：                           、</w:t>
      </w:r>
    </w:p>
    <w:p w14:paraId="21294289">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手机号：             ；</w:t>
      </w:r>
    </w:p>
    <w:p w14:paraId="7247B201">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授权代表人姓名 (签字)：                、身份证号：                     </w:t>
      </w:r>
    </w:p>
    <w:p w14:paraId="4FD2A8F8">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手机号：               。  </w:t>
      </w:r>
    </w:p>
    <w:p w14:paraId="42B0AF2E">
      <w:pPr>
        <w:adjustRightInd w:val="0"/>
        <w:snapToGrid w:val="0"/>
        <w:spacing w:line="360" w:lineRule="auto"/>
        <w:rPr>
          <w:rFonts w:hint="eastAsia" w:ascii="宋体" w:hAnsi="宋体" w:eastAsia="宋体" w:cs="Times New Roman"/>
          <w:b w:val="0"/>
          <w:bCs w:val="0"/>
          <w:color w:val="auto"/>
          <w:kern w:val="2"/>
          <w:sz w:val="24"/>
          <w:szCs w:val="24"/>
          <w:lang w:val="en-US" w:eastAsia="zh-CN" w:bidi="ar-SA"/>
        </w:rPr>
      </w:pPr>
    </w:p>
    <w:p w14:paraId="5FBE94EF">
      <w:pPr>
        <w:adjustRightInd w:val="0"/>
        <w:snapToGrid w:val="0"/>
        <w:spacing w:line="360" w:lineRule="auto"/>
        <w:ind w:left="4406" w:leftChars="-302" w:hanging="5040" w:hangingChars="2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                           供应商名称（盖公章）：                                    </w:t>
      </w:r>
    </w:p>
    <w:p w14:paraId="3450EFDE">
      <w:pPr>
        <w:adjustRightInd w:val="0"/>
        <w:snapToGrid w:val="0"/>
        <w:spacing w:line="360" w:lineRule="auto"/>
        <w:ind w:left="4406" w:leftChars="-302" w:hanging="5040" w:hangingChars="2100"/>
        <w:jc w:val="right"/>
        <w:rPr>
          <w:rFonts w:hint="eastAsia" w:ascii="宋体" w:hAnsi="宋体" w:eastAsia="宋体" w:cs="Times New Roman"/>
          <w:b w:val="0"/>
          <w:bCs w:val="0"/>
          <w:color w:val="auto"/>
          <w:kern w:val="2"/>
          <w:sz w:val="24"/>
          <w:szCs w:val="24"/>
          <w:lang w:val="en-US" w:eastAsia="zh-CN" w:bidi="ar-SA"/>
        </w:rPr>
      </w:pPr>
      <w:r>
        <w:rPr>
          <w:rFonts w:hint="eastAsia" w:ascii="宋体" w:hAnsi="宋体" w:cs="Times New Roman"/>
          <w:b w:val="0"/>
          <w:bCs w:val="0"/>
          <w:color w:val="auto"/>
          <w:kern w:val="2"/>
          <w:sz w:val="24"/>
          <w:szCs w:val="24"/>
          <w:lang w:val="en-US" w:eastAsia="zh-CN" w:bidi="ar-SA"/>
        </w:rPr>
        <w:t>2023</w:t>
      </w:r>
      <w:r>
        <w:rPr>
          <w:rFonts w:hint="eastAsia" w:ascii="宋体" w:hAnsi="宋体" w:eastAsia="宋体" w:cs="Times New Roman"/>
          <w:b w:val="0"/>
          <w:bCs w:val="0"/>
          <w:color w:val="auto"/>
          <w:kern w:val="2"/>
          <w:sz w:val="24"/>
          <w:szCs w:val="24"/>
          <w:lang w:val="en-US" w:eastAsia="zh-CN" w:bidi="ar-SA"/>
        </w:rPr>
        <w:t>年     月     日</w:t>
      </w:r>
    </w:p>
    <w:p w14:paraId="56CAA50A">
      <w:pPr>
        <w:jc w:val="left"/>
        <w:rPr>
          <w:rFonts w:hint="eastAsia" w:ascii="宋体" w:hAnsi="宋体" w:eastAsia="宋体" w:cs="Times New Roman"/>
          <w:b w:val="0"/>
          <w:bCs w:val="0"/>
          <w:color w:val="auto"/>
          <w:kern w:val="2"/>
          <w:sz w:val="24"/>
          <w:szCs w:val="24"/>
          <w:lang w:val="en-US" w:eastAsia="zh-CN" w:bidi="ar-SA"/>
        </w:rPr>
      </w:pPr>
    </w:p>
    <w:p w14:paraId="367E257E">
      <w:pPr>
        <w:jc w:val="left"/>
        <w:rPr>
          <w:rFonts w:hint="eastAsia" w:ascii="宋体" w:hAnsi="宋体" w:eastAsia="宋体" w:cs="Times New Roman"/>
          <w:b w:val="0"/>
          <w:bCs w:val="0"/>
          <w:color w:val="auto"/>
          <w:kern w:val="2"/>
          <w:sz w:val="24"/>
          <w:szCs w:val="24"/>
          <w:lang w:val="en-US" w:eastAsia="zh-CN" w:bidi="ar-SA"/>
        </w:rPr>
      </w:pPr>
    </w:p>
    <w:p w14:paraId="4278AB86">
      <w:pPr>
        <w:jc w:val="left"/>
        <w:rPr>
          <w:rFonts w:hint="eastAsia" w:ascii="宋体" w:hAnsi="宋体" w:eastAsia="宋体" w:cs="宋体"/>
          <w:b/>
          <w:color w:val="auto"/>
          <w:sz w:val="24"/>
          <w:lang w:val="en-US" w:eastAsia="zh-CN"/>
        </w:rPr>
      </w:pPr>
      <w:r>
        <w:rPr>
          <w:rFonts w:hint="eastAsia" w:ascii="宋体" w:hAnsi="宋体" w:eastAsia="宋体" w:cs="Times New Roman"/>
          <w:b w:val="0"/>
          <w:bCs w:val="0"/>
          <w:color w:val="auto"/>
          <w:kern w:val="2"/>
          <w:sz w:val="24"/>
          <w:szCs w:val="24"/>
          <w:lang w:val="en-US" w:eastAsia="zh-CN" w:bidi="ar-SA"/>
        </w:rPr>
        <w:t>注、企业规模划分标准：《关于印发中小企业划型标准规定的通知》（工信部联企业〔2011〕300号）</w:t>
      </w:r>
    </w:p>
    <w:p w14:paraId="4B073AFE">
      <w:pPr>
        <w:jc w:val="center"/>
        <w:rPr>
          <w:rFonts w:hint="eastAsia" w:ascii="宋体" w:hAnsi="宋体" w:cs="宋体"/>
          <w:b/>
          <w:color w:val="auto"/>
          <w:sz w:val="24"/>
        </w:rPr>
        <w:sectPr>
          <w:headerReference r:id="rId3" w:type="default"/>
          <w:footerReference r:id="rId4" w:type="default"/>
          <w:pgSz w:w="11906" w:h="16838"/>
          <w:pgMar w:top="1440" w:right="1080" w:bottom="1440" w:left="1080" w:header="567" w:footer="283" w:gutter="0"/>
          <w:pgNumType w:fmt="decimal" w:start="1"/>
          <w:cols w:space="720" w:num="1"/>
          <w:docGrid w:linePitch="312" w:charSpace="0"/>
        </w:sectPr>
      </w:pPr>
    </w:p>
    <w:p w14:paraId="13615D52">
      <w:pPr>
        <w:spacing w:before="120" w:beforeLines="50" w:after="120" w:afterLines="50" w:line="276"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第三部分、采购需求响应程度</w:t>
      </w:r>
      <w:bookmarkStart w:id="3" w:name="_Toc476514128"/>
      <w:bookmarkStart w:id="4" w:name="_Toc486424819"/>
    </w:p>
    <w:p w14:paraId="2315B2F5">
      <w:pPr>
        <w:pStyle w:val="17"/>
        <w:rPr>
          <w:rFonts w:hint="eastAsia"/>
          <w:lang w:eastAsia="zh-CN"/>
        </w:rPr>
      </w:pPr>
    </w:p>
    <w:p w14:paraId="78E6FD22">
      <w:pPr>
        <w:spacing w:before="120" w:beforeLines="50" w:after="120" w:afterLines="50" w:line="276" w:lineRule="auto"/>
        <w:jc w:val="center"/>
        <w:rPr>
          <w:b/>
          <w:color w:val="auto"/>
          <w:sz w:val="24"/>
        </w:rPr>
      </w:pPr>
      <w:r>
        <w:rPr>
          <w:b/>
          <w:color w:val="auto"/>
          <w:sz w:val="24"/>
        </w:rPr>
        <w:t>采购需求响应/偏离表</w:t>
      </w:r>
    </w:p>
    <w:p w14:paraId="3623F803">
      <w:pPr>
        <w:adjustRightInd w:val="0"/>
        <w:snapToGrid w:val="0"/>
        <w:spacing w:line="360" w:lineRule="auto"/>
        <w:rPr>
          <w:color w:val="auto"/>
          <w:szCs w:val="21"/>
        </w:rPr>
      </w:pPr>
      <w:r>
        <w:rPr>
          <w:rFonts w:hint="eastAsia"/>
          <w:color w:val="auto"/>
          <w:sz w:val="24"/>
        </w:rPr>
        <w:t>项目</w:t>
      </w:r>
      <w:r>
        <w:rPr>
          <w:color w:val="auto"/>
          <w:sz w:val="24"/>
        </w:rPr>
        <w:t>编号：                    项目名称：                     包号：</w:t>
      </w:r>
    </w:p>
    <w:tbl>
      <w:tblPr>
        <w:tblStyle w:val="10"/>
        <w:tblW w:w="8357"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627"/>
        <w:gridCol w:w="1877"/>
        <w:gridCol w:w="1671"/>
        <w:gridCol w:w="1608"/>
        <w:gridCol w:w="1513"/>
        <w:gridCol w:w="1061"/>
      </w:tblGrid>
      <w:tr w14:paraId="0AFD46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4" w:hRule="atLeast"/>
          <w:jc w:val="center"/>
        </w:trPr>
        <w:tc>
          <w:tcPr>
            <w:tcW w:w="627" w:type="dxa"/>
            <w:noWrap w:val="0"/>
            <w:vAlign w:val="center"/>
          </w:tcPr>
          <w:p w14:paraId="47B7826C">
            <w:pPr>
              <w:adjustRightInd w:val="0"/>
              <w:snapToGrid w:val="0"/>
              <w:spacing w:before="50" w:line="360" w:lineRule="auto"/>
              <w:ind w:left="-88" w:leftChars="-42"/>
              <w:jc w:val="center"/>
              <w:rPr>
                <w:color w:val="auto"/>
                <w:szCs w:val="21"/>
              </w:rPr>
            </w:pPr>
            <w:r>
              <w:rPr>
                <w:bCs/>
                <w:color w:val="auto"/>
                <w:szCs w:val="21"/>
              </w:rPr>
              <w:t>序</w:t>
            </w:r>
            <w:r>
              <w:rPr>
                <w:color w:val="auto"/>
                <w:szCs w:val="21"/>
              </w:rPr>
              <w:t>号</w:t>
            </w:r>
          </w:p>
        </w:tc>
        <w:tc>
          <w:tcPr>
            <w:tcW w:w="1877" w:type="dxa"/>
            <w:noWrap w:val="0"/>
            <w:vAlign w:val="center"/>
          </w:tcPr>
          <w:p w14:paraId="6A9958CC">
            <w:pPr>
              <w:adjustRightInd w:val="0"/>
              <w:snapToGrid w:val="0"/>
              <w:spacing w:before="50" w:line="360" w:lineRule="auto"/>
              <w:ind w:left="-88" w:leftChars="-42"/>
              <w:jc w:val="center"/>
              <w:rPr>
                <w:color w:val="auto"/>
                <w:szCs w:val="21"/>
              </w:rPr>
            </w:pPr>
            <w:r>
              <w:rPr>
                <w:rFonts w:hint="eastAsia"/>
                <w:color w:val="auto"/>
                <w:szCs w:val="21"/>
                <w:lang w:eastAsia="zh-CN"/>
              </w:rPr>
              <w:t>招标</w:t>
            </w:r>
            <w:r>
              <w:rPr>
                <w:color w:val="auto"/>
                <w:szCs w:val="21"/>
              </w:rPr>
              <w:t>文件章节</w:t>
            </w:r>
            <w:r>
              <w:rPr>
                <w:bCs/>
                <w:color w:val="auto"/>
                <w:szCs w:val="21"/>
              </w:rPr>
              <w:t>条</w:t>
            </w:r>
            <w:r>
              <w:rPr>
                <w:color w:val="auto"/>
                <w:szCs w:val="21"/>
              </w:rPr>
              <w:t>款号</w:t>
            </w:r>
          </w:p>
        </w:tc>
        <w:tc>
          <w:tcPr>
            <w:tcW w:w="1671" w:type="dxa"/>
            <w:noWrap w:val="0"/>
            <w:vAlign w:val="top"/>
          </w:tcPr>
          <w:p w14:paraId="751BAFDB">
            <w:pPr>
              <w:adjustRightInd w:val="0"/>
              <w:snapToGrid w:val="0"/>
              <w:spacing w:before="50" w:line="360" w:lineRule="auto"/>
              <w:jc w:val="center"/>
              <w:rPr>
                <w:color w:val="auto"/>
              </w:rPr>
            </w:pPr>
            <w:r>
              <w:rPr>
                <w:rFonts w:hint="eastAsia"/>
                <w:color w:val="auto"/>
                <w:lang w:eastAsia="zh-CN"/>
              </w:rPr>
              <w:t>招标</w:t>
            </w:r>
            <w:r>
              <w:rPr>
                <w:color w:val="auto"/>
              </w:rPr>
              <w:t>文件要求</w:t>
            </w:r>
          </w:p>
        </w:tc>
        <w:tc>
          <w:tcPr>
            <w:tcW w:w="1608" w:type="dxa"/>
            <w:noWrap w:val="0"/>
            <w:vAlign w:val="top"/>
          </w:tcPr>
          <w:p w14:paraId="53616095">
            <w:pPr>
              <w:adjustRightInd w:val="0"/>
              <w:snapToGrid w:val="0"/>
              <w:spacing w:before="50" w:line="360" w:lineRule="auto"/>
              <w:jc w:val="center"/>
              <w:rPr>
                <w:color w:val="auto"/>
              </w:rPr>
            </w:pPr>
            <w:r>
              <w:rPr>
                <w:color w:val="auto"/>
              </w:rPr>
              <w:t>投标文件应答</w:t>
            </w:r>
          </w:p>
        </w:tc>
        <w:tc>
          <w:tcPr>
            <w:tcW w:w="1513" w:type="dxa"/>
            <w:noWrap w:val="0"/>
            <w:vAlign w:val="center"/>
          </w:tcPr>
          <w:p w14:paraId="01BC7471">
            <w:pPr>
              <w:adjustRightInd w:val="0"/>
              <w:snapToGrid w:val="0"/>
              <w:spacing w:before="50" w:line="360" w:lineRule="auto"/>
              <w:ind w:left="-88" w:leftChars="-42"/>
              <w:jc w:val="center"/>
              <w:rPr>
                <w:color w:val="auto"/>
                <w:szCs w:val="21"/>
              </w:rPr>
            </w:pPr>
            <w:r>
              <w:rPr>
                <w:color w:val="auto"/>
                <w:szCs w:val="21"/>
              </w:rPr>
              <w:t>响应/偏离</w:t>
            </w:r>
          </w:p>
        </w:tc>
        <w:tc>
          <w:tcPr>
            <w:tcW w:w="1061" w:type="dxa"/>
            <w:noWrap w:val="0"/>
            <w:vAlign w:val="center"/>
          </w:tcPr>
          <w:p w14:paraId="4D270AE5">
            <w:pPr>
              <w:adjustRightInd w:val="0"/>
              <w:snapToGrid w:val="0"/>
              <w:spacing w:before="50" w:line="360" w:lineRule="auto"/>
              <w:ind w:left="-88" w:leftChars="-42"/>
              <w:jc w:val="center"/>
              <w:rPr>
                <w:color w:val="auto"/>
                <w:szCs w:val="21"/>
              </w:rPr>
            </w:pPr>
            <w:r>
              <w:rPr>
                <w:color w:val="auto"/>
                <w:szCs w:val="21"/>
              </w:rPr>
              <w:t>偏离说明</w:t>
            </w:r>
          </w:p>
        </w:tc>
      </w:tr>
      <w:tr w14:paraId="7B8E66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627" w:type="dxa"/>
            <w:noWrap w:val="0"/>
            <w:vAlign w:val="center"/>
          </w:tcPr>
          <w:p w14:paraId="15F9C5E8">
            <w:pPr>
              <w:adjustRightInd w:val="0"/>
              <w:snapToGrid w:val="0"/>
              <w:spacing w:before="50" w:line="360" w:lineRule="auto"/>
              <w:ind w:left="-88" w:leftChars="-42"/>
              <w:jc w:val="center"/>
              <w:rPr>
                <w:color w:val="auto"/>
                <w:szCs w:val="21"/>
              </w:rPr>
            </w:pPr>
          </w:p>
        </w:tc>
        <w:tc>
          <w:tcPr>
            <w:tcW w:w="1877" w:type="dxa"/>
            <w:noWrap w:val="0"/>
            <w:vAlign w:val="center"/>
          </w:tcPr>
          <w:p w14:paraId="392C23DD">
            <w:pPr>
              <w:adjustRightInd w:val="0"/>
              <w:snapToGrid w:val="0"/>
              <w:spacing w:before="50" w:line="360" w:lineRule="auto"/>
              <w:ind w:left="-88" w:leftChars="-42"/>
              <w:jc w:val="center"/>
              <w:rPr>
                <w:color w:val="auto"/>
                <w:szCs w:val="21"/>
              </w:rPr>
            </w:pPr>
          </w:p>
        </w:tc>
        <w:tc>
          <w:tcPr>
            <w:tcW w:w="1671" w:type="dxa"/>
            <w:noWrap w:val="0"/>
            <w:vAlign w:val="center"/>
          </w:tcPr>
          <w:p w14:paraId="23CF0271">
            <w:pPr>
              <w:adjustRightInd w:val="0"/>
              <w:snapToGrid w:val="0"/>
              <w:spacing w:before="50" w:line="360" w:lineRule="auto"/>
              <w:ind w:left="-88" w:leftChars="-42"/>
              <w:jc w:val="center"/>
              <w:rPr>
                <w:color w:val="auto"/>
                <w:szCs w:val="21"/>
              </w:rPr>
            </w:pPr>
          </w:p>
        </w:tc>
        <w:tc>
          <w:tcPr>
            <w:tcW w:w="1608" w:type="dxa"/>
            <w:noWrap w:val="0"/>
            <w:vAlign w:val="center"/>
          </w:tcPr>
          <w:p w14:paraId="7B00A98E">
            <w:pPr>
              <w:adjustRightInd w:val="0"/>
              <w:snapToGrid w:val="0"/>
              <w:spacing w:before="50" w:line="360" w:lineRule="auto"/>
              <w:ind w:left="-88" w:leftChars="-42"/>
              <w:jc w:val="center"/>
              <w:rPr>
                <w:color w:val="auto"/>
                <w:szCs w:val="21"/>
              </w:rPr>
            </w:pPr>
          </w:p>
        </w:tc>
        <w:tc>
          <w:tcPr>
            <w:tcW w:w="1513" w:type="dxa"/>
            <w:noWrap w:val="0"/>
            <w:vAlign w:val="center"/>
          </w:tcPr>
          <w:p w14:paraId="0AD37B28">
            <w:pPr>
              <w:adjustRightInd w:val="0"/>
              <w:snapToGrid w:val="0"/>
              <w:spacing w:before="50" w:line="360" w:lineRule="auto"/>
              <w:ind w:left="-88" w:leftChars="-42"/>
              <w:jc w:val="center"/>
              <w:rPr>
                <w:color w:val="auto"/>
                <w:szCs w:val="21"/>
              </w:rPr>
            </w:pPr>
          </w:p>
        </w:tc>
        <w:tc>
          <w:tcPr>
            <w:tcW w:w="1061" w:type="dxa"/>
            <w:noWrap w:val="0"/>
            <w:vAlign w:val="center"/>
          </w:tcPr>
          <w:p w14:paraId="529D8C41">
            <w:pPr>
              <w:adjustRightInd w:val="0"/>
              <w:snapToGrid w:val="0"/>
              <w:spacing w:before="50" w:line="360" w:lineRule="auto"/>
              <w:ind w:left="-88" w:leftChars="-42"/>
              <w:jc w:val="center"/>
              <w:rPr>
                <w:color w:val="auto"/>
                <w:szCs w:val="21"/>
              </w:rPr>
            </w:pPr>
          </w:p>
        </w:tc>
      </w:tr>
      <w:tr w14:paraId="0DB2B1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627" w:type="dxa"/>
            <w:noWrap w:val="0"/>
            <w:vAlign w:val="center"/>
          </w:tcPr>
          <w:p w14:paraId="29B3537A">
            <w:pPr>
              <w:adjustRightInd w:val="0"/>
              <w:snapToGrid w:val="0"/>
              <w:spacing w:before="50" w:line="360" w:lineRule="auto"/>
              <w:ind w:left="-88" w:leftChars="-42"/>
              <w:jc w:val="center"/>
              <w:rPr>
                <w:color w:val="auto"/>
                <w:szCs w:val="21"/>
              </w:rPr>
            </w:pPr>
          </w:p>
        </w:tc>
        <w:tc>
          <w:tcPr>
            <w:tcW w:w="1877" w:type="dxa"/>
            <w:noWrap w:val="0"/>
            <w:vAlign w:val="center"/>
          </w:tcPr>
          <w:p w14:paraId="443263BA">
            <w:pPr>
              <w:adjustRightInd w:val="0"/>
              <w:snapToGrid w:val="0"/>
              <w:spacing w:before="50" w:line="360" w:lineRule="auto"/>
              <w:ind w:left="-88" w:leftChars="-42"/>
              <w:jc w:val="center"/>
              <w:rPr>
                <w:color w:val="auto"/>
                <w:szCs w:val="21"/>
              </w:rPr>
            </w:pPr>
          </w:p>
        </w:tc>
        <w:tc>
          <w:tcPr>
            <w:tcW w:w="1671" w:type="dxa"/>
            <w:noWrap w:val="0"/>
            <w:vAlign w:val="center"/>
          </w:tcPr>
          <w:p w14:paraId="52A94067">
            <w:pPr>
              <w:adjustRightInd w:val="0"/>
              <w:snapToGrid w:val="0"/>
              <w:spacing w:before="50" w:line="360" w:lineRule="auto"/>
              <w:ind w:left="-88" w:leftChars="-42"/>
              <w:jc w:val="center"/>
              <w:rPr>
                <w:color w:val="auto"/>
                <w:szCs w:val="21"/>
              </w:rPr>
            </w:pPr>
          </w:p>
        </w:tc>
        <w:tc>
          <w:tcPr>
            <w:tcW w:w="1608" w:type="dxa"/>
            <w:noWrap w:val="0"/>
            <w:vAlign w:val="center"/>
          </w:tcPr>
          <w:p w14:paraId="6ECCA732">
            <w:pPr>
              <w:adjustRightInd w:val="0"/>
              <w:snapToGrid w:val="0"/>
              <w:spacing w:before="50" w:line="360" w:lineRule="auto"/>
              <w:ind w:left="-88" w:leftChars="-42"/>
              <w:jc w:val="center"/>
              <w:rPr>
                <w:color w:val="auto"/>
                <w:szCs w:val="21"/>
              </w:rPr>
            </w:pPr>
          </w:p>
        </w:tc>
        <w:tc>
          <w:tcPr>
            <w:tcW w:w="1513" w:type="dxa"/>
            <w:noWrap w:val="0"/>
            <w:vAlign w:val="center"/>
          </w:tcPr>
          <w:p w14:paraId="462274B4">
            <w:pPr>
              <w:adjustRightInd w:val="0"/>
              <w:snapToGrid w:val="0"/>
              <w:spacing w:before="50" w:line="360" w:lineRule="auto"/>
              <w:ind w:left="-88" w:leftChars="-42"/>
              <w:jc w:val="center"/>
              <w:rPr>
                <w:color w:val="auto"/>
                <w:szCs w:val="21"/>
              </w:rPr>
            </w:pPr>
          </w:p>
        </w:tc>
        <w:tc>
          <w:tcPr>
            <w:tcW w:w="1061" w:type="dxa"/>
            <w:noWrap w:val="0"/>
            <w:vAlign w:val="center"/>
          </w:tcPr>
          <w:p w14:paraId="0E725F2C">
            <w:pPr>
              <w:adjustRightInd w:val="0"/>
              <w:snapToGrid w:val="0"/>
              <w:spacing w:before="50" w:line="360" w:lineRule="auto"/>
              <w:ind w:left="-88" w:leftChars="-42"/>
              <w:jc w:val="center"/>
              <w:rPr>
                <w:color w:val="auto"/>
                <w:szCs w:val="21"/>
              </w:rPr>
            </w:pPr>
          </w:p>
        </w:tc>
      </w:tr>
      <w:tr w14:paraId="4172A7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627" w:type="dxa"/>
            <w:noWrap w:val="0"/>
            <w:vAlign w:val="center"/>
          </w:tcPr>
          <w:p w14:paraId="249B3BF3">
            <w:pPr>
              <w:adjustRightInd w:val="0"/>
              <w:snapToGrid w:val="0"/>
              <w:spacing w:before="50" w:line="360" w:lineRule="auto"/>
              <w:ind w:left="-88" w:leftChars="-42"/>
              <w:jc w:val="center"/>
              <w:rPr>
                <w:color w:val="auto"/>
                <w:szCs w:val="21"/>
              </w:rPr>
            </w:pPr>
          </w:p>
        </w:tc>
        <w:tc>
          <w:tcPr>
            <w:tcW w:w="1877" w:type="dxa"/>
            <w:noWrap w:val="0"/>
            <w:vAlign w:val="center"/>
          </w:tcPr>
          <w:p w14:paraId="50F13E98">
            <w:pPr>
              <w:adjustRightInd w:val="0"/>
              <w:snapToGrid w:val="0"/>
              <w:spacing w:before="50" w:line="360" w:lineRule="auto"/>
              <w:ind w:left="-88" w:leftChars="-42"/>
              <w:jc w:val="center"/>
              <w:rPr>
                <w:color w:val="auto"/>
                <w:szCs w:val="21"/>
              </w:rPr>
            </w:pPr>
          </w:p>
        </w:tc>
        <w:tc>
          <w:tcPr>
            <w:tcW w:w="1671" w:type="dxa"/>
            <w:noWrap w:val="0"/>
            <w:vAlign w:val="center"/>
          </w:tcPr>
          <w:p w14:paraId="7E1D6FCC">
            <w:pPr>
              <w:adjustRightInd w:val="0"/>
              <w:snapToGrid w:val="0"/>
              <w:spacing w:before="50" w:line="360" w:lineRule="auto"/>
              <w:ind w:left="-88" w:leftChars="-42"/>
              <w:jc w:val="center"/>
              <w:rPr>
                <w:color w:val="auto"/>
                <w:szCs w:val="21"/>
              </w:rPr>
            </w:pPr>
          </w:p>
        </w:tc>
        <w:tc>
          <w:tcPr>
            <w:tcW w:w="1608" w:type="dxa"/>
            <w:noWrap w:val="0"/>
            <w:vAlign w:val="center"/>
          </w:tcPr>
          <w:p w14:paraId="36B2B594">
            <w:pPr>
              <w:adjustRightInd w:val="0"/>
              <w:snapToGrid w:val="0"/>
              <w:spacing w:before="50" w:line="360" w:lineRule="auto"/>
              <w:ind w:left="-88" w:leftChars="-42"/>
              <w:jc w:val="center"/>
              <w:rPr>
                <w:color w:val="auto"/>
                <w:szCs w:val="21"/>
              </w:rPr>
            </w:pPr>
          </w:p>
        </w:tc>
        <w:tc>
          <w:tcPr>
            <w:tcW w:w="1513" w:type="dxa"/>
            <w:noWrap w:val="0"/>
            <w:vAlign w:val="center"/>
          </w:tcPr>
          <w:p w14:paraId="3101515A">
            <w:pPr>
              <w:adjustRightInd w:val="0"/>
              <w:snapToGrid w:val="0"/>
              <w:spacing w:before="50" w:line="360" w:lineRule="auto"/>
              <w:ind w:left="-88" w:leftChars="-42"/>
              <w:jc w:val="center"/>
              <w:rPr>
                <w:color w:val="auto"/>
                <w:szCs w:val="21"/>
              </w:rPr>
            </w:pPr>
          </w:p>
        </w:tc>
        <w:tc>
          <w:tcPr>
            <w:tcW w:w="1061" w:type="dxa"/>
            <w:noWrap w:val="0"/>
            <w:vAlign w:val="center"/>
          </w:tcPr>
          <w:p w14:paraId="227CF019">
            <w:pPr>
              <w:adjustRightInd w:val="0"/>
              <w:snapToGrid w:val="0"/>
              <w:spacing w:before="50" w:line="360" w:lineRule="auto"/>
              <w:ind w:left="-88" w:leftChars="-42"/>
              <w:jc w:val="center"/>
              <w:rPr>
                <w:color w:val="auto"/>
                <w:szCs w:val="21"/>
              </w:rPr>
            </w:pPr>
          </w:p>
        </w:tc>
      </w:tr>
      <w:tr w14:paraId="7E1A52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8357" w:type="dxa"/>
            <w:gridSpan w:val="6"/>
            <w:noWrap w:val="0"/>
            <w:vAlign w:val="center"/>
          </w:tcPr>
          <w:p w14:paraId="79645379">
            <w:pPr>
              <w:rPr>
                <w:b/>
                <w:color w:val="auto"/>
              </w:rPr>
            </w:pPr>
          </w:p>
        </w:tc>
      </w:tr>
    </w:tbl>
    <w:p w14:paraId="37BC78CB">
      <w:pPr>
        <w:adjustRightInd w:val="0"/>
        <w:snapToGrid w:val="0"/>
        <w:spacing w:before="50" w:line="360" w:lineRule="auto"/>
        <w:ind w:left="-88" w:leftChars="-42"/>
        <w:rPr>
          <w:color w:val="auto"/>
          <w:sz w:val="24"/>
        </w:rPr>
      </w:pPr>
      <w:r>
        <w:rPr>
          <w:b/>
          <w:color w:val="auto"/>
          <w:sz w:val="24"/>
        </w:rPr>
        <w:t>备注</w:t>
      </w:r>
      <w:r>
        <w:rPr>
          <w:color w:val="auto"/>
          <w:sz w:val="24"/>
        </w:rPr>
        <w:t>：</w:t>
      </w:r>
    </w:p>
    <w:bookmarkEnd w:id="3"/>
    <w:bookmarkEnd w:id="4"/>
    <w:p w14:paraId="706D62E9">
      <w:pPr>
        <w:adjustRightInd w:val="0"/>
        <w:snapToGrid w:val="0"/>
        <w:spacing w:before="50" w:line="360" w:lineRule="auto"/>
        <w:ind w:left="-88" w:leftChars="-42"/>
        <w:rPr>
          <w:rFonts w:hint="eastAsia"/>
          <w:color w:val="auto"/>
          <w:sz w:val="24"/>
        </w:rPr>
      </w:pPr>
      <w:r>
        <w:rPr>
          <w:color w:val="auto"/>
          <w:sz w:val="24"/>
        </w:rPr>
        <w:t>（1）投标人应根据文件第</w:t>
      </w:r>
      <w:r>
        <w:rPr>
          <w:rFonts w:hint="eastAsia"/>
          <w:color w:val="auto"/>
          <w:sz w:val="24"/>
          <w:lang w:val="en-US" w:eastAsia="zh-CN"/>
        </w:rPr>
        <w:t>二</w:t>
      </w:r>
      <w:r>
        <w:rPr>
          <w:color w:val="auto"/>
          <w:sz w:val="24"/>
        </w:rPr>
        <w:t>章中采购需求填写本表，逐条应答；</w:t>
      </w:r>
    </w:p>
    <w:p w14:paraId="35793618">
      <w:pPr>
        <w:adjustRightInd w:val="0"/>
        <w:snapToGrid w:val="0"/>
        <w:spacing w:before="50" w:line="360" w:lineRule="auto"/>
        <w:ind w:left="-88" w:leftChars="-42"/>
        <w:rPr>
          <w:rFonts w:hint="eastAsia"/>
          <w:color w:val="auto"/>
          <w:sz w:val="24"/>
        </w:rPr>
      </w:pPr>
      <w:r>
        <w:rPr>
          <w:color w:val="auto"/>
          <w:sz w:val="24"/>
        </w:rPr>
        <w:t>（2）如不提供此表，则视为投标人不满足文件第</w:t>
      </w:r>
      <w:r>
        <w:rPr>
          <w:rFonts w:hint="eastAsia"/>
          <w:color w:val="auto"/>
          <w:sz w:val="24"/>
          <w:lang w:eastAsia="zh-CN"/>
        </w:rPr>
        <w:t>二</w:t>
      </w:r>
      <w:r>
        <w:rPr>
          <w:color w:val="auto"/>
          <w:sz w:val="24"/>
        </w:rPr>
        <w:t>章的所有条款要求，其投标无效；</w:t>
      </w:r>
    </w:p>
    <w:p w14:paraId="62212A7D">
      <w:pPr>
        <w:adjustRightInd w:val="0"/>
        <w:snapToGrid w:val="0"/>
        <w:spacing w:before="50" w:line="360" w:lineRule="auto"/>
        <w:ind w:left="-88" w:leftChars="-42"/>
        <w:rPr>
          <w:rFonts w:hint="eastAsia" w:eastAsia="宋体"/>
          <w:color w:val="auto"/>
          <w:lang w:eastAsia="zh-CN"/>
        </w:rPr>
      </w:pPr>
      <w:r>
        <w:rPr>
          <w:color w:val="auto"/>
          <w:sz w:val="24"/>
        </w:rPr>
        <w:t>（3）</w:t>
      </w:r>
      <w:r>
        <w:rPr>
          <w:rFonts w:hint="eastAsia"/>
          <w:color w:val="auto"/>
          <w:sz w:val="24"/>
          <w:lang w:eastAsia="zh-CN"/>
        </w:rPr>
        <w:t>本项目为综合评分法，所有参数必须在响应表中逐条应答。</w:t>
      </w:r>
    </w:p>
    <w:p w14:paraId="7495F60F">
      <w:pPr>
        <w:pStyle w:val="18"/>
        <w:rPr>
          <w:color w:val="auto"/>
        </w:rPr>
      </w:pPr>
    </w:p>
    <w:p w14:paraId="45DD946D">
      <w:pPr>
        <w:pStyle w:val="17"/>
        <w:rPr>
          <w:rFonts w:hint="eastAsia"/>
          <w:lang w:eastAsia="zh-CN"/>
        </w:rPr>
      </w:pPr>
    </w:p>
    <w:p w14:paraId="592F7DBB"/>
    <w:sectPr>
      <w:footerReference r:id="rId5"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2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F92FC7">
    <w:pPr>
      <w:pStyle w:val="6"/>
      <w:rPr>
        <w:rFonts w:hint="eastAsia" w:ascii="仿宋_GB2312" w:eastAsia="仿宋_GB2312"/>
        <w:bCs/>
        <w:u w:val="single"/>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7CC904">
                          <w:pPr>
                            <w:pStyle w:val="6"/>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67CC904">
                    <w:pPr>
                      <w:pStyle w:val="6"/>
                    </w:pPr>
                    <w:r>
                      <w:fldChar w:fldCharType="begin"/>
                    </w:r>
                    <w:r>
                      <w:instrText xml:space="preserve"> PAGE  \* MERGEFORMAT </w:instrText>
                    </w:r>
                    <w:r>
                      <w:fldChar w:fldCharType="separate"/>
                    </w:r>
                    <w:r>
                      <w:t>2</w:t>
                    </w:r>
                    <w:r>
                      <w:fldChar w:fldCharType="end"/>
                    </w:r>
                  </w:p>
                </w:txbxContent>
              </v:textbox>
            </v:shape>
          </w:pict>
        </mc:Fallback>
      </mc:AlternateContent>
    </w:r>
    <w:r>
      <w:rPr>
        <w:rFonts w:hint="eastAsia" w:ascii="仿宋_GB2312" w:eastAsia="仿宋_GB2312"/>
        <w:bCs/>
        <w:u w:val="single"/>
      </w:rPr>
      <w:t xml:space="preserve">                                                                                                 </w:t>
    </w:r>
  </w:p>
  <w:p w14:paraId="04CB1AD9">
    <w:pPr>
      <w:adjustRightInd w:val="0"/>
      <w:snapToGrid w:val="0"/>
      <w:spacing w:line="260" w:lineRule="atLeast"/>
      <w:rPr>
        <w:rFonts w:hint="eastAsia"/>
        <w:kern w:val="0"/>
        <w:sz w:val="18"/>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52D8BF">
    <w:pPr>
      <w:pStyle w:val="6"/>
      <w:rPr>
        <w:rFonts w:hint="eastAsia" w:ascii="仿宋_GB2312" w:eastAsia="仿宋_GB2312"/>
        <w:bCs/>
        <w:u w:val="single"/>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EC317D">
                          <w:pPr>
                            <w:pStyle w:val="6"/>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2AEC317D">
                    <w:pPr>
                      <w:pStyle w:val="6"/>
                    </w:pPr>
                    <w:r>
                      <w:fldChar w:fldCharType="begin"/>
                    </w:r>
                    <w:r>
                      <w:instrText xml:space="preserve"> PAGE  \* MERGEFORMAT </w:instrText>
                    </w:r>
                    <w:r>
                      <w:fldChar w:fldCharType="separate"/>
                    </w:r>
                    <w:r>
                      <w:t>15</w:t>
                    </w:r>
                    <w:r>
                      <w:fldChar w:fldCharType="end"/>
                    </w:r>
                  </w:p>
                </w:txbxContent>
              </v:textbox>
            </v:shape>
          </w:pict>
        </mc:Fallback>
      </mc:AlternateContent>
    </w:r>
    <w:r>
      <w:rPr>
        <w:rFonts w:hint="eastAsia" w:ascii="仿宋_GB2312" w:eastAsia="仿宋_GB2312"/>
        <w:bCs/>
        <w:u w:val="single"/>
      </w:rPr>
      <w:t xml:space="preserve">                                                                                                 </w:t>
    </w:r>
  </w:p>
  <w:p w14:paraId="5C68B4DA">
    <w:pPr>
      <w:adjustRightInd w:val="0"/>
      <w:snapToGrid w:val="0"/>
      <w:spacing w:line="260" w:lineRule="atLeast"/>
      <w:rPr>
        <w:rFonts w:hint="eastAsia"/>
        <w:kern w:val="0"/>
        <w:sz w:val="18"/>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A4B662">
    <w:pPr>
      <w:pStyle w:val="7"/>
      <w:ind w:left="8280" w:hanging="8280" w:hangingChars="4600"/>
      <w:jc w:val="both"/>
      <w:rPr>
        <w:rFonts w:hint="eastAsia"/>
      </w:rPr>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68914C"/>
    <w:multiLevelType w:val="singleLevel"/>
    <w:tmpl w:val="BB68914C"/>
    <w:lvl w:ilvl="0" w:tentative="0">
      <w:start w:val="2"/>
      <w:numFmt w:val="chineseCounting"/>
      <w:suff w:val="nothing"/>
      <w:lvlText w:val="%1、"/>
      <w:lvlJc w:val="left"/>
      <w:rPr>
        <w:rFonts w:hint="eastAsia"/>
      </w:rPr>
    </w:lvl>
  </w:abstractNum>
  <w:abstractNum w:abstractNumId="1">
    <w:nsid w:val="EB67FE42"/>
    <w:multiLevelType w:val="singleLevel"/>
    <w:tmpl w:val="EB67FE42"/>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3YmMxNGQ0NDE0NTRiYjQ3MWFkZjk1MWM2MTc2NWEifQ=="/>
  </w:docVars>
  <w:rsids>
    <w:rsidRoot w:val="6DE375E4"/>
    <w:rsid w:val="00AE556A"/>
    <w:rsid w:val="01350E35"/>
    <w:rsid w:val="02390242"/>
    <w:rsid w:val="03E43FAE"/>
    <w:rsid w:val="04653F41"/>
    <w:rsid w:val="04B72FC8"/>
    <w:rsid w:val="04F57A38"/>
    <w:rsid w:val="050719CA"/>
    <w:rsid w:val="06934BAA"/>
    <w:rsid w:val="06E91EC4"/>
    <w:rsid w:val="07583825"/>
    <w:rsid w:val="086F75C9"/>
    <w:rsid w:val="09C0303A"/>
    <w:rsid w:val="0A3F4F3C"/>
    <w:rsid w:val="0A6D3244"/>
    <w:rsid w:val="0A8A74D4"/>
    <w:rsid w:val="0CAD77BD"/>
    <w:rsid w:val="0E331420"/>
    <w:rsid w:val="0EDD1643"/>
    <w:rsid w:val="0FB9029C"/>
    <w:rsid w:val="10897B23"/>
    <w:rsid w:val="10914EF9"/>
    <w:rsid w:val="10B8663C"/>
    <w:rsid w:val="12080B62"/>
    <w:rsid w:val="12994AC5"/>
    <w:rsid w:val="129F447F"/>
    <w:rsid w:val="12C86253"/>
    <w:rsid w:val="14E40477"/>
    <w:rsid w:val="15060AC8"/>
    <w:rsid w:val="15125EAE"/>
    <w:rsid w:val="15675A4C"/>
    <w:rsid w:val="17F91BB8"/>
    <w:rsid w:val="193E7D91"/>
    <w:rsid w:val="1943608F"/>
    <w:rsid w:val="19E40286"/>
    <w:rsid w:val="19E91315"/>
    <w:rsid w:val="1AF56B46"/>
    <w:rsid w:val="1B803E31"/>
    <w:rsid w:val="1C795D39"/>
    <w:rsid w:val="1C995471"/>
    <w:rsid w:val="1CE412C7"/>
    <w:rsid w:val="1D5071B5"/>
    <w:rsid w:val="1DD7486D"/>
    <w:rsid w:val="1E79119D"/>
    <w:rsid w:val="1F334F58"/>
    <w:rsid w:val="1F796B24"/>
    <w:rsid w:val="1FC602A8"/>
    <w:rsid w:val="1FE73549"/>
    <w:rsid w:val="2038045E"/>
    <w:rsid w:val="20AF0900"/>
    <w:rsid w:val="20B41DA7"/>
    <w:rsid w:val="21C61C7A"/>
    <w:rsid w:val="2383771E"/>
    <w:rsid w:val="23F374DB"/>
    <w:rsid w:val="24881A32"/>
    <w:rsid w:val="25266F96"/>
    <w:rsid w:val="267547DF"/>
    <w:rsid w:val="272B6E6C"/>
    <w:rsid w:val="27CF2BB7"/>
    <w:rsid w:val="28E81B29"/>
    <w:rsid w:val="28FD390A"/>
    <w:rsid w:val="29B45A41"/>
    <w:rsid w:val="2A174DA9"/>
    <w:rsid w:val="2AB010A8"/>
    <w:rsid w:val="2AC66F99"/>
    <w:rsid w:val="2C0A2E19"/>
    <w:rsid w:val="2C7642D0"/>
    <w:rsid w:val="2CC97A35"/>
    <w:rsid w:val="2CDC672B"/>
    <w:rsid w:val="2DD77C64"/>
    <w:rsid w:val="2DDA1E78"/>
    <w:rsid w:val="2DE00B8C"/>
    <w:rsid w:val="2EAC037F"/>
    <w:rsid w:val="2EB67A5C"/>
    <w:rsid w:val="302741D2"/>
    <w:rsid w:val="308B184D"/>
    <w:rsid w:val="309C1E01"/>
    <w:rsid w:val="30BB11DD"/>
    <w:rsid w:val="31F17CD1"/>
    <w:rsid w:val="324F4D43"/>
    <w:rsid w:val="33384C93"/>
    <w:rsid w:val="340F06E9"/>
    <w:rsid w:val="34C12F54"/>
    <w:rsid w:val="361110A5"/>
    <w:rsid w:val="366241E2"/>
    <w:rsid w:val="36B66AAC"/>
    <w:rsid w:val="36E47928"/>
    <w:rsid w:val="372F7378"/>
    <w:rsid w:val="37BA0809"/>
    <w:rsid w:val="38FF7404"/>
    <w:rsid w:val="397348CD"/>
    <w:rsid w:val="3A8E0AB7"/>
    <w:rsid w:val="3A994AB7"/>
    <w:rsid w:val="3B3B544D"/>
    <w:rsid w:val="3B654F2B"/>
    <w:rsid w:val="3BB72BAE"/>
    <w:rsid w:val="3BFC7D2B"/>
    <w:rsid w:val="3C7C799C"/>
    <w:rsid w:val="3C8A61A4"/>
    <w:rsid w:val="3D5E17FF"/>
    <w:rsid w:val="3DF93413"/>
    <w:rsid w:val="3DFD1951"/>
    <w:rsid w:val="3E1F0DA4"/>
    <w:rsid w:val="3E584E51"/>
    <w:rsid w:val="3E6E70D5"/>
    <w:rsid w:val="3EBE1ADE"/>
    <w:rsid w:val="403B4B34"/>
    <w:rsid w:val="4140452A"/>
    <w:rsid w:val="414D7889"/>
    <w:rsid w:val="41BB0BAE"/>
    <w:rsid w:val="425629F5"/>
    <w:rsid w:val="4284152B"/>
    <w:rsid w:val="429A4992"/>
    <w:rsid w:val="435B161D"/>
    <w:rsid w:val="43B25DAC"/>
    <w:rsid w:val="44771DFD"/>
    <w:rsid w:val="45D569C3"/>
    <w:rsid w:val="4791030F"/>
    <w:rsid w:val="479B74B7"/>
    <w:rsid w:val="48735221"/>
    <w:rsid w:val="49E92B05"/>
    <w:rsid w:val="4A354E62"/>
    <w:rsid w:val="4AEE1A11"/>
    <w:rsid w:val="4B7F39F4"/>
    <w:rsid w:val="4BAE646F"/>
    <w:rsid w:val="4C4D6AA3"/>
    <w:rsid w:val="4CAC1559"/>
    <w:rsid w:val="4D754257"/>
    <w:rsid w:val="4DCD6AB3"/>
    <w:rsid w:val="4EE7662F"/>
    <w:rsid w:val="50216DCD"/>
    <w:rsid w:val="50540C20"/>
    <w:rsid w:val="506258C6"/>
    <w:rsid w:val="51AC28BD"/>
    <w:rsid w:val="52183ACC"/>
    <w:rsid w:val="521E2A7F"/>
    <w:rsid w:val="53B55872"/>
    <w:rsid w:val="544055F2"/>
    <w:rsid w:val="54AD4386"/>
    <w:rsid w:val="55D8243C"/>
    <w:rsid w:val="581A7C72"/>
    <w:rsid w:val="583A4BD7"/>
    <w:rsid w:val="59C51B68"/>
    <w:rsid w:val="59C74B1F"/>
    <w:rsid w:val="5A886F59"/>
    <w:rsid w:val="5DB23133"/>
    <w:rsid w:val="604D5946"/>
    <w:rsid w:val="611B6B1B"/>
    <w:rsid w:val="62C222C2"/>
    <w:rsid w:val="632D7C40"/>
    <w:rsid w:val="64133D6A"/>
    <w:rsid w:val="64245572"/>
    <w:rsid w:val="66C30AF5"/>
    <w:rsid w:val="672737CD"/>
    <w:rsid w:val="678E4F5D"/>
    <w:rsid w:val="67F3562A"/>
    <w:rsid w:val="680E122C"/>
    <w:rsid w:val="6A4E1D63"/>
    <w:rsid w:val="6AA026F2"/>
    <w:rsid w:val="6B592423"/>
    <w:rsid w:val="6C486FE4"/>
    <w:rsid w:val="6CA409DF"/>
    <w:rsid w:val="6DE375E4"/>
    <w:rsid w:val="6E8E5287"/>
    <w:rsid w:val="6FAC3B48"/>
    <w:rsid w:val="6FAD463B"/>
    <w:rsid w:val="6FBE332C"/>
    <w:rsid w:val="70CE0BC9"/>
    <w:rsid w:val="71554367"/>
    <w:rsid w:val="71584067"/>
    <w:rsid w:val="71F26E91"/>
    <w:rsid w:val="72931CE4"/>
    <w:rsid w:val="735201FF"/>
    <w:rsid w:val="737B50A4"/>
    <w:rsid w:val="73F40E72"/>
    <w:rsid w:val="74566F5C"/>
    <w:rsid w:val="750117A8"/>
    <w:rsid w:val="755B2270"/>
    <w:rsid w:val="75E27514"/>
    <w:rsid w:val="7612420D"/>
    <w:rsid w:val="76920D75"/>
    <w:rsid w:val="76C47877"/>
    <w:rsid w:val="77423DFF"/>
    <w:rsid w:val="783B5EA9"/>
    <w:rsid w:val="78C10CAC"/>
    <w:rsid w:val="79EB699D"/>
    <w:rsid w:val="79F871CC"/>
    <w:rsid w:val="7AFF5E62"/>
    <w:rsid w:val="7B0620DE"/>
    <w:rsid w:val="7BBF44BB"/>
    <w:rsid w:val="7BF15CE4"/>
    <w:rsid w:val="7C3A27E5"/>
    <w:rsid w:val="7D9727DD"/>
    <w:rsid w:val="7DCB30EB"/>
    <w:rsid w:val="7E2F518C"/>
    <w:rsid w:val="7EFB4F6E"/>
    <w:rsid w:val="7F164138"/>
    <w:rsid w:val="7F1A5E95"/>
    <w:rsid w:val="7FFB08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adjustRightInd w:val="0"/>
      <w:spacing w:before="340" w:after="330" w:line="578" w:lineRule="atLeast"/>
      <w:textAlignment w:val="baseline"/>
      <w:outlineLvl w:val="0"/>
    </w:pPr>
    <w:rPr>
      <w:b/>
      <w:kern w:val="44"/>
      <w:sz w:val="44"/>
      <w:szCs w:val="20"/>
    </w:rPr>
  </w:style>
  <w:style w:type="paragraph" w:styleId="3">
    <w:name w:val="heading 3"/>
    <w:basedOn w:val="1"/>
    <w:next w:val="1"/>
    <w:qFormat/>
    <w:uiPriority w:val="0"/>
    <w:pPr>
      <w:keepNext/>
      <w:keepLines/>
      <w:adjustRightInd w:val="0"/>
      <w:spacing w:before="260" w:after="260" w:line="416" w:lineRule="atLeast"/>
      <w:textAlignment w:val="baseline"/>
      <w:outlineLvl w:val="2"/>
    </w:pPr>
    <w:rPr>
      <w:b/>
      <w:kern w:val="0"/>
      <w:sz w:val="32"/>
      <w:szCs w:val="20"/>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4">
    <w:name w:val="Body Text Indent"/>
    <w:basedOn w:val="1"/>
    <w:qFormat/>
    <w:uiPriority w:val="99"/>
    <w:pPr>
      <w:spacing w:line="400" w:lineRule="exact"/>
      <w:ind w:left="630"/>
    </w:pPr>
    <w:rPr>
      <w:rFonts w:ascii="楷体_GB2312"/>
      <w:sz w:val="30"/>
      <w:szCs w:val="30"/>
    </w:rPr>
  </w:style>
  <w:style w:type="paragraph" w:styleId="5">
    <w:name w:val="Date"/>
    <w:basedOn w:val="1"/>
    <w:next w:val="1"/>
    <w:qFormat/>
    <w:uiPriority w:val="0"/>
    <w:rPr>
      <w:color w:val="000000"/>
      <w:kern w:val="0"/>
      <w:sz w:val="30"/>
    </w:rPr>
  </w:style>
  <w:style w:type="paragraph" w:styleId="6">
    <w:name w:val="footer"/>
    <w:basedOn w:val="1"/>
    <w:qFormat/>
    <w:uiPriority w:val="0"/>
    <w:pPr>
      <w:tabs>
        <w:tab w:val="center" w:pos="4153"/>
        <w:tab w:val="right" w:pos="8306"/>
      </w:tabs>
      <w:snapToGrid w:val="0"/>
      <w:jc w:val="left"/>
    </w:pPr>
    <w:rPr>
      <w:kern w:val="0"/>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rPr>
      <w:sz w:val="24"/>
    </w:rPr>
  </w:style>
  <w:style w:type="paragraph" w:styleId="9">
    <w:name w:val="Body Text First Indent 2"/>
    <w:basedOn w:val="4"/>
    <w:qFormat/>
    <w:uiPriority w:val="0"/>
    <w:pPr>
      <w:overflowPunct w:val="0"/>
      <w:adjustRightInd w:val="0"/>
      <w:spacing w:line="500" w:lineRule="exact"/>
      <w:ind w:firstLine="420" w:firstLineChars="200"/>
      <w:textAlignment w:val="baseline"/>
    </w:pPr>
    <w:rPr>
      <w:rFonts w:eastAsia="仿宋_GB2312"/>
      <w:kern w:val="28"/>
      <w:sz w:val="28"/>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Emphasis"/>
    <w:basedOn w:val="12"/>
    <w:qFormat/>
    <w:uiPriority w:val="20"/>
    <w:rPr>
      <w:i/>
    </w:rPr>
  </w:style>
  <w:style w:type="paragraph" w:customStyle="1" w:styleId="14">
    <w:name w:val="正文格式"/>
    <w:basedOn w:val="1"/>
    <w:qFormat/>
    <w:uiPriority w:val="0"/>
    <w:pPr>
      <w:widowControl/>
      <w:adjustRightInd w:val="0"/>
      <w:snapToGrid w:val="0"/>
      <w:spacing w:line="400" w:lineRule="atLeast"/>
      <w:ind w:firstLine="482"/>
      <w:textAlignment w:val="baseline"/>
    </w:pPr>
    <w:rPr>
      <w:kern w:val="0"/>
      <w:sz w:val="24"/>
    </w:rPr>
  </w:style>
  <w:style w:type="paragraph" w:customStyle="1" w:styleId="15">
    <w:name w:val="Default"/>
    <w:next w:val="16"/>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16">
    <w:name w:val="大标题"/>
    <w:basedOn w:val="1"/>
    <w:next w:val="9"/>
    <w:qFormat/>
    <w:uiPriority w:val="0"/>
    <w:pPr>
      <w:jc w:val="center"/>
    </w:pPr>
    <w:rPr>
      <w:rFonts w:ascii="Arial" w:hAnsi="Arial" w:eastAsia="宋体"/>
      <w:b/>
      <w:sz w:val="28"/>
      <w:szCs w:val="24"/>
    </w:rPr>
  </w:style>
  <w:style w:type="paragraph" w:customStyle="1" w:styleId="17">
    <w:name w:val="列出段落1"/>
    <w:basedOn w:val="1"/>
    <w:qFormat/>
    <w:uiPriority w:val="99"/>
    <w:pPr>
      <w:ind w:firstLine="420" w:firstLineChars="200"/>
    </w:pPr>
  </w:style>
  <w:style w:type="paragraph" w:customStyle="1" w:styleId="18">
    <w:name w:val="无间隔1"/>
    <w:qFormat/>
    <w:uiPriority w:val="0"/>
    <w:pPr>
      <w:widowControl w:val="0"/>
      <w:jc w:val="both"/>
    </w:pPr>
    <w:rPr>
      <w:rFonts w:ascii="Calibri" w:hAnsi="Calibri" w:eastAsia="宋体" w:cs="Times New Roman"/>
      <w:kern w:val="2"/>
      <w:sz w:val="21"/>
      <w:szCs w:val="22"/>
      <w:lang w:val="en-US" w:eastAsia="zh-CN" w:bidi="ar-SA"/>
    </w:rPr>
  </w:style>
  <w:style w:type="paragraph" w:styleId="19">
    <w:name w:val="List Paragraph"/>
    <w:basedOn w:val="1"/>
    <w:qFormat/>
    <w:uiPriority w:val="34"/>
    <w:pPr>
      <w:ind w:firstLine="420" w:firstLineChars="200"/>
    </w:pPr>
    <w:rPr>
      <w:rFonts w:ascii="Calibri" w:hAnsi="Calibri"/>
      <w:szCs w:val="22"/>
    </w:rPr>
  </w:style>
  <w:style w:type="paragraph" w:customStyle="1" w:styleId="20">
    <w:name w:val="BodyText1I2"/>
    <w:basedOn w:val="21"/>
    <w:qFormat/>
    <w:uiPriority w:val="0"/>
    <w:pPr>
      <w:ind w:firstLine="420"/>
      <w:jc w:val="left"/>
    </w:pPr>
    <w:rPr>
      <w:rFonts w:ascii="Calibri" w:hAnsi="Calibri"/>
      <w:kern w:val="0"/>
    </w:rPr>
  </w:style>
  <w:style w:type="paragraph" w:customStyle="1" w:styleId="21">
    <w:name w:val="BodyTextIndent"/>
    <w:basedOn w:val="1"/>
    <w:qFormat/>
    <w:uiPriority w:val="0"/>
    <w:pPr>
      <w:spacing w:after="120"/>
      <w:ind w:left="420" w:left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jpe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4.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25</Pages>
  <Words>10156</Words>
  <Characters>10786</Characters>
  <Lines>0</Lines>
  <Paragraphs>0</Paragraphs>
  <TotalTime>0</TotalTime>
  <ScaleCrop>false</ScaleCrop>
  <LinksUpToDate>false</LinksUpToDate>
  <CharactersWithSpaces>11689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2023-07-17T09:45:00Z</dcterms:created>
  <dc:creator>是小豹子</dc:creator>
  <cp:lastModifiedBy>Administrator</cp:lastModifiedBy>
  <dcterms:modified xsi:type="dcterms:W3CDTF">2025-12-25T02:46:17Z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3505A2AB25E048A4A9B0E6A6741CA1BA_11</vt:lpwstr>
  </property>
  <property fmtid="{D5CDD505-2E9C-101B-9397-08002B2CF9AE}" pid="4" name="KSOTemplateDocerSaveRecord">
    <vt:lpwstr>eyJoZGlkIjoiOWU3YmMxNGQ0NDE0NTRiYjQ3MWFkZjk1MWM2MTc2NWEifQ==</vt:lpwstr>
  </property>
</Properties>
</file>