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261838">
      <w:pPr>
        <w:jc w:val="center"/>
        <w:rPr>
          <w:rFonts w:hint="eastAsia" w:ascii="仿宋" w:hAnsi="仿宋" w:eastAsia="仿宋" w:cs="仿宋"/>
          <w:sz w:val="24"/>
          <w:szCs w:val="24"/>
        </w:rPr>
      </w:pPr>
    </w:p>
    <w:p w14:paraId="6505C827">
      <w:pPr>
        <w:jc w:val="center"/>
        <w:rPr>
          <w:rFonts w:hint="eastAsia" w:ascii="仿宋" w:hAnsi="仿宋" w:eastAsia="仿宋" w:cs="仿宋"/>
          <w:sz w:val="24"/>
          <w:szCs w:val="24"/>
        </w:rPr>
      </w:pPr>
      <w:r>
        <w:rPr>
          <w:rFonts w:hint="eastAsia" w:ascii="仿宋" w:hAnsi="仿宋" w:eastAsia="仿宋" w:cs="仿宋"/>
          <w:sz w:val="24"/>
          <w:szCs w:val="24"/>
        </w:rPr>
        <w:t>本采购项目的权值见下表</w:t>
      </w:r>
    </w:p>
    <w:tbl>
      <w:tblPr>
        <w:tblStyle w:val="10"/>
        <w:tblW w:w="8868"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4705"/>
        <w:gridCol w:w="3439"/>
      </w:tblGrid>
      <w:tr w14:paraId="4FD447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9" w:hRule="exact"/>
          <w:jc w:val="center"/>
        </w:trPr>
        <w:tc>
          <w:tcPr>
            <w:tcW w:w="724" w:type="dxa"/>
            <w:tcBorders>
              <w:top w:val="double" w:color="auto" w:sz="4" w:space="0"/>
              <w:left w:val="double" w:color="auto" w:sz="4" w:space="0"/>
              <w:bottom w:val="single" w:color="auto" w:sz="6" w:space="0"/>
              <w:right w:val="single" w:color="auto" w:sz="6" w:space="0"/>
            </w:tcBorders>
            <w:noWrap w:val="0"/>
            <w:vAlign w:val="center"/>
          </w:tcPr>
          <w:p w14:paraId="7EE87109">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序号</w:t>
            </w:r>
          </w:p>
        </w:tc>
        <w:tc>
          <w:tcPr>
            <w:tcW w:w="4705" w:type="dxa"/>
            <w:tcBorders>
              <w:top w:val="double" w:color="auto" w:sz="4" w:space="0"/>
              <w:left w:val="single" w:color="auto" w:sz="6" w:space="0"/>
              <w:bottom w:val="single" w:color="auto" w:sz="6" w:space="0"/>
              <w:right w:val="single" w:color="auto" w:sz="6" w:space="0"/>
            </w:tcBorders>
            <w:noWrap w:val="0"/>
            <w:vAlign w:val="center"/>
          </w:tcPr>
          <w:p w14:paraId="173B3D49">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项     目</w:t>
            </w:r>
          </w:p>
        </w:tc>
        <w:tc>
          <w:tcPr>
            <w:tcW w:w="3439" w:type="dxa"/>
            <w:tcBorders>
              <w:top w:val="double" w:color="auto" w:sz="4" w:space="0"/>
              <w:left w:val="single" w:color="auto" w:sz="6" w:space="0"/>
              <w:bottom w:val="single" w:color="auto" w:sz="6" w:space="0"/>
              <w:right w:val="double" w:color="auto" w:sz="4" w:space="0"/>
            </w:tcBorders>
            <w:noWrap w:val="0"/>
            <w:vAlign w:val="center"/>
          </w:tcPr>
          <w:p w14:paraId="5A04CB7A">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权值的取值</w:t>
            </w:r>
          </w:p>
        </w:tc>
      </w:tr>
      <w:tr w14:paraId="22A72C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5" w:hRule="atLeast"/>
          <w:jc w:val="center"/>
        </w:trPr>
        <w:tc>
          <w:tcPr>
            <w:tcW w:w="724" w:type="dxa"/>
            <w:tcBorders>
              <w:top w:val="single" w:color="auto" w:sz="6" w:space="0"/>
              <w:left w:val="double" w:color="auto" w:sz="4" w:space="0"/>
              <w:bottom w:val="single" w:color="auto" w:sz="6" w:space="0"/>
              <w:right w:val="single" w:color="auto" w:sz="6" w:space="0"/>
            </w:tcBorders>
            <w:noWrap w:val="0"/>
            <w:vAlign w:val="center"/>
          </w:tcPr>
          <w:p w14:paraId="5BF3074D">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1</w:t>
            </w:r>
          </w:p>
        </w:tc>
        <w:tc>
          <w:tcPr>
            <w:tcW w:w="4705" w:type="dxa"/>
            <w:tcBorders>
              <w:top w:val="single" w:color="auto" w:sz="6" w:space="0"/>
              <w:left w:val="single" w:color="auto" w:sz="6" w:space="0"/>
              <w:bottom w:val="single" w:color="auto" w:sz="6" w:space="0"/>
              <w:right w:val="single" w:color="auto" w:sz="6" w:space="0"/>
            </w:tcBorders>
            <w:noWrap w:val="0"/>
            <w:vAlign w:val="center"/>
          </w:tcPr>
          <w:p w14:paraId="72F9EC0B">
            <w:pPr>
              <w:jc w:val="center"/>
              <w:rPr>
                <w:rFonts w:hint="eastAsia" w:ascii="仿宋" w:hAnsi="仿宋" w:eastAsia="仿宋" w:cs="仿宋"/>
                <w:sz w:val="24"/>
                <w:szCs w:val="24"/>
                <w:lang w:val="ru-RU"/>
              </w:rPr>
            </w:pPr>
            <w:r>
              <w:rPr>
                <w:rFonts w:hint="eastAsia" w:ascii="仿宋" w:hAnsi="仿宋" w:eastAsia="仿宋" w:cs="仿宋"/>
                <w:sz w:val="24"/>
                <w:szCs w:val="24"/>
                <w:lang w:val="ru-RU" w:eastAsia="ru-RU"/>
              </w:rPr>
              <w:t>报价</w:t>
            </w:r>
            <w:r>
              <w:rPr>
                <w:rFonts w:hint="eastAsia" w:ascii="仿宋" w:hAnsi="仿宋" w:eastAsia="仿宋" w:cs="仿宋"/>
                <w:sz w:val="24"/>
                <w:szCs w:val="24"/>
                <w:lang w:val="ru-RU"/>
              </w:rPr>
              <w:t>（A1）</w:t>
            </w:r>
          </w:p>
        </w:tc>
        <w:tc>
          <w:tcPr>
            <w:tcW w:w="3439" w:type="dxa"/>
            <w:tcBorders>
              <w:top w:val="single" w:color="auto" w:sz="6" w:space="0"/>
              <w:left w:val="single" w:color="auto" w:sz="6" w:space="0"/>
              <w:bottom w:val="single" w:color="auto" w:sz="6" w:space="0"/>
              <w:right w:val="double" w:color="auto" w:sz="4" w:space="0"/>
            </w:tcBorders>
            <w:noWrap w:val="0"/>
            <w:vAlign w:val="center"/>
          </w:tcPr>
          <w:p w14:paraId="7E3AA480">
            <w:pPr>
              <w:jc w:val="center"/>
              <w:rPr>
                <w:rFonts w:hint="eastAsia" w:ascii="仿宋" w:hAnsi="仿宋" w:eastAsia="仿宋" w:cs="仿宋"/>
                <w:sz w:val="24"/>
                <w:szCs w:val="24"/>
              </w:rPr>
            </w:pPr>
            <w:r>
              <w:rPr>
                <w:rFonts w:hint="eastAsia" w:ascii="仿宋" w:hAnsi="仿宋" w:eastAsia="仿宋" w:cs="仿宋"/>
                <w:sz w:val="24"/>
                <w:szCs w:val="24"/>
              </w:rPr>
              <w:t>50%</w:t>
            </w:r>
          </w:p>
        </w:tc>
      </w:tr>
      <w:tr w14:paraId="0323DC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724" w:type="dxa"/>
            <w:tcBorders>
              <w:top w:val="single" w:color="auto" w:sz="6" w:space="0"/>
              <w:left w:val="double" w:color="auto" w:sz="4" w:space="0"/>
              <w:bottom w:val="single" w:color="auto" w:sz="6" w:space="0"/>
              <w:right w:val="single" w:color="auto" w:sz="6" w:space="0"/>
            </w:tcBorders>
            <w:noWrap w:val="0"/>
            <w:vAlign w:val="center"/>
          </w:tcPr>
          <w:p w14:paraId="1B7889E7">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2</w:t>
            </w:r>
          </w:p>
        </w:tc>
        <w:tc>
          <w:tcPr>
            <w:tcW w:w="4705" w:type="dxa"/>
            <w:tcBorders>
              <w:top w:val="single" w:color="auto" w:sz="6" w:space="0"/>
              <w:left w:val="single" w:color="auto" w:sz="6" w:space="0"/>
              <w:bottom w:val="single" w:color="auto" w:sz="6" w:space="0"/>
              <w:right w:val="single" w:color="auto" w:sz="6" w:space="0"/>
            </w:tcBorders>
            <w:noWrap w:val="0"/>
            <w:vAlign w:val="center"/>
          </w:tcPr>
          <w:p w14:paraId="51BC8379">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技术</w:t>
            </w:r>
            <w:r>
              <w:rPr>
                <w:rFonts w:hint="eastAsia" w:ascii="仿宋" w:hAnsi="仿宋" w:eastAsia="仿宋" w:cs="仿宋"/>
                <w:sz w:val="24"/>
                <w:szCs w:val="24"/>
                <w:lang w:val="ru-RU"/>
              </w:rPr>
              <w:t>（A2）</w:t>
            </w:r>
          </w:p>
        </w:tc>
        <w:tc>
          <w:tcPr>
            <w:tcW w:w="3439" w:type="dxa"/>
            <w:tcBorders>
              <w:top w:val="single" w:color="auto" w:sz="6" w:space="0"/>
              <w:left w:val="single" w:color="auto" w:sz="6" w:space="0"/>
              <w:bottom w:val="single" w:color="auto" w:sz="6" w:space="0"/>
              <w:right w:val="double" w:color="auto" w:sz="4" w:space="0"/>
            </w:tcBorders>
            <w:noWrap w:val="0"/>
            <w:vAlign w:val="center"/>
          </w:tcPr>
          <w:p w14:paraId="20D15E51">
            <w:pPr>
              <w:jc w:val="center"/>
              <w:rPr>
                <w:rFonts w:hint="eastAsia" w:ascii="仿宋" w:hAnsi="仿宋" w:eastAsia="仿宋" w:cs="仿宋"/>
                <w:sz w:val="24"/>
                <w:szCs w:val="24"/>
              </w:rPr>
            </w:pPr>
            <w:r>
              <w:rPr>
                <w:rFonts w:hint="eastAsia" w:ascii="仿宋" w:hAnsi="仿宋" w:eastAsia="仿宋" w:cs="仿宋"/>
                <w:sz w:val="24"/>
                <w:szCs w:val="24"/>
              </w:rPr>
              <w:t>40%</w:t>
            </w:r>
          </w:p>
        </w:tc>
      </w:tr>
      <w:tr w14:paraId="3B382F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724" w:type="dxa"/>
            <w:tcBorders>
              <w:top w:val="single" w:color="auto" w:sz="6" w:space="0"/>
              <w:left w:val="double" w:color="auto" w:sz="4" w:space="0"/>
              <w:bottom w:val="single" w:color="auto" w:sz="6" w:space="0"/>
              <w:right w:val="single" w:color="auto" w:sz="6" w:space="0"/>
            </w:tcBorders>
            <w:noWrap w:val="0"/>
            <w:vAlign w:val="center"/>
          </w:tcPr>
          <w:p w14:paraId="58C16F54">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3</w:t>
            </w:r>
          </w:p>
        </w:tc>
        <w:tc>
          <w:tcPr>
            <w:tcW w:w="4705" w:type="dxa"/>
            <w:tcBorders>
              <w:top w:val="single" w:color="auto" w:sz="6" w:space="0"/>
              <w:left w:val="single" w:color="auto" w:sz="6" w:space="0"/>
              <w:bottom w:val="single" w:color="auto" w:sz="6" w:space="0"/>
              <w:right w:val="single" w:color="auto" w:sz="6" w:space="0"/>
            </w:tcBorders>
            <w:noWrap w:val="0"/>
            <w:vAlign w:val="center"/>
          </w:tcPr>
          <w:p w14:paraId="118F2ACE">
            <w:pPr>
              <w:jc w:val="center"/>
              <w:rPr>
                <w:rFonts w:hint="eastAsia" w:ascii="仿宋" w:hAnsi="仿宋" w:eastAsia="仿宋" w:cs="仿宋"/>
                <w:sz w:val="24"/>
                <w:szCs w:val="24"/>
                <w:lang w:val="ru-RU"/>
              </w:rPr>
            </w:pPr>
            <w:r>
              <w:rPr>
                <w:rFonts w:hint="eastAsia" w:ascii="仿宋" w:hAnsi="仿宋" w:eastAsia="仿宋" w:cs="仿宋"/>
                <w:sz w:val="24"/>
                <w:szCs w:val="24"/>
                <w:lang w:val="ru-RU"/>
              </w:rPr>
              <w:t>商务（A3）</w:t>
            </w:r>
          </w:p>
        </w:tc>
        <w:tc>
          <w:tcPr>
            <w:tcW w:w="3439" w:type="dxa"/>
            <w:tcBorders>
              <w:top w:val="single" w:color="auto" w:sz="6" w:space="0"/>
              <w:left w:val="single" w:color="auto" w:sz="6" w:space="0"/>
              <w:bottom w:val="single" w:color="auto" w:sz="6" w:space="0"/>
              <w:right w:val="double" w:color="auto" w:sz="4" w:space="0"/>
            </w:tcBorders>
            <w:noWrap w:val="0"/>
            <w:vAlign w:val="center"/>
          </w:tcPr>
          <w:p w14:paraId="2EE02E85">
            <w:pPr>
              <w:jc w:val="center"/>
              <w:rPr>
                <w:rFonts w:hint="eastAsia" w:ascii="仿宋" w:hAnsi="仿宋" w:eastAsia="仿宋" w:cs="仿宋"/>
                <w:sz w:val="24"/>
                <w:szCs w:val="24"/>
              </w:rPr>
            </w:pPr>
            <w:r>
              <w:rPr>
                <w:rFonts w:hint="eastAsia" w:ascii="仿宋" w:hAnsi="仿宋" w:eastAsia="仿宋" w:cs="仿宋"/>
                <w:sz w:val="24"/>
                <w:szCs w:val="24"/>
              </w:rPr>
              <w:t>10%</w:t>
            </w:r>
          </w:p>
        </w:tc>
      </w:tr>
      <w:tr w14:paraId="170FAB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5429" w:type="dxa"/>
            <w:gridSpan w:val="2"/>
            <w:tcBorders>
              <w:top w:val="single" w:color="auto" w:sz="6" w:space="0"/>
              <w:left w:val="double" w:color="auto" w:sz="4" w:space="0"/>
              <w:bottom w:val="double" w:color="auto" w:sz="4" w:space="0"/>
              <w:right w:val="single" w:color="auto" w:sz="6" w:space="0"/>
            </w:tcBorders>
            <w:noWrap w:val="0"/>
            <w:vAlign w:val="center"/>
          </w:tcPr>
          <w:p w14:paraId="5D2BDF29">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rPr>
              <w:t>合计</w:t>
            </w:r>
          </w:p>
        </w:tc>
        <w:tc>
          <w:tcPr>
            <w:tcW w:w="3439" w:type="dxa"/>
            <w:tcBorders>
              <w:top w:val="single" w:color="auto" w:sz="6" w:space="0"/>
              <w:left w:val="single" w:color="auto" w:sz="6" w:space="0"/>
              <w:bottom w:val="double" w:color="auto" w:sz="4" w:space="0"/>
              <w:right w:val="double" w:color="auto" w:sz="4" w:space="0"/>
            </w:tcBorders>
            <w:noWrap w:val="0"/>
            <w:vAlign w:val="center"/>
          </w:tcPr>
          <w:p w14:paraId="665494A7">
            <w:pPr>
              <w:jc w:val="center"/>
              <w:rPr>
                <w:rFonts w:hint="eastAsia" w:ascii="仿宋" w:hAnsi="仿宋" w:eastAsia="仿宋" w:cs="仿宋"/>
                <w:sz w:val="24"/>
                <w:szCs w:val="24"/>
              </w:rPr>
            </w:pPr>
            <w:r>
              <w:rPr>
                <w:rFonts w:hint="eastAsia" w:ascii="仿宋" w:hAnsi="仿宋" w:eastAsia="仿宋" w:cs="仿宋"/>
                <w:sz w:val="24"/>
                <w:szCs w:val="24"/>
              </w:rPr>
              <w:t>1</w:t>
            </w:r>
          </w:p>
        </w:tc>
      </w:tr>
    </w:tbl>
    <w:p w14:paraId="33DADF36">
      <w:pPr>
        <w:jc w:val="center"/>
        <w:rPr>
          <w:rFonts w:hint="eastAsia" w:ascii="仿宋" w:hAnsi="仿宋" w:eastAsia="仿宋" w:cs="仿宋"/>
          <w:sz w:val="24"/>
          <w:szCs w:val="24"/>
        </w:rPr>
      </w:pPr>
      <w:r>
        <w:rPr>
          <w:rFonts w:hint="eastAsia" w:ascii="仿宋" w:hAnsi="仿宋" w:eastAsia="仿宋" w:cs="仿宋"/>
          <w:sz w:val="24"/>
          <w:szCs w:val="24"/>
        </w:rPr>
        <w:t>附表1.1投标报价评审标准表</w:t>
      </w:r>
    </w:p>
    <w:tbl>
      <w:tblPr>
        <w:tblStyle w:val="10"/>
        <w:tblW w:w="891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2"/>
        <w:gridCol w:w="2159"/>
        <w:gridCol w:w="6249"/>
      </w:tblGrid>
      <w:tr w14:paraId="423DB7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2" w:type="dxa"/>
            <w:tcBorders>
              <w:top w:val="double" w:color="auto" w:sz="4" w:space="0"/>
              <w:left w:val="double" w:color="auto" w:sz="4" w:space="0"/>
              <w:bottom w:val="single" w:color="auto" w:sz="6" w:space="0"/>
              <w:right w:val="single" w:color="auto" w:sz="4" w:space="0"/>
            </w:tcBorders>
            <w:noWrap w:val="0"/>
            <w:vAlign w:val="center"/>
          </w:tcPr>
          <w:p w14:paraId="1B0455E2">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2159" w:type="dxa"/>
            <w:tcBorders>
              <w:top w:val="double" w:color="auto" w:sz="4" w:space="0"/>
              <w:left w:val="single" w:color="auto" w:sz="4" w:space="0"/>
              <w:bottom w:val="single" w:color="auto" w:sz="6" w:space="0"/>
              <w:right w:val="single" w:color="auto" w:sz="4" w:space="0"/>
            </w:tcBorders>
            <w:noWrap w:val="0"/>
            <w:vAlign w:val="center"/>
          </w:tcPr>
          <w:p w14:paraId="63431F5F">
            <w:pPr>
              <w:jc w:val="center"/>
              <w:rPr>
                <w:rFonts w:hint="eastAsia" w:ascii="仿宋" w:hAnsi="仿宋" w:eastAsia="仿宋" w:cs="仿宋"/>
                <w:sz w:val="24"/>
                <w:szCs w:val="24"/>
              </w:rPr>
            </w:pPr>
            <w:r>
              <w:rPr>
                <w:rFonts w:hint="eastAsia" w:ascii="仿宋" w:hAnsi="仿宋" w:eastAsia="仿宋" w:cs="仿宋"/>
                <w:sz w:val="24"/>
                <w:szCs w:val="24"/>
              </w:rPr>
              <w:t>评标因素（分值）</w:t>
            </w:r>
          </w:p>
        </w:tc>
        <w:tc>
          <w:tcPr>
            <w:tcW w:w="6249" w:type="dxa"/>
            <w:tcBorders>
              <w:top w:val="double" w:color="auto" w:sz="4" w:space="0"/>
              <w:left w:val="single" w:color="auto" w:sz="4" w:space="0"/>
              <w:bottom w:val="single" w:color="auto" w:sz="6" w:space="0"/>
              <w:right w:val="double" w:color="auto" w:sz="4" w:space="0"/>
            </w:tcBorders>
            <w:noWrap w:val="0"/>
            <w:vAlign w:val="center"/>
          </w:tcPr>
          <w:p w14:paraId="108F38D1">
            <w:pPr>
              <w:jc w:val="center"/>
              <w:rPr>
                <w:rFonts w:hint="eastAsia" w:ascii="仿宋" w:hAnsi="仿宋" w:eastAsia="仿宋" w:cs="仿宋"/>
                <w:sz w:val="24"/>
                <w:szCs w:val="24"/>
              </w:rPr>
            </w:pPr>
            <w:r>
              <w:rPr>
                <w:rFonts w:hint="eastAsia" w:ascii="仿宋" w:hAnsi="仿宋" w:eastAsia="仿宋" w:cs="仿宋"/>
                <w:sz w:val="24"/>
                <w:szCs w:val="24"/>
              </w:rPr>
              <w:t>评标标准</w:t>
            </w:r>
          </w:p>
        </w:tc>
      </w:tr>
      <w:tr w14:paraId="7AB5E7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502" w:type="dxa"/>
            <w:tcBorders>
              <w:top w:val="single" w:color="auto" w:sz="6" w:space="0"/>
              <w:left w:val="double" w:color="auto" w:sz="4" w:space="0"/>
              <w:bottom w:val="single" w:color="auto" w:sz="6" w:space="0"/>
              <w:right w:val="single" w:color="auto" w:sz="4" w:space="0"/>
            </w:tcBorders>
            <w:noWrap w:val="0"/>
            <w:vAlign w:val="center"/>
          </w:tcPr>
          <w:p w14:paraId="741B3036">
            <w:pPr>
              <w:jc w:val="center"/>
              <w:rPr>
                <w:rFonts w:hint="eastAsia" w:ascii="仿宋" w:hAnsi="仿宋" w:eastAsia="仿宋" w:cs="仿宋"/>
                <w:sz w:val="24"/>
                <w:szCs w:val="24"/>
              </w:rPr>
            </w:pPr>
            <w:r>
              <w:rPr>
                <w:rFonts w:hint="eastAsia" w:ascii="仿宋" w:hAnsi="仿宋" w:eastAsia="仿宋" w:cs="仿宋"/>
                <w:sz w:val="24"/>
                <w:szCs w:val="24"/>
              </w:rPr>
              <w:t>1</w:t>
            </w:r>
          </w:p>
        </w:tc>
        <w:tc>
          <w:tcPr>
            <w:tcW w:w="2159" w:type="dxa"/>
            <w:tcBorders>
              <w:top w:val="single" w:color="auto" w:sz="6" w:space="0"/>
              <w:left w:val="single" w:color="auto" w:sz="4" w:space="0"/>
              <w:bottom w:val="single" w:color="auto" w:sz="6" w:space="0"/>
              <w:right w:val="single" w:color="auto" w:sz="4" w:space="0"/>
            </w:tcBorders>
            <w:noWrap w:val="0"/>
            <w:vAlign w:val="center"/>
          </w:tcPr>
          <w:p w14:paraId="30BC638F">
            <w:pPr>
              <w:jc w:val="center"/>
              <w:rPr>
                <w:rFonts w:hint="eastAsia" w:ascii="仿宋" w:hAnsi="仿宋" w:eastAsia="仿宋" w:cs="仿宋"/>
                <w:sz w:val="24"/>
                <w:szCs w:val="24"/>
              </w:rPr>
            </w:pPr>
            <w:r>
              <w:rPr>
                <w:rFonts w:hint="eastAsia" w:ascii="仿宋" w:hAnsi="仿宋" w:eastAsia="仿宋" w:cs="仿宋"/>
                <w:sz w:val="24"/>
                <w:szCs w:val="24"/>
              </w:rPr>
              <w:t>价格评价项</w:t>
            </w:r>
          </w:p>
          <w:p w14:paraId="16E77178">
            <w:pPr>
              <w:jc w:val="center"/>
              <w:rPr>
                <w:rFonts w:hint="eastAsia" w:ascii="仿宋" w:hAnsi="仿宋" w:eastAsia="仿宋" w:cs="仿宋"/>
                <w:sz w:val="24"/>
                <w:szCs w:val="24"/>
              </w:rPr>
            </w:pPr>
            <w:r>
              <w:rPr>
                <w:rFonts w:hint="eastAsia" w:ascii="仿宋" w:hAnsi="仿宋" w:eastAsia="仿宋" w:cs="仿宋"/>
                <w:sz w:val="24"/>
                <w:szCs w:val="24"/>
              </w:rPr>
              <w:t>（F=100分）</w:t>
            </w:r>
          </w:p>
        </w:tc>
        <w:tc>
          <w:tcPr>
            <w:tcW w:w="6249" w:type="dxa"/>
            <w:tcBorders>
              <w:top w:val="single" w:color="auto" w:sz="6" w:space="0"/>
              <w:left w:val="single" w:color="auto" w:sz="4" w:space="0"/>
              <w:bottom w:val="single" w:color="auto" w:sz="6" w:space="0"/>
              <w:right w:val="double" w:color="auto" w:sz="4" w:space="0"/>
            </w:tcBorders>
            <w:noWrap w:val="0"/>
            <w:vAlign w:val="center"/>
          </w:tcPr>
          <w:p w14:paraId="63279F09">
            <w:pPr>
              <w:jc w:val="left"/>
              <w:rPr>
                <w:rFonts w:hint="eastAsia" w:ascii="仿宋" w:hAnsi="仿宋" w:eastAsia="仿宋" w:cs="仿宋"/>
                <w:sz w:val="24"/>
                <w:szCs w:val="24"/>
              </w:rPr>
            </w:pPr>
            <w:r>
              <w:rPr>
                <w:rFonts w:hint="eastAsia" w:ascii="仿宋" w:hAnsi="仿宋" w:eastAsia="仿宋" w:cs="仿宋"/>
                <w:sz w:val="24"/>
                <w:szCs w:val="24"/>
              </w:rPr>
              <w:t>1、投标报价调整（扶持中小企业发展优惠政策、监狱企业、残疾人福利性单位优惠政策）：本项目的具体扣除比例详见第二章。</w:t>
            </w:r>
          </w:p>
          <w:p w14:paraId="277AAA12">
            <w:pPr>
              <w:jc w:val="left"/>
              <w:rPr>
                <w:rFonts w:hint="eastAsia" w:ascii="仿宋" w:hAnsi="仿宋" w:eastAsia="仿宋" w:cs="仿宋"/>
                <w:sz w:val="24"/>
                <w:szCs w:val="24"/>
              </w:rPr>
            </w:pPr>
            <w:r>
              <w:rPr>
                <w:rFonts w:hint="eastAsia" w:ascii="仿宋" w:hAnsi="仿宋" w:eastAsia="仿宋" w:cs="仿宋"/>
                <w:sz w:val="24"/>
                <w:szCs w:val="24"/>
              </w:rPr>
              <w:t>2、满足招标文件要求且投标报价中最低的投标报价为评标基准价其价格分为满分；其他投标人的价格分统一按照以下公式计算：</w:t>
            </w:r>
          </w:p>
          <w:p w14:paraId="382993C6">
            <w:pPr>
              <w:jc w:val="left"/>
              <w:rPr>
                <w:rFonts w:hint="eastAsia" w:ascii="仿宋" w:hAnsi="仿宋" w:eastAsia="仿宋" w:cs="仿宋"/>
                <w:sz w:val="24"/>
                <w:szCs w:val="24"/>
              </w:rPr>
            </w:pPr>
            <w:r>
              <w:rPr>
                <w:rFonts w:hint="eastAsia" w:ascii="仿宋" w:hAnsi="仿宋" w:eastAsia="仿宋" w:cs="仿宋"/>
                <w:sz w:val="24"/>
                <w:szCs w:val="24"/>
              </w:rPr>
              <w:t>投标报价得分=（评标基准价/投标报价）×价格权值×100</w:t>
            </w:r>
          </w:p>
          <w:p w14:paraId="6E82FE21">
            <w:pPr>
              <w:jc w:val="left"/>
              <w:rPr>
                <w:rFonts w:hint="eastAsia" w:ascii="仿宋" w:hAnsi="仿宋" w:eastAsia="仿宋" w:cs="仿宋"/>
                <w:sz w:val="24"/>
                <w:szCs w:val="24"/>
              </w:rPr>
            </w:pPr>
            <w:r>
              <w:rPr>
                <w:rFonts w:hint="eastAsia" w:ascii="仿宋" w:hAnsi="仿宋" w:eastAsia="仿宋" w:cs="仿宋"/>
                <w:sz w:val="24"/>
                <w:szCs w:val="24"/>
              </w:rPr>
              <w:t>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B0BA615">
            <w:pPr>
              <w:jc w:val="left"/>
              <w:rPr>
                <w:rFonts w:hint="eastAsia" w:ascii="仿宋" w:hAnsi="仿宋" w:eastAsia="仿宋" w:cs="仿宋"/>
                <w:sz w:val="24"/>
                <w:szCs w:val="24"/>
              </w:rPr>
            </w:pPr>
            <w:r>
              <w:rPr>
                <w:rFonts w:hint="eastAsia" w:ascii="仿宋" w:hAnsi="仿宋" w:eastAsia="仿宋" w:cs="仿宋"/>
                <w:sz w:val="24"/>
                <w:szCs w:val="24"/>
              </w:rPr>
              <w:t>4、最终投标价以人民币元为单位，计算保留至小数点后2位（百分比亦然），小数点后第3位采取4舍5入</w:t>
            </w:r>
          </w:p>
        </w:tc>
      </w:tr>
      <w:tr w14:paraId="18DA18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502" w:type="dxa"/>
            <w:tcBorders>
              <w:top w:val="single" w:color="auto" w:sz="6" w:space="0"/>
              <w:left w:val="double" w:color="auto" w:sz="4" w:space="0"/>
              <w:bottom w:val="single" w:color="auto" w:sz="6" w:space="0"/>
              <w:right w:val="single" w:color="auto" w:sz="4" w:space="0"/>
            </w:tcBorders>
            <w:noWrap w:val="0"/>
            <w:vAlign w:val="center"/>
          </w:tcPr>
          <w:p w14:paraId="3B3EC757">
            <w:pPr>
              <w:jc w:val="center"/>
              <w:rPr>
                <w:rFonts w:hint="eastAsia" w:ascii="仿宋" w:hAnsi="仿宋" w:eastAsia="仿宋" w:cs="仿宋"/>
                <w:sz w:val="24"/>
                <w:szCs w:val="24"/>
              </w:rPr>
            </w:pPr>
            <w:r>
              <w:rPr>
                <w:rFonts w:hint="eastAsia" w:ascii="仿宋" w:hAnsi="仿宋" w:eastAsia="仿宋" w:cs="仿宋"/>
                <w:sz w:val="24"/>
                <w:szCs w:val="24"/>
              </w:rPr>
              <w:t>2</w:t>
            </w:r>
          </w:p>
        </w:tc>
        <w:tc>
          <w:tcPr>
            <w:tcW w:w="2159" w:type="dxa"/>
            <w:tcBorders>
              <w:top w:val="single" w:color="auto" w:sz="6" w:space="0"/>
              <w:left w:val="single" w:color="auto" w:sz="4" w:space="0"/>
              <w:bottom w:val="single" w:color="auto" w:sz="6" w:space="0"/>
              <w:right w:val="single" w:color="auto" w:sz="6" w:space="0"/>
            </w:tcBorders>
            <w:noWrap w:val="0"/>
            <w:vAlign w:val="center"/>
          </w:tcPr>
          <w:p w14:paraId="286CBB6F">
            <w:pPr>
              <w:jc w:val="center"/>
              <w:rPr>
                <w:rFonts w:hint="eastAsia" w:ascii="仿宋" w:hAnsi="仿宋" w:eastAsia="仿宋" w:cs="仿宋"/>
                <w:sz w:val="24"/>
                <w:szCs w:val="24"/>
              </w:rPr>
            </w:pPr>
            <w:r>
              <w:rPr>
                <w:rFonts w:hint="eastAsia" w:ascii="仿宋" w:hAnsi="仿宋" w:eastAsia="仿宋" w:cs="仿宋"/>
                <w:sz w:val="24"/>
                <w:szCs w:val="24"/>
              </w:rPr>
              <w:t>优先采购加分（F优先采购加分）</w:t>
            </w:r>
          </w:p>
        </w:tc>
        <w:tc>
          <w:tcPr>
            <w:tcW w:w="6249" w:type="dxa"/>
            <w:tcBorders>
              <w:top w:val="single" w:color="auto" w:sz="6" w:space="0"/>
              <w:left w:val="single" w:color="auto" w:sz="6" w:space="0"/>
              <w:bottom w:val="single" w:color="auto" w:sz="4" w:space="0"/>
              <w:right w:val="double" w:color="auto" w:sz="4" w:space="0"/>
            </w:tcBorders>
            <w:noWrap w:val="0"/>
            <w:vAlign w:val="center"/>
          </w:tcPr>
          <w:p w14:paraId="56A333A2">
            <w:pPr>
              <w:jc w:val="left"/>
              <w:rPr>
                <w:rFonts w:hint="eastAsia" w:ascii="仿宋" w:hAnsi="仿宋" w:eastAsia="仿宋" w:cs="仿宋"/>
                <w:sz w:val="24"/>
                <w:szCs w:val="24"/>
              </w:rPr>
            </w:pPr>
            <w:r>
              <w:rPr>
                <w:rFonts w:hint="eastAsia" w:ascii="仿宋" w:hAnsi="仿宋" w:eastAsia="仿宋" w:cs="仿宋"/>
                <w:sz w:val="24"/>
                <w:szCs w:val="24"/>
              </w:rPr>
              <w:t>节能产品或环境标志产品加分(此仅限于节能产品或环境标志政府采购品目清单内产品，不是品目清单内的产品，在评审时不予以考虑)：</w:t>
            </w:r>
          </w:p>
          <w:p w14:paraId="67A95D47">
            <w:pPr>
              <w:jc w:val="left"/>
              <w:rPr>
                <w:rFonts w:hint="eastAsia" w:ascii="仿宋" w:hAnsi="仿宋" w:eastAsia="仿宋" w:cs="仿宋"/>
                <w:sz w:val="24"/>
                <w:szCs w:val="24"/>
              </w:rPr>
            </w:pPr>
            <w:r>
              <w:rPr>
                <w:rFonts w:hint="eastAsia" w:ascii="仿宋" w:hAnsi="仿宋" w:eastAsia="仿宋" w:cs="仿宋"/>
                <w:sz w:val="24"/>
                <w:szCs w:val="24"/>
              </w:rPr>
              <w:t>所投节能产品或环境标志产品的价格</w:t>
            </w:r>
          </w:p>
          <w:p w14:paraId="116983DA">
            <w:pPr>
              <w:jc w:val="left"/>
              <w:rPr>
                <w:rFonts w:hint="eastAsia" w:ascii="仿宋" w:hAnsi="仿宋" w:eastAsia="仿宋" w:cs="仿宋"/>
                <w:sz w:val="24"/>
                <w:szCs w:val="24"/>
              </w:rPr>
            </w:pPr>
            <w:r>
              <w:rPr>
                <w:rFonts w:hint="eastAsia" w:ascii="仿宋" w:hAnsi="仿宋" w:eastAsia="仿宋" w:cs="仿宋"/>
                <w:sz w:val="24"/>
                <w:szCs w:val="24"/>
              </w:rPr>
              <w:t>————————×价格权值×100×本项目加分比例= 应加分数</w:t>
            </w:r>
          </w:p>
          <w:p w14:paraId="4FE368D9">
            <w:pPr>
              <w:jc w:val="left"/>
              <w:rPr>
                <w:rFonts w:hint="eastAsia" w:ascii="仿宋" w:hAnsi="仿宋" w:eastAsia="仿宋" w:cs="仿宋"/>
                <w:sz w:val="24"/>
                <w:szCs w:val="24"/>
              </w:rPr>
            </w:pPr>
            <w:r>
              <w:rPr>
                <w:rFonts w:hint="eastAsia" w:ascii="仿宋" w:hAnsi="仿宋" w:eastAsia="仿宋" w:cs="仿宋"/>
                <w:sz w:val="24"/>
                <w:szCs w:val="24"/>
              </w:rPr>
              <w:t>项目总价格</w:t>
            </w:r>
          </w:p>
          <w:p w14:paraId="2B20DE24">
            <w:pPr>
              <w:jc w:val="left"/>
              <w:rPr>
                <w:rFonts w:hint="eastAsia" w:ascii="仿宋" w:hAnsi="仿宋" w:eastAsia="仿宋" w:cs="仿宋"/>
                <w:sz w:val="24"/>
                <w:szCs w:val="24"/>
              </w:rPr>
            </w:pPr>
            <w:r>
              <w:rPr>
                <w:rFonts w:hint="eastAsia" w:ascii="仿宋" w:hAnsi="仿宋" w:eastAsia="仿宋" w:cs="仿宋"/>
                <w:sz w:val="24"/>
                <w:szCs w:val="24"/>
              </w:rPr>
              <w:t>注：整包中某一品目为节能、环境标志政府采购品目清单内产品时只对该品目报价加分，并合计到报价最终得分。</w:t>
            </w:r>
          </w:p>
        </w:tc>
      </w:tr>
      <w:tr w14:paraId="673F42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502" w:type="dxa"/>
            <w:tcBorders>
              <w:top w:val="single" w:color="auto" w:sz="6" w:space="0"/>
              <w:left w:val="double" w:color="auto" w:sz="4" w:space="0"/>
              <w:bottom w:val="double" w:color="auto" w:sz="4" w:space="0"/>
              <w:right w:val="single" w:color="auto" w:sz="4" w:space="0"/>
            </w:tcBorders>
            <w:noWrap w:val="0"/>
            <w:vAlign w:val="center"/>
          </w:tcPr>
          <w:p w14:paraId="43E17317">
            <w:pPr>
              <w:jc w:val="center"/>
              <w:rPr>
                <w:rFonts w:hint="eastAsia" w:ascii="仿宋" w:hAnsi="仿宋" w:eastAsia="仿宋" w:cs="仿宋"/>
                <w:sz w:val="24"/>
                <w:szCs w:val="24"/>
              </w:rPr>
            </w:pPr>
            <w:r>
              <w:rPr>
                <w:rFonts w:hint="eastAsia" w:ascii="仿宋" w:hAnsi="仿宋" w:eastAsia="仿宋" w:cs="仿宋"/>
                <w:sz w:val="24"/>
                <w:szCs w:val="24"/>
              </w:rPr>
              <w:t>∑</w:t>
            </w:r>
          </w:p>
        </w:tc>
        <w:tc>
          <w:tcPr>
            <w:tcW w:w="8408" w:type="dxa"/>
            <w:gridSpan w:val="2"/>
            <w:tcBorders>
              <w:top w:val="single" w:color="auto" w:sz="6" w:space="0"/>
              <w:left w:val="single" w:color="auto" w:sz="4" w:space="0"/>
              <w:bottom w:val="double" w:color="auto" w:sz="4" w:space="0"/>
              <w:right w:val="double" w:color="auto" w:sz="4" w:space="0"/>
            </w:tcBorders>
            <w:noWrap w:val="0"/>
            <w:vAlign w:val="center"/>
          </w:tcPr>
          <w:p w14:paraId="53103E24">
            <w:pPr>
              <w:jc w:val="left"/>
              <w:rPr>
                <w:rFonts w:hint="eastAsia" w:ascii="仿宋" w:hAnsi="仿宋" w:eastAsia="仿宋" w:cs="仿宋"/>
                <w:sz w:val="24"/>
                <w:szCs w:val="24"/>
              </w:rPr>
            </w:pPr>
            <w:r>
              <w:rPr>
                <w:rFonts w:hint="eastAsia" w:ascii="仿宋" w:hAnsi="仿宋" w:eastAsia="仿宋" w:cs="仿宋"/>
                <w:sz w:val="24"/>
                <w:szCs w:val="24"/>
              </w:rPr>
              <w:t>F1=F+ F优先采购加分</w:t>
            </w:r>
          </w:p>
        </w:tc>
      </w:tr>
    </w:tbl>
    <w:p w14:paraId="29D6D6CC">
      <w:pPr>
        <w:jc w:val="center"/>
        <w:rPr>
          <w:rFonts w:hint="eastAsia" w:ascii="仿宋" w:hAnsi="仿宋" w:eastAsia="仿宋" w:cs="仿宋"/>
          <w:sz w:val="24"/>
          <w:szCs w:val="24"/>
        </w:rPr>
      </w:pPr>
    </w:p>
    <w:p w14:paraId="7EAB5543">
      <w:pPr>
        <w:jc w:val="center"/>
        <w:rPr>
          <w:rFonts w:hint="eastAsia" w:ascii="仿宋" w:hAnsi="仿宋" w:eastAsia="仿宋" w:cs="仿宋"/>
          <w:sz w:val="24"/>
          <w:szCs w:val="24"/>
        </w:rPr>
      </w:pPr>
    </w:p>
    <w:p w14:paraId="5DE4AB9C">
      <w:pPr>
        <w:jc w:val="center"/>
        <w:rPr>
          <w:rFonts w:hint="eastAsia" w:ascii="仿宋" w:hAnsi="仿宋" w:eastAsia="仿宋" w:cs="仿宋"/>
          <w:sz w:val="24"/>
          <w:szCs w:val="24"/>
        </w:rPr>
      </w:pPr>
    </w:p>
    <w:p w14:paraId="614BF351">
      <w:pPr>
        <w:jc w:val="center"/>
        <w:rPr>
          <w:rFonts w:hint="eastAsia" w:ascii="仿宋" w:hAnsi="仿宋" w:eastAsia="仿宋" w:cs="仿宋"/>
          <w:sz w:val="24"/>
          <w:szCs w:val="24"/>
        </w:rPr>
      </w:pPr>
    </w:p>
    <w:p w14:paraId="03133162">
      <w:pPr>
        <w:jc w:val="center"/>
        <w:rPr>
          <w:rFonts w:hint="eastAsia" w:ascii="仿宋" w:hAnsi="仿宋" w:eastAsia="仿宋" w:cs="仿宋"/>
          <w:sz w:val="24"/>
          <w:szCs w:val="24"/>
        </w:rPr>
      </w:pPr>
    </w:p>
    <w:p w14:paraId="1554B452">
      <w:pPr>
        <w:jc w:val="center"/>
        <w:rPr>
          <w:rFonts w:hint="eastAsia" w:ascii="仿宋" w:hAnsi="仿宋" w:eastAsia="仿宋" w:cs="仿宋"/>
          <w:sz w:val="24"/>
          <w:szCs w:val="24"/>
        </w:rPr>
      </w:pPr>
      <w:r>
        <w:rPr>
          <w:rFonts w:hint="eastAsia" w:ascii="仿宋" w:hAnsi="仿宋" w:eastAsia="仿宋" w:cs="仿宋"/>
          <w:sz w:val="24"/>
          <w:szCs w:val="24"/>
        </w:rPr>
        <w:br w:type="page"/>
      </w:r>
    </w:p>
    <w:p w14:paraId="5F766B0E">
      <w:pPr>
        <w:jc w:val="center"/>
        <w:rPr>
          <w:rFonts w:hint="eastAsia" w:ascii="仿宋" w:hAnsi="仿宋" w:eastAsia="仿宋" w:cs="仿宋"/>
          <w:sz w:val="24"/>
          <w:szCs w:val="24"/>
        </w:rPr>
      </w:pPr>
      <w:r>
        <w:rPr>
          <w:rFonts w:hint="eastAsia" w:ascii="仿宋" w:hAnsi="仿宋" w:eastAsia="仿宋" w:cs="仿宋"/>
          <w:sz w:val="24"/>
          <w:szCs w:val="24"/>
        </w:rPr>
        <w:t>附表1.2技术部分评审标准表</w:t>
      </w:r>
    </w:p>
    <w:tbl>
      <w:tblPr>
        <w:tblStyle w:val="10"/>
        <w:tblW w:w="89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3"/>
        <w:gridCol w:w="2160"/>
        <w:gridCol w:w="773"/>
        <w:gridCol w:w="772"/>
        <w:gridCol w:w="4732"/>
      </w:tblGrid>
      <w:tr w14:paraId="68C4F3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3" w:type="dxa"/>
            <w:tcBorders>
              <w:top w:val="double" w:color="auto" w:sz="4" w:space="0"/>
              <w:left w:val="double" w:color="auto" w:sz="4" w:space="0"/>
              <w:bottom w:val="single" w:color="auto" w:sz="6" w:space="0"/>
              <w:right w:val="single" w:color="auto" w:sz="4" w:space="0"/>
            </w:tcBorders>
            <w:noWrap w:val="0"/>
            <w:vAlign w:val="center"/>
          </w:tcPr>
          <w:p w14:paraId="02784703">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2160" w:type="dxa"/>
            <w:tcBorders>
              <w:top w:val="double" w:color="auto" w:sz="4" w:space="0"/>
              <w:left w:val="single" w:color="auto" w:sz="4" w:space="0"/>
              <w:bottom w:val="single" w:color="auto" w:sz="6" w:space="0"/>
              <w:right w:val="single" w:color="auto" w:sz="4" w:space="0"/>
            </w:tcBorders>
            <w:noWrap w:val="0"/>
            <w:vAlign w:val="center"/>
          </w:tcPr>
          <w:p w14:paraId="2FEA214F">
            <w:pPr>
              <w:jc w:val="center"/>
              <w:rPr>
                <w:rFonts w:hint="eastAsia" w:ascii="仿宋" w:hAnsi="仿宋" w:eastAsia="仿宋" w:cs="仿宋"/>
                <w:sz w:val="24"/>
                <w:szCs w:val="24"/>
              </w:rPr>
            </w:pPr>
            <w:r>
              <w:rPr>
                <w:rFonts w:hint="eastAsia" w:ascii="仿宋" w:hAnsi="仿宋" w:eastAsia="仿宋" w:cs="仿宋"/>
                <w:sz w:val="24"/>
                <w:szCs w:val="24"/>
              </w:rPr>
              <w:t>评标因素（分值）</w:t>
            </w:r>
          </w:p>
        </w:tc>
        <w:tc>
          <w:tcPr>
            <w:tcW w:w="6277" w:type="dxa"/>
            <w:gridSpan w:val="3"/>
            <w:tcBorders>
              <w:top w:val="double" w:color="auto" w:sz="4" w:space="0"/>
              <w:left w:val="single" w:color="auto" w:sz="4" w:space="0"/>
              <w:bottom w:val="single" w:color="auto" w:sz="6" w:space="0"/>
              <w:right w:val="double" w:color="auto" w:sz="4" w:space="0"/>
            </w:tcBorders>
            <w:noWrap w:val="0"/>
            <w:vAlign w:val="center"/>
          </w:tcPr>
          <w:p w14:paraId="25D71E13">
            <w:pPr>
              <w:jc w:val="center"/>
              <w:rPr>
                <w:rFonts w:hint="eastAsia" w:ascii="仿宋" w:hAnsi="仿宋" w:eastAsia="仿宋" w:cs="仿宋"/>
                <w:sz w:val="24"/>
                <w:szCs w:val="24"/>
              </w:rPr>
            </w:pPr>
            <w:r>
              <w:rPr>
                <w:rFonts w:hint="eastAsia" w:ascii="仿宋" w:hAnsi="仿宋" w:eastAsia="仿宋" w:cs="仿宋"/>
                <w:sz w:val="24"/>
                <w:szCs w:val="24"/>
              </w:rPr>
              <w:t>评标标准</w:t>
            </w:r>
          </w:p>
        </w:tc>
      </w:tr>
      <w:tr w14:paraId="796E01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503" w:type="dxa"/>
            <w:tcBorders>
              <w:top w:val="single" w:color="auto" w:sz="6" w:space="0"/>
              <w:left w:val="double" w:color="auto" w:sz="4" w:space="0"/>
              <w:bottom w:val="single" w:color="auto" w:sz="6" w:space="0"/>
              <w:right w:val="single" w:color="auto" w:sz="4" w:space="0"/>
            </w:tcBorders>
            <w:noWrap w:val="0"/>
            <w:vAlign w:val="center"/>
          </w:tcPr>
          <w:p w14:paraId="67B4B751">
            <w:pPr>
              <w:jc w:val="center"/>
              <w:rPr>
                <w:rFonts w:hint="eastAsia" w:ascii="仿宋" w:hAnsi="仿宋" w:eastAsia="仿宋" w:cs="仿宋"/>
                <w:sz w:val="24"/>
                <w:szCs w:val="24"/>
              </w:rPr>
            </w:pPr>
            <w:r>
              <w:rPr>
                <w:rFonts w:hint="eastAsia" w:ascii="仿宋" w:hAnsi="仿宋" w:eastAsia="仿宋" w:cs="仿宋"/>
                <w:sz w:val="24"/>
                <w:szCs w:val="24"/>
              </w:rPr>
              <w:t>1</w:t>
            </w:r>
          </w:p>
        </w:tc>
        <w:tc>
          <w:tcPr>
            <w:tcW w:w="2160" w:type="dxa"/>
            <w:tcBorders>
              <w:top w:val="single" w:color="auto" w:sz="6" w:space="0"/>
              <w:left w:val="single" w:color="auto" w:sz="4" w:space="0"/>
              <w:bottom w:val="single" w:color="auto" w:sz="6" w:space="0"/>
              <w:right w:val="single" w:color="auto" w:sz="6" w:space="0"/>
            </w:tcBorders>
            <w:noWrap w:val="0"/>
            <w:vAlign w:val="center"/>
          </w:tcPr>
          <w:p w14:paraId="12DB6FE3">
            <w:pPr>
              <w:jc w:val="center"/>
              <w:rPr>
                <w:rFonts w:hint="eastAsia" w:ascii="仿宋" w:hAnsi="仿宋" w:eastAsia="仿宋" w:cs="仿宋"/>
                <w:sz w:val="24"/>
                <w:szCs w:val="24"/>
              </w:rPr>
            </w:pPr>
            <w:r>
              <w:rPr>
                <w:rFonts w:hint="eastAsia" w:ascii="仿宋" w:hAnsi="仿宋" w:eastAsia="仿宋" w:cs="仿宋"/>
                <w:sz w:val="24"/>
                <w:szCs w:val="24"/>
              </w:rPr>
              <w:t>技术评价项</w:t>
            </w:r>
          </w:p>
          <w:p w14:paraId="305BF3AF">
            <w:pPr>
              <w:jc w:val="center"/>
              <w:rPr>
                <w:rFonts w:hint="eastAsia" w:ascii="仿宋" w:hAnsi="仿宋" w:eastAsia="仿宋" w:cs="仿宋"/>
                <w:sz w:val="24"/>
                <w:szCs w:val="24"/>
              </w:rPr>
            </w:pPr>
            <w:r>
              <w:rPr>
                <w:rFonts w:hint="eastAsia" w:ascii="仿宋" w:hAnsi="仿宋" w:eastAsia="仿宋" w:cs="仿宋"/>
                <w:sz w:val="24"/>
                <w:szCs w:val="24"/>
              </w:rPr>
              <w:t>（F=100分）</w:t>
            </w:r>
          </w:p>
        </w:tc>
        <w:tc>
          <w:tcPr>
            <w:tcW w:w="773" w:type="dxa"/>
            <w:tcBorders>
              <w:top w:val="single" w:color="auto" w:sz="6" w:space="0"/>
              <w:left w:val="single" w:color="auto" w:sz="6" w:space="0"/>
              <w:bottom w:val="single" w:color="auto" w:sz="6" w:space="0"/>
              <w:right w:val="single" w:color="auto" w:sz="4" w:space="0"/>
            </w:tcBorders>
            <w:noWrap w:val="0"/>
            <w:vAlign w:val="center"/>
          </w:tcPr>
          <w:p w14:paraId="20DC8CC7">
            <w:pPr>
              <w:jc w:val="center"/>
              <w:rPr>
                <w:rFonts w:hint="eastAsia" w:ascii="仿宋" w:hAnsi="仿宋" w:eastAsia="仿宋" w:cs="仿宋"/>
                <w:sz w:val="24"/>
                <w:szCs w:val="24"/>
              </w:rPr>
            </w:pPr>
            <w:r>
              <w:rPr>
                <w:rFonts w:hint="eastAsia" w:ascii="仿宋" w:hAnsi="仿宋" w:eastAsia="仿宋" w:cs="仿宋"/>
                <w:sz w:val="24"/>
                <w:szCs w:val="24"/>
              </w:rPr>
              <w:t>技术参数</w:t>
            </w:r>
          </w:p>
        </w:tc>
        <w:tc>
          <w:tcPr>
            <w:tcW w:w="772" w:type="dxa"/>
            <w:tcBorders>
              <w:top w:val="single" w:color="auto" w:sz="6" w:space="0"/>
              <w:left w:val="single" w:color="auto" w:sz="4" w:space="0"/>
              <w:bottom w:val="single" w:color="auto" w:sz="6" w:space="0"/>
              <w:right w:val="single" w:color="auto" w:sz="6" w:space="0"/>
            </w:tcBorders>
            <w:noWrap w:val="0"/>
            <w:vAlign w:val="center"/>
          </w:tcPr>
          <w:p w14:paraId="769012A3">
            <w:pPr>
              <w:jc w:val="center"/>
              <w:rPr>
                <w:rFonts w:hint="eastAsia" w:ascii="仿宋" w:hAnsi="仿宋" w:eastAsia="仿宋" w:cs="仿宋"/>
                <w:sz w:val="24"/>
                <w:szCs w:val="24"/>
              </w:rPr>
            </w:pPr>
            <w:r>
              <w:rPr>
                <w:rFonts w:hint="eastAsia" w:ascii="仿宋" w:hAnsi="仿宋" w:eastAsia="仿宋" w:cs="仿宋"/>
                <w:sz w:val="24"/>
                <w:szCs w:val="24"/>
              </w:rPr>
              <w:t>100</w:t>
            </w:r>
          </w:p>
        </w:tc>
        <w:tc>
          <w:tcPr>
            <w:tcW w:w="4732" w:type="dxa"/>
            <w:tcBorders>
              <w:top w:val="single" w:color="auto" w:sz="6" w:space="0"/>
              <w:left w:val="single" w:color="auto" w:sz="6" w:space="0"/>
              <w:bottom w:val="single" w:color="auto" w:sz="6" w:space="0"/>
              <w:right w:val="double" w:color="auto" w:sz="4" w:space="0"/>
            </w:tcBorders>
            <w:noWrap w:val="0"/>
            <w:vAlign w:val="center"/>
          </w:tcPr>
          <w:p w14:paraId="40B9B3AA">
            <w:pPr>
              <w:jc w:val="left"/>
              <w:rPr>
                <w:rFonts w:hint="eastAsia" w:ascii="仿宋" w:hAnsi="仿宋" w:eastAsia="仿宋" w:cs="仿宋"/>
                <w:sz w:val="24"/>
                <w:szCs w:val="24"/>
              </w:rPr>
            </w:pPr>
            <w:r>
              <w:rPr>
                <w:rFonts w:hint="eastAsia" w:ascii="仿宋" w:hAnsi="仿宋" w:eastAsia="仿宋" w:cs="仿宋"/>
                <w:sz w:val="24"/>
                <w:szCs w:val="24"/>
              </w:rPr>
              <w:t>投标文件无技术条款响应/偏离表的本项计0分；</w:t>
            </w:r>
          </w:p>
          <w:p w14:paraId="049C97AB">
            <w:pPr>
              <w:jc w:val="left"/>
              <w:rPr>
                <w:rFonts w:hint="eastAsia" w:ascii="仿宋" w:hAnsi="仿宋" w:eastAsia="仿宋" w:cs="仿宋"/>
                <w:sz w:val="24"/>
                <w:szCs w:val="24"/>
              </w:rPr>
            </w:pPr>
            <w:r>
              <w:rPr>
                <w:rFonts w:hint="eastAsia" w:ascii="仿宋" w:hAnsi="仿宋" w:eastAsia="仿宋" w:cs="仿宋"/>
                <w:sz w:val="24"/>
                <w:szCs w:val="24"/>
              </w:rPr>
              <w:t>1、技术参数满足招标文件要求无负偏离的本项计100分；</w:t>
            </w:r>
          </w:p>
          <w:p w14:paraId="52A2D4D8">
            <w:pPr>
              <w:jc w:val="left"/>
              <w:rPr>
                <w:rFonts w:hint="eastAsia" w:ascii="仿宋" w:hAnsi="仿宋" w:eastAsia="仿宋" w:cs="仿宋"/>
                <w:sz w:val="24"/>
                <w:szCs w:val="24"/>
              </w:rPr>
            </w:pPr>
            <w:r>
              <w:rPr>
                <w:rFonts w:hint="eastAsia" w:ascii="仿宋" w:hAnsi="仿宋" w:eastAsia="仿宋" w:cs="仿宋"/>
                <w:sz w:val="24"/>
                <w:szCs w:val="24"/>
              </w:rPr>
              <w:t>2、标注“▲”的参数为重要参数，每一项负偏离或缺漏扣10分；</w:t>
            </w:r>
          </w:p>
          <w:p w14:paraId="0CD79A7D">
            <w:pPr>
              <w:jc w:val="left"/>
              <w:rPr>
                <w:rFonts w:hint="eastAsia" w:ascii="仿宋" w:hAnsi="仿宋" w:eastAsia="仿宋" w:cs="仿宋"/>
                <w:sz w:val="24"/>
                <w:szCs w:val="24"/>
              </w:rPr>
            </w:pPr>
            <w:r>
              <w:rPr>
                <w:rFonts w:hint="eastAsia" w:ascii="仿宋" w:hAnsi="仿宋" w:eastAsia="仿宋" w:cs="仿宋"/>
                <w:sz w:val="24"/>
                <w:szCs w:val="24"/>
              </w:rPr>
              <w:t>3、一般技术参数（即非“★”非“▲”号参数）存在负偏离，每条负偏离扣6分。</w:t>
            </w:r>
          </w:p>
          <w:p w14:paraId="7055BCD9">
            <w:pPr>
              <w:jc w:val="left"/>
              <w:rPr>
                <w:rFonts w:hint="eastAsia" w:ascii="仿宋" w:hAnsi="仿宋" w:eastAsia="仿宋" w:cs="仿宋"/>
                <w:sz w:val="24"/>
                <w:szCs w:val="24"/>
              </w:rPr>
            </w:pPr>
            <w:r>
              <w:rPr>
                <w:rFonts w:hint="eastAsia" w:ascii="仿宋" w:hAnsi="仿宋" w:eastAsia="仿宋" w:cs="仿宋"/>
                <w:sz w:val="24"/>
                <w:szCs w:val="24"/>
              </w:rPr>
              <w:t>（注：标注“▲”技术参数以及技术规格中要求该项参数提供有关证明文件的一般参数，投标人应提供证明材料，包括但不限于技术白皮书、产品彩页、检测报告等形式。如无相关证明文件或相关证明文件不完整，则按相应负偏离计算；此项只做评分因素，不做废标条件）</w:t>
            </w:r>
          </w:p>
        </w:tc>
      </w:tr>
      <w:tr w14:paraId="1D0C82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503" w:type="dxa"/>
            <w:tcBorders>
              <w:top w:val="single" w:color="auto" w:sz="6" w:space="0"/>
              <w:left w:val="double" w:color="auto" w:sz="4" w:space="0"/>
              <w:bottom w:val="single" w:color="auto" w:sz="6" w:space="0"/>
              <w:right w:val="single" w:color="auto" w:sz="4" w:space="0"/>
            </w:tcBorders>
            <w:noWrap w:val="0"/>
            <w:vAlign w:val="center"/>
          </w:tcPr>
          <w:p w14:paraId="3E0D0282">
            <w:pPr>
              <w:jc w:val="center"/>
              <w:rPr>
                <w:rFonts w:hint="eastAsia" w:ascii="仿宋" w:hAnsi="仿宋" w:eastAsia="仿宋" w:cs="仿宋"/>
                <w:sz w:val="24"/>
                <w:szCs w:val="24"/>
              </w:rPr>
            </w:pPr>
            <w:r>
              <w:rPr>
                <w:rFonts w:hint="eastAsia" w:ascii="仿宋" w:hAnsi="仿宋" w:eastAsia="仿宋" w:cs="仿宋"/>
                <w:sz w:val="24"/>
                <w:szCs w:val="24"/>
              </w:rPr>
              <w:t>2</w:t>
            </w:r>
          </w:p>
        </w:tc>
        <w:tc>
          <w:tcPr>
            <w:tcW w:w="2160" w:type="dxa"/>
            <w:tcBorders>
              <w:top w:val="single" w:color="auto" w:sz="6" w:space="0"/>
              <w:left w:val="single" w:color="auto" w:sz="4" w:space="0"/>
              <w:bottom w:val="single" w:color="auto" w:sz="6" w:space="0"/>
              <w:right w:val="single" w:color="auto" w:sz="6" w:space="0"/>
            </w:tcBorders>
            <w:noWrap w:val="0"/>
            <w:vAlign w:val="center"/>
          </w:tcPr>
          <w:p w14:paraId="387E9316">
            <w:pPr>
              <w:jc w:val="center"/>
              <w:rPr>
                <w:rFonts w:hint="eastAsia" w:ascii="仿宋" w:hAnsi="仿宋" w:eastAsia="仿宋" w:cs="仿宋"/>
                <w:sz w:val="24"/>
                <w:szCs w:val="24"/>
              </w:rPr>
            </w:pPr>
            <w:r>
              <w:rPr>
                <w:rFonts w:hint="eastAsia" w:ascii="仿宋" w:hAnsi="仿宋" w:eastAsia="仿宋" w:cs="仿宋"/>
                <w:sz w:val="24"/>
                <w:szCs w:val="24"/>
              </w:rPr>
              <w:t>优先采购加分（F优先采购加分）</w:t>
            </w:r>
          </w:p>
        </w:tc>
        <w:tc>
          <w:tcPr>
            <w:tcW w:w="6277" w:type="dxa"/>
            <w:gridSpan w:val="3"/>
            <w:tcBorders>
              <w:top w:val="single" w:color="auto" w:sz="6" w:space="0"/>
              <w:left w:val="single" w:color="auto" w:sz="6" w:space="0"/>
              <w:bottom w:val="single" w:color="auto" w:sz="4" w:space="0"/>
              <w:right w:val="double" w:color="auto" w:sz="4" w:space="0"/>
            </w:tcBorders>
            <w:noWrap w:val="0"/>
            <w:vAlign w:val="center"/>
          </w:tcPr>
          <w:p w14:paraId="0376C65A">
            <w:pPr>
              <w:jc w:val="left"/>
              <w:rPr>
                <w:rFonts w:hint="eastAsia" w:ascii="仿宋" w:hAnsi="仿宋" w:eastAsia="仿宋" w:cs="仿宋"/>
                <w:sz w:val="24"/>
                <w:szCs w:val="24"/>
              </w:rPr>
            </w:pPr>
            <w:r>
              <w:rPr>
                <w:rFonts w:hint="eastAsia" w:ascii="仿宋" w:hAnsi="仿宋" w:eastAsia="仿宋" w:cs="仿宋"/>
                <w:sz w:val="24"/>
                <w:szCs w:val="24"/>
              </w:rPr>
              <w:t>节能产品或环境标志产品加分(此仅限于节能产品或环境标志政府采购品目清单内产品，不是品目清单内的产品，在评审时不予加分)：</w:t>
            </w:r>
          </w:p>
          <w:p w14:paraId="42D44691">
            <w:pPr>
              <w:jc w:val="left"/>
              <w:rPr>
                <w:rFonts w:hint="eastAsia" w:ascii="仿宋" w:hAnsi="仿宋" w:eastAsia="仿宋" w:cs="仿宋"/>
                <w:sz w:val="24"/>
                <w:szCs w:val="24"/>
              </w:rPr>
            </w:pPr>
            <w:r>
              <w:rPr>
                <w:rFonts w:hint="eastAsia" w:ascii="仿宋" w:hAnsi="仿宋" w:eastAsia="仿宋" w:cs="仿宋"/>
                <w:sz w:val="24"/>
                <w:szCs w:val="24"/>
              </w:rPr>
              <w:t>所投节能产品或环境标志产品的价格</w:t>
            </w:r>
          </w:p>
          <w:p w14:paraId="3183EF94">
            <w:pPr>
              <w:jc w:val="left"/>
              <w:rPr>
                <w:rFonts w:hint="eastAsia" w:ascii="仿宋" w:hAnsi="仿宋" w:eastAsia="仿宋" w:cs="仿宋"/>
                <w:sz w:val="24"/>
                <w:szCs w:val="24"/>
              </w:rPr>
            </w:pPr>
            <w:r>
              <w:rPr>
                <w:rFonts w:hint="eastAsia" w:ascii="仿宋" w:hAnsi="仿宋" w:eastAsia="仿宋" w:cs="仿宋"/>
                <w:sz w:val="24"/>
                <w:szCs w:val="24"/>
              </w:rPr>
              <w:t>——————×技术权值×100×本项目加分比例= 应加分数</w:t>
            </w:r>
          </w:p>
          <w:p w14:paraId="5818D40E">
            <w:pPr>
              <w:jc w:val="left"/>
              <w:rPr>
                <w:rFonts w:hint="eastAsia" w:ascii="仿宋" w:hAnsi="仿宋" w:eastAsia="仿宋" w:cs="仿宋"/>
                <w:sz w:val="24"/>
                <w:szCs w:val="24"/>
              </w:rPr>
            </w:pPr>
            <w:r>
              <w:rPr>
                <w:rFonts w:hint="eastAsia" w:ascii="仿宋" w:hAnsi="仿宋" w:eastAsia="仿宋" w:cs="仿宋"/>
                <w:sz w:val="24"/>
                <w:szCs w:val="24"/>
              </w:rPr>
              <w:t>项目总价格</w:t>
            </w:r>
          </w:p>
          <w:p w14:paraId="0ED92098">
            <w:pPr>
              <w:jc w:val="left"/>
              <w:rPr>
                <w:rFonts w:hint="eastAsia" w:ascii="仿宋" w:hAnsi="仿宋" w:eastAsia="仿宋" w:cs="仿宋"/>
                <w:sz w:val="24"/>
                <w:szCs w:val="24"/>
              </w:rPr>
            </w:pPr>
            <w:r>
              <w:rPr>
                <w:rFonts w:hint="eastAsia" w:ascii="仿宋" w:hAnsi="仿宋" w:eastAsia="仿宋" w:cs="仿宋"/>
                <w:sz w:val="24"/>
                <w:szCs w:val="24"/>
              </w:rPr>
              <w:t>注：整包中某一品目为节能、环境标志政府采购品目清单内产品时只对该品目技术加分，并合计到技术最终得分。</w:t>
            </w:r>
          </w:p>
        </w:tc>
      </w:tr>
      <w:tr w14:paraId="1EE48A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503" w:type="dxa"/>
            <w:tcBorders>
              <w:top w:val="single" w:color="auto" w:sz="6" w:space="0"/>
              <w:left w:val="double" w:color="auto" w:sz="4" w:space="0"/>
              <w:bottom w:val="double" w:color="auto" w:sz="4" w:space="0"/>
              <w:right w:val="single" w:color="auto" w:sz="4" w:space="0"/>
            </w:tcBorders>
            <w:noWrap w:val="0"/>
            <w:vAlign w:val="center"/>
          </w:tcPr>
          <w:p w14:paraId="71ED30E9">
            <w:pPr>
              <w:jc w:val="center"/>
              <w:rPr>
                <w:rFonts w:hint="eastAsia" w:ascii="仿宋" w:hAnsi="仿宋" w:eastAsia="仿宋" w:cs="仿宋"/>
                <w:sz w:val="24"/>
                <w:szCs w:val="24"/>
              </w:rPr>
            </w:pPr>
            <w:r>
              <w:rPr>
                <w:rFonts w:hint="eastAsia" w:ascii="仿宋" w:hAnsi="仿宋" w:eastAsia="仿宋" w:cs="仿宋"/>
                <w:sz w:val="24"/>
                <w:szCs w:val="24"/>
              </w:rPr>
              <w:t>∑</w:t>
            </w:r>
          </w:p>
        </w:tc>
        <w:tc>
          <w:tcPr>
            <w:tcW w:w="8437" w:type="dxa"/>
            <w:gridSpan w:val="4"/>
            <w:tcBorders>
              <w:top w:val="single" w:color="auto" w:sz="6" w:space="0"/>
              <w:left w:val="single" w:color="auto" w:sz="4" w:space="0"/>
              <w:bottom w:val="double" w:color="auto" w:sz="4" w:space="0"/>
              <w:right w:val="double" w:color="auto" w:sz="4" w:space="0"/>
            </w:tcBorders>
            <w:noWrap w:val="0"/>
            <w:vAlign w:val="center"/>
          </w:tcPr>
          <w:p w14:paraId="5764CEEE">
            <w:pPr>
              <w:jc w:val="both"/>
              <w:rPr>
                <w:rFonts w:hint="eastAsia" w:ascii="仿宋" w:hAnsi="仿宋" w:eastAsia="仿宋" w:cs="仿宋"/>
                <w:sz w:val="24"/>
                <w:szCs w:val="24"/>
              </w:rPr>
            </w:pPr>
            <w:r>
              <w:rPr>
                <w:rFonts w:hint="eastAsia" w:ascii="仿宋" w:hAnsi="仿宋" w:eastAsia="仿宋" w:cs="仿宋"/>
                <w:sz w:val="24"/>
                <w:szCs w:val="24"/>
              </w:rPr>
              <w:t>F2=F+ F优先采购加分</w:t>
            </w:r>
          </w:p>
        </w:tc>
      </w:tr>
    </w:tbl>
    <w:p w14:paraId="523BA3D2">
      <w:pPr>
        <w:jc w:val="center"/>
        <w:rPr>
          <w:rFonts w:hint="eastAsia" w:ascii="仿宋" w:hAnsi="仿宋" w:eastAsia="仿宋" w:cs="仿宋"/>
          <w:sz w:val="24"/>
          <w:szCs w:val="24"/>
        </w:rPr>
      </w:pPr>
    </w:p>
    <w:p w14:paraId="44449688">
      <w:pPr>
        <w:jc w:val="center"/>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附表1.3商务部分评审标准表</w:t>
      </w:r>
    </w:p>
    <w:tbl>
      <w:tblPr>
        <w:tblStyle w:val="10"/>
        <w:tblW w:w="898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1877"/>
        <w:gridCol w:w="1377"/>
        <w:gridCol w:w="709"/>
        <w:gridCol w:w="4519"/>
      </w:tblGrid>
      <w:tr w14:paraId="2AFA90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03" w:type="dxa"/>
            <w:tcBorders>
              <w:tl2br w:val="nil"/>
              <w:tr2bl w:val="nil"/>
            </w:tcBorders>
            <w:noWrap w:val="0"/>
            <w:vAlign w:val="center"/>
          </w:tcPr>
          <w:p w14:paraId="4FAA5EC1">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877" w:type="dxa"/>
            <w:tcBorders>
              <w:tl2br w:val="nil"/>
              <w:tr2bl w:val="nil"/>
            </w:tcBorders>
            <w:noWrap w:val="0"/>
            <w:vAlign w:val="center"/>
          </w:tcPr>
          <w:p w14:paraId="0113CA81">
            <w:pPr>
              <w:jc w:val="center"/>
              <w:rPr>
                <w:rFonts w:hint="eastAsia" w:ascii="仿宋" w:hAnsi="仿宋" w:eastAsia="仿宋" w:cs="仿宋"/>
                <w:sz w:val="24"/>
                <w:szCs w:val="24"/>
              </w:rPr>
            </w:pPr>
            <w:r>
              <w:rPr>
                <w:rFonts w:hint="eastAsia" w:ascii="仿宋" w:hAnsi="仿宋" w:eastAsia="仿宋" w:cs="仿宋"/>
                <w:sz w:val="24"/>
                <w:szCs w:val="24"/>
              </w:rPr>
              <w:t>评标因素（分值）</w:t>
            </w:r>
          </w:p>
        </w:tc>
        <w:tc>
          <w:tcPr>
            <w:tcW w:w="6605" w:type="dxa"/>
            <w:gridSpan w:val="3"/>
            <w:tcBorders>
              <w:tl2br w:val="nil"/>
              <w:tr2bl w:val="nil"/>
            </w:tcBorders>
            <w:noWrap w:val="0"/>
            <w:vAlign w:val="center"/>
          </w:tcPr>
          <w:p w14:paraId="7286AA18">
            <w:pPr>
              <w:jc w:val="center"/>
              <w:rPr>
                <w:rFonts w:hint="eastAsia" w:ascii="仿宋" w:hAnsi="仿宋" w:eastAsia="仿宋" w:cs="仿宋"/>
                <w:sz w:val="24"/>
                <w:szCs w:val="24"/>
              </w:rPr>
            </w:pPr>
            <w:r>
              <w:rPr>
                <w:rFonts w:hint="eastAsia" w:ascii="仿宋" w:hAnsi="仿宋" w:eastAsia="仿宋" w:cs="仿宋"/>
                <w:sz w:val="24"/>
                <w:szCs w:val="24"/>
              </w:rPr>
              <w:t>评标标准</w:t>
            </w:r>
          </w:p>
        </w:tc>
      </w:tr>
      <w:tr w14:paraId="38E5C2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3" w:type="dxa"/>
            <w:vMerge w:val="restart"/>
            <w:tcBorders>
              <w:tl2br w:val="nil"/>
              <w:tr2bl w:val="nil"/>
            </w:tcBorders>
            <w:noWrap w:val="0"/>
            <w:vAlign w:val="center"/>
          </w:tcPr>
          <w:p w14:paraId="1F869E5F">
            <w:pPr>
              <w:jc w:val="center"/>
              <w:rPr>
                <w:rFonts w:hint="eastAsia" w:ascii="仿宋" w:hAnsi="仿宋" w:eastAsia="仿宋" w:cs="仿宋"/>
                <w:sz w:val="24"/>
                <w:szCs w:val="24"/>
              </w:rPr>
            </w:pPr>
            <w:r>
              <w:rPr>
                <w:rFonts w:hint="eastAsia" w:ascii="仿宋" w:hAnsi="仿宋" w:eastAsia="仿宋" w:cs="仿宋"/>
                <w:sz w:val="24"/>
                <w:szCs w:val="24"/>
              </w:rPr>
              <w:t>1</w:t>
            </w:r>
          </w:p>
        </w:tc>
        <w:tc>
          <w:tcPr>
            <w:tcW w:w="1877" w:type="dxa"/>
            <w:vMerge w:val="restart"/>
            <w:tcBorders>
              <w:tl2br w:val="nil"/>
              <w:tr2bl w:val="nil"/>
            </w:tcBorders>
            <w:noWrap w:val="0"/>
            <w:vAlign w:val="center"/>
          </w:tcPr>
          <w:p w14:paraId="05A61FC6">
            <w:pPr>
              <w:jc w:val="center"/>
              <w:rPr>
                <w:rFonts w:hint="eastAsia" w:ascii="仿宋" w:hAnsi="仿宋" w:eastAsia="仿宋" w:cs="仿宋"/>
                <w:sz w:val="24"/>
                <w:szCs w:val="24"/>
              </w:rPr>
            </w:pPr>
            <w:r>
              <w:rPr>
                <w:rFonts w:hint="eastAsia" w:ascii="仿宋" w:hAnsi="仿宋" w:eastAsia="仿宋" w:cs="仿宋"/>
                <w:sz w:val="24"/>
                <w:szCs w:val="24"/>
              </w:rPr>
              <w:t>商务评价项</w:t>
            </w:r>
          </w:p>
          <w:p w14:paraId="36C83338">
            <w:pPr>
              <w:jc w:val="center"/>
              <w:rPr>
                <w:rFonts w:hint="eastAsia" w:ascii="仿宋" w:hAnsi="仿宋" w:eastAsia="仿宋" w:cs="仿宋"/>
                <w:sz w:val="24"/>
                <w:szCs w:val="24"/>
              </w:rPr>
            </w:pPr>
            <w:r>
              <w:rPr>
                <w:rFonts w:hint="eastAsia" w:ascii="仿宋" w:hAnsi="仿宋" w:eastAsia="仿宋" w:cs="仿宋"/>
                <w:sz w:val="24"/>
                <w:szCs w:val="24"/>
              </w:rPr>
              <w:t>（F=100分）</w:t>
            </w:r>
          </w:p>
        </w:tc>
        <w:tc>
          <w:tcPr>
            <w:tcW w:w="1377" w:type="dxa"/>
            <w:tcBorders>
              <w:tl2br w:val="nil"/>
              <w:tr2bl w:val="nil"/>
            </w:tcBorders>
            <w:noWrap w:val="0"/>
            <w:vAlign w:val="center"/>
          </w:tcPr>
          <w:p w14:paraId="43F9E75B">
            <w:pPr>
              <w:jc w:val="center"/>
              <w:rPr>
                <w:rFonts w:hint="eastAsia" w:ascii="仿宋" w:hAnsi="仿宋" w:eastAsia="仿宋" w:cs="仿宋"/>
                <w:sz w:val="24"/>
                <w:szCs w:val="24"/>
              </w:rPr>
            </w:pPr>
            <w:r>
              <w:rPr>
                <w:rFonts w:hint="eastAsia" w:ascii="仿宋" w:hAnsi="仿宋" w:eastAsia="仿宋" w:cs="仿宋"/>
                <w:sz w:val="24"/>
                <w:szCs w:val="24"/>
              </w:rPr>
              <w:t>售后服务</w:t>
            </w:r>
          </w:p>
        </w:tc>
        <w:tc>
          <w:tcPr>
            <w:tcW w:w="709" w:type="dxa"/>
            <w:tcBorders>
              <w:tl2br w:val="nil"/>
              <w:tr2bl w:val="nil"/>
            </w:tcBorders>
            <w:noWrap w:val="0"/>
            <w:vAlign w:val="center"/>
          </w:tcPr>
          <w:p w14:paraId="46050400">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55</w:t>
            </w:r>
          </w:p>
        </w:tc>
        <w:tc>
          <w:tcPr>
            <w:tcW w:w="4519" w:type="dxa"/>
            <w:tcBorders>
              <w:tl2br w:val="nil"/>
              <w:tr2bl w:val="nil"/>
            </w:tcBorders>
            <w:noWrap w:val="0"/>
            <w:vAlign w:val="center"/>
          </w:tcPr>
          <w:p w14:paraId="4C14F0A6">
            <w:pPr>
              <w:jc w:val="left"/>
              <w:rPr>
                <w:rFonts w:hint="eastAsia" w:ascii="仿宋" w:hAnsi="仿宋" w:eastAsia="仿宋" w:cs="仿宋"/>
                <w:color w:val="FF0000"/>
                <w:sz w:val="24"/>
                <w:szCs w:val="24"/>
                <w:lang w:val="en-US" w:eastAsia="zh-CN"/>
              </w:rPr>
            </w:pPr>
            <w:r>
              <w:rPr>
                <w:rFonts w:hint="eastAsia" w:ascii="仿宋" w:hAnsi="仿宋" w:eastAsia="仿宋" w:cs="仿宋"/>
                <w:sz w:val="24"/>
                <w:szCs w:val="24"/>
              </w:rPr>
              <w:t>1、</w:t>
            </w:r>
            <w:r>
              <w:rPr>
                <w:rFonts w:hint="eastAsia" w:ascii="仿宋" w:hAnsi="仿宋" w:eastAsia="仿宋" w:cs="仿宋"/>
                <w:color w:val="FF0000"/>
                <w:sz w:val="24"/>
                <w:szCs w:val="24"/>
                <w:lang w:val="en-US" w:eastAsia="zh-CN"/>
              </w:rPr>
              <w:t>针对本项目有明确的售后服务方案，包括但不限于：①设备配送、安装、检验等；②发生故障后的补救措施及巡检服务；③售后服务维修人员详细情况；④维修的响应时间；⑤备品配件的清单及供应保障措施。</w:t>
            </w:r>
          </w:p>
          <w:p w14:paraId="5A737568">
            <w:pPr>
              <w:jc w:val="left"/>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上述小项方案具有针对性和可行性，符合采购实际需求，内容完整合理满足招标文件要求的每项得7分。存在一般缺陷的每项方案得3.5分（一般缺陷是指方案内容前后不一致或前后逻辑错误或内容有缺失，不影响项目的实施）。未提供或存在重大缺陷的每项方案不得分（重大缺陷是指方案凭空编造或与采购项目和采购需求无关，无法指导项目实施）。</w:t>
            </w:r>
          </w:p>
          <w:p w14:paraId="51E3BA4F">
            <w:pPr>
              <w:jc w:val="left"/>
              <w:rPr>
                <w:rFonts w:hint="eastAsia" w:ascii="仿宋" w:hAnsi="仿宋" w:eastAsia="仿宋" w:cs="仿宋"/>
                <w:sz w:val="24"/>
                <w:szCs w:val="24"/>
              </w:rPr>
            </w:pPr>
            <w:r>
              <w:rPr>
                <w:rFonts w:hint="eastAsia" w:ascii="仿宋" w:hAnsi="仿宋" w:eastAsia="仿宋" w:cs="仿宋"/>
                <w:sz w:val="24"/>
                <w:szCs w:val="24"/>
              </w:rPr>
              <w:t>2、质保期在招标要求基础上再增加1年的加10分，增加2年以上的加20分，最高可加20分。</w:t>
            </w:r>
          </w:p>
        </w:tc>
      </w:tr>
      <w:tr w14:paraId="26EED3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3" w:type="dxa"/>
            <w:vMerge w:val="continue"/>
            <w:tcBorders>
              <w:tl2br w:val="nil"/>
              <w:tr2bl w:val="nil"/>
            </w:tcBorders>
            <w:noWrap w:val="0"/>
            <w:vAlign w:val="center"/>
          </w:tcPr>
          <w:p w14:paraId="38305688">
            <w:pPr>
              <w:jc w:val="center"/>
              <w:rPr>
                <w:rFonts w:hint="eastAsia" w:ascii="仿宋" w:hAnsi="仿宋" w:eastAsia="仿宋" w:cs="仿宋"/>
                <w:sz w:val="24"/>
                <w:szCs w:val="24"/>
              </w:rPr>
            </w:pPr>
          </w:p>
        </w:tc>
        <w:tc>
          <w:tcPr>
            <w:tcW w:w="1877" w:type="dxa"/>
            <w:vMerge w:val="continue"/>
            <w:tcBorders>
              <w:tl2br w:val="nil"/>
              <w:tr2bl w:val="nil"/>
            </w:tcBorders>
            <w:noWrap w:val="0"/>
            <w:vAlign w:val="center"/>
          </w:tcPr>
          <w:p w14:paraId="2C8BFC02">
            <w:pPr>
              <w:jc w:val="center"/>
              <w:rPr>
                <w:rFonts w:hint="eastAsia" w:ascii="仿宋" w:hAnsi="仿宋" w:eastAsia="仿宋" w:cs="仿宋"/>
                <w:sz w:val="24"/>
                <w:szCs w:val="24"/>
              </w:rPr>
            </w:pPr>
          </w:p>
        </w:tc>
        <w:tc>
          <w:tcPr>
            <w:tcW w:w="1377" w:type="dxa"/>
            <w:tcBorders>
              <w:tl2br w:val="nil"/>
              <w:tr2bl w:val="nil"/>
            </w:tcBorders>
            <w:noWrap w:val="0"/>
            <w:vAlign w:val="center"/>
          </w:tcPr>
          <w:p w14:paraId="1EECC22E">
            <w:pPr>
              <w:jc w:val="center"/>
              <w:rPr>
                <w:rFonts w:hint="eastAsia" w:ascii="仿宋" w:hAnsi="仿宋" w:eastAsia="仿宋" w:cs="仿宋"/>
                <w:sz w:val="24"/>
                <w:szCs w:val="24"/>
              </w:rPr>
            </w:pPr>
            <w:r>
              <w:rPr>
                <w:rFonts w:hint="eastAsia" w:ascii="仿宋" w:hAnsi="仿宋" w:eastAsia="仿宋" w:cs="仿宋"/>
                <w:sz w:val="24"/>
                <w:szCs w:val="24"/>
              </w:rPr>
              <w:t>培训方案</w:t>
            </w:r>
          </w:p>
        </w:tc>
        <w:tc>
          <w:tcPr>
            <w:tcW w:w="709" w:type="dxa"/>
            <w:tcBorders>
              <w:tl2br w:val="nil"/>
              <w:tr2bl w:val="nil"/>
            </w:tcBorders>
            <w:noWrap w:val="0"/>
            <w:vAlign w:val="center"/>
          </w:tcPr>
          <w:p w14:paraId="4BF791B0">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w:t>
            </w:r>
          </w:p>
        </w:tc>
        <w:tc>
          <w:tcPr>
            <w:tcW w:w="4519" w:type="dxa"/>
            <w:tcBorders>
              <w:tl2br w:val="nil"/>
              <w:tr2bl w:val="nil"/>
            </w:tcBorders>
            <w:noWrap w:val="0"/>
            <w:vAlign w:val="center"/>
          </w:tcPr>
          <w:p w14:paraId="1A280959">
            <w:pPr>
              <w:jc w:val="left"/>
              <w:rPr>
                <w:rFonts w:hint="eastAsia" w:ascii="仿宋" w:hAnsi="仿宋" w:eastAsia="仿宋" w:cs="仿宋"/>
                <w:color w:val="FF0000"/>
                <w:sz w:val="24"/>
                <w:szCs w:val="24"/>
              </w:rPr>
            </w:pPr>
            <w:r>
              <w:rPr>
                <w:rFonts w:hint="eastAsia" w:ascii="仿宋" w:hAnsi="仿宋" w:eastAsia="仿宋" w:cs="仿宋"/>
                <w:color w:val="FF0000"/>
                <w:sz w:val="24"/>
                <w:szCs w:val="24"/>
              </w:rPr>
              <w:t>针对本项目具有可行的技术培训方案，包括但不限于：①所提供设备的原理和技术性能；②操作维护方法；③安装调试、排除故障等各个方面</w:t>
            </w:r>
            <w:r>
              <w:rPr>
                <w:rFonts w:hint="eastAsia" w:ascii="仿宋" w:hAnsi="仿宋" w:eastAsia="仿宋" w:cs="仿宋"/>
                <w:color w:val="FF0000"/>
                <w:sz w:val="24"/>
                <w:szCs w:val="24"/>
                <w:lang w:eastAsia="zh-CN"/>
              </w:rPr>
              <w:t>；</w:t>
            </w:r>
            <w:r>
              <w:rPr>
                <w:rFonts w:hint="eastAsia" w:ascii="仿宋" w:hAnsi="仿宋" w:eastAsia="仿宋" w:cs="仿宋"/>
                <w:color w:val="FF0000"/>
                <w:sz w:val="24"/>
                <w:szCs w:val="24"/>
              </w:rPr>
              <w:fldChar w:fldCharType="begin"/>
            </w:r>
            <w:r>
              <w:rPr>
                <w:rFonts w:hint="eastAsia" w:ascii="仿宋" w:hAnsi="仿宋" w:eastAsia="仿宋" w:cs="仿宋"/>
                <w:color w:val="FF0000"/>
                <w:sz w:val="24"/>
                <w:szCs w:val="24"/>
              </w:rPr>
              <w:instrText xml:space="preserve"> = 4 \* GB3 \* MERGEFORMAT </w:instrText>
            </w:r>
            <w:r>
              <w:rPr>
                <w:rFonts w:hint="eastAsia" w:ascii="仿宋" w:hAnsi="仿宋" w:eastAsia="仿宋" w:cs="仿宋"/>
                <w:color w:val="FF0000"/>
                <w:sz w:val="24"/>
                <w:szCs w:val="24"/>
              </w:rPr>
              <w:fldChar w:fldCharType="separate"/>
            </w:r>
            <w:r>
              <w:rPr>
                <w:rFonts w:hint="eastAsia" w:ascii="仿宋" w:hAnsi="仿宋" w:eastAsia="仿宋" w:cs="仿宋"/>
                <w:color w:val="FF0000"/>
                <w:sz w:val="24"/>
                <w:szCs w:val="24"/>
              </w:rPr>
              <w:t>④</w:t>
            </w:r>
            <w:r>
              <w:rPr>
                <w:rFonts w:hint="eastAsia" w:ascii="仿宋" w:hAnsi="仿宋" w:eastAsia="仿宋" w:cs="仿宋"/>
                <w:color w:val="FF0000"/>
                <w:sz w:val="24"/>
                <w:szCs w:val="24"/>
              </w:rPr>
              <w:fldChar w:fldCharType="end"/>
            </w:r>
            <w:r>
              <w:rPr>
                <w:rFonts w:hint="eastAsia" w:ascii="仿宋" w:hAnsi="仿宋" w:eastAsia="仿宋" w:cs="仿宋"/>
                <w:color w:val="FF0000"/>
                <w:sz w:val="24"/>
                <w:szCs w:val="24"/>
              </w:rPr>
              <w:t>培训</w:t>
            </w:r>
            <w:r>
              <w:rPr>
                <w:rFonts w:hint="eastAsia" w:ascii="仿宋" w:hAnsi="仿宋" w:eastAsia="仿宋" w:cs="仿宋"/>
                <w:color w:val="FF0000"/>
                <w:sz w:val="24"/>
                <w:szCs w:val="24"/>
                <w:lang w:eastAsia="zh-CN"/>
              </w:rPr>
              <w:t>计划安排</w:t>
            </w:r>
            <w:r>
              <w:rPr>
                <w:rFonts w:hint="eastAsia" w:ascii="仿宋" w:hAnsi="仿宋" w:eastAsia="仿宋" w:cs="仿宋"/>
                <w:color w:val="FF0000"/>
                <w:sz w:val="24"/>
                <w:szCs w:val="24"/>
              </w:rPr>
              <w:t>；</w:t>
            </w:r>
            <w:r>
              <w:rPr>
                <w:rFonts w:hint="eastAsia" w:ascii="仿宋" w:hAnsi="仿宋" w:eastAsia="仿宋" w:cs="仿宋"/>
                <w:color w:val="FF0000"/>
                <w:sz w:val="24"/>
                <w:szCs w:val="24"/>
              </w:rPr>
              <w:fldChar w:fldCharType="begin"/>
            </w:r>
            <w:r>
              <w:rPr>
                <w:rFonts w:hint="eastAsia" w:ascii="仿宋" w:hAnsi="仿宋" w:eastAsia="仿宋" w:cs="仿宋"/>
                <w:color w:val="FF0000"/>
                <w:sz w:val="24"/>
                <w:szCs w:val="24"/>
              </w:rPr>
              <w:instrText xml:space="preserve"> = 5 \* GB3 \* MERGEFORMAT </w:instrText>
            </w:r>
            <w:r>
              <w:rPr>
                <w:rFonts w:hint="eastAsia" w:ascii="仿宋" w:hAnsi="仿宋" w:eastAsia="仿宋" w:cs="仿宋"/>
                <w:color w:val="FF0000"/>
                <w:sz w:val="24"/>
                <w:szCs w:val="24"/>
              </w:rPr>
              <w:fldChar w:fldCharType="separate"/>
            </w:r>
            <w:r>
              <w:rPr>
                <w:rFonts w:hint="eastAsia" w:ascii="仿宋" w:hAnsi="仿宋" w:eastAsia="仿宋" w:cs="仿宋"/>
                <w:color w:val="FF0000"/>
                <w:sz w:val="24"/>
                <w:szCs w:val="24"/>
              </w:rPr>
              <w:t>⑤</w:t>
            </w:r>
            <w:r>
              <w:rPr>
                <w:rFonts w:hint="eastAsia" w:ascii="仿宋" w:hAnsi="仿宋" w:eastAsia="仿宋" w:cs="仿宋"/>
                <w:color w:val="FF0000"/>
                <w:sz w:val="24"/>
                <w:szCs w:val="24"/>
              </w:rPr>
              <w:fldChar w:fldCharType="end"/>
            </w:r>
            <w:r>
              <w:rPr>
                <w:rFonts w:hint="eastAsia" w:ascii="仿宋" w:hAnsi="仿宋" w:eastAsia="仿宋" w:cs="仿宋"/>
                <w:color w:val="FF0000"/>
                <w:sz w:val="24"/>
                <w:szCs w:val="24"/>
                <w:lang w:eastAsia="zh-CN"/>
              </w:rPr>
              <w:t>培训效果</w:t>
            </w:r>
            <w:r>
              <w:rPr>
                <w:rFonts w:hint="eastAsia" w:ascii="仿宋" w:hAnsi="仿宋" w:eastAsia="仿宋" w:cs="仿宋"/>
                <w:color w:val="FF0000"/>
                <w:sz w:val="24"/>
                <w:szCs w:val="24"/>
              </w:rPr>
              <w:t>等。</w:t>
            </w:r>
          </w:p>
          <w:p w14:paraId="2C91FE55">
            <w:pPr>
              <w:jc w:val="left"/>
              <w:rPr>
                <w:rFonts w:hint="eastAsia" w:ascii="仿宋" w:hAnsi="仿宋" w:eastAsia="仿宋" w:cs="仿宋"/>
                <w:sz w:val="24"/>
                <w:szCs w:val="24"/>
              </w:rPr>
            </w:pPr>
            <w:r>
              <w:rPr>
                <w:rFonts w:hint="eastAsia" w:ascii="仿宋" w:hAnsi="仿宋" w:eastAsia="仿宋" w:cs="仿宋"/>
                <w:color w:val="FF0000"/>
                <w:sz w:val="24"/>
                <w:szCs w:val="24"/>
                <w:lang w:val="en-US" w:eastAsia="zh-CN"/>
              </w:rPr>
              <w:t>上述小项方案具有针对性和可行性，符合采购实际需求，内容完整合理满足招标文件要求的每项得3分。存在一般缺陷的每项方案得1.5分（一般缺陷是指方案内容前后不一致或前后逻辑错误或内容有缺失，不影响项目的实施）。未提供或存在重大缺陷的每项方案不得分（重大缺陷是指方案凭空编造或与采购项目和采购需求无关，无法指导项目实施）。</w:t>
            </w:r>
          </w:p>
        </w:tc>
      </w:tr>
      <w:tr w14:paraId="432DEB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3" w:type="dxa"/>
            <w:vMerge w:val="continue"/>
            <w:tcBorders>
              <w:tl2br w:val="nil"/>
              <w:tr2bl w:val="nil"/>
            </w:tcBorders>
            <w:noWrap w:val="0"/>
            <w:vAlign w:val="center"/>
          </w:tcPr>
          <w:p w14:paraId="44D8C28A">
            <w:pPr>
              <w:jc w:val="center"/>
              <w:rPr>
                <w:rFonts w:hint="eastAsia" w:ascii="仿宋" w:hAnsi="仿宋" w:eastAsia="仿宋" w:cs="仿宋"/>
                <w:sz w:val="24"/>
                <w:szCs w:val="24"/>
              </w:rPr>
            </w:pPr>
          </w:p>
        </w:tc>
        <w:tc>
          <w:tcPr>
            <w:tcW w:w="1877" w:type="dxa"/>
            <w:vMerge w:val="continue"/>
            <w:tcBorders>
              <w:tl2br w:val="nil"/>
              <w:tr2bl w:val="nil"/>
            </w:tcBorders>
            <w:noWrap w:val="0"/>
            <w:vAlign w:val="center"/>
          </w:tcPr>
          <w:p w14:paraId="4E96D9C5">
            <w:pPr>
              <w:jc w:val="center"/>
              <w:rPr>
                <w:rFonts w:hint="eastAsia" w:ascii="仿宋" w:hAnsi="仿宋" w:eastAsia="仿宋" w:cs="仿宋"/>
                <w:sz w:val="24"/>
                <w:szCs w:val="24"/>
              </w:rPr>
            </w:pPr>
          </w:p>
        </w:tc>
        <w:tc>
          <w:tcPr>
            <w:tcW w:w="1377" w:type="dxa"/>
            <w:tcBorders>
              <w:tl2br w:val="nil"/>
              <w:tr2bl w:val="nil"/>
            </w:tcBorders>
            <w:noWrap w:val="0"/>
            <w:vAlign w:val="center"/>
          </w:tcPr>
          <w:p w14:paraId="40DDE5FA">
            <w:pPr>
              <w:jc w:val="center"/>
              <w:rPr>
                <w:rFonts w:hint="eastAsia" w:ascii="仿宋" w:hAnsi="仿宋" w:eastAsia="仿宋" w:cs="仿宋"/>
                <w:sz w:val="24"/>
                <w:szCs w:val="24"/>
              </w:rPr>
            </w:pPr>
            <w:r>
              <w:rPr>
                <w:rFonts w:hint="eastAsia" w:ascii="仿宋" w:hAnsi="仿宋" w:eastAsia="仿宋" w:cs="仿宋"/>
                <w:sz w:val="24"/>
                <w:szCs w:val="24"/>
              </w:rPr>
              <w:t>类似业绩</w:t>
            </w:r>
          </w:p>
        </w:tc>
        <w:tc>
          <w:tcPr>
            <w:tcW w:w="709" w:type="dxa"/>
            <w:tcBorders>
              <w:tl2br w:val="nil"/>
              <w:tr2bl w:val="nil"/>
            </w:tcBorders>
            <w:noWrap w:val="0"/>
            <w:vAlign w:val="center"/>
          </w:tcPr>
          <w:p w14:paraId="505C34E4">
            <w:pPr>
              <w:jc w:val="center"/>
              <w:rPr>
                <w:rFonts w:hint="eastAsia" w:ascii="仿宋" w:hAnsi="仿宋" w:eastAsia="仿宋" w:cs="仿宋"/>
                <w:sz w:val="24"/>
                <w:szCs w:val="24"/>
              </w:rPr>
            </w:pPr>
            <w:r>
              <w:rPr>
                <w:rFonts w:hint="eastAsia" w:ascii="仿宋" w:hAnsi="仿宋" w:eastAsia="仿宋" w:cs="仿宋"/>
                <w:sz w:val="24"/>
                <w:szCs w:val="24"/>
              </w:rPr>
              <w:t>30</w:t>
            </w:r>
          </w:p>
        </w:tc>
        <w:tc>
          <w:tcPr>
            <w:tcW w:w="4519" w:type="dxa"/>
            <w:tcBorders>
              <w:tl2br w:val="nil"/>
              <w:tr2bl w:val="nil"/>
            </w:tcBorders>
            <w:noWrap w:val="0"/>
            <w:vAlign w:val="center"/>
          </w:tcPr>
          <w:p w14:paraId="6C0D023C">
            <w:pPr>
              <w:jc w:val="left"/>
              <w:rPr>
                <w:rFonts w:hint="eastAsia" w:ascii="仿宋" w:hAnsi="仿宋" w:eastAsia="仿宋" w:cs="仿宋"/>
                <w:sz w:val="24"/>
                <w:szCs w:val="24"/>
              </w:rPr>
            </w:pPr>
            <w:r>
              <w:rPr>
                <w:rFonts w:hint="eastAsia" w:ascii="仿宋" w:hAnsi="仿宋" w:eastAsia="仿宋" w:cs="仿宋"/>
                <w:sz w:val="24"/>
                <w:szCs w:val="24"/>
              </w:rPr>
              <w:t>提供近两年以来同型号设备销售业绩证明材料（证明材料可以是中标通知书或中标公示截图或合同相关页面，且证明材料要体现中标设备的型号），每提供一份计1</w:t>
            </w:r>
            <w:r>
              <w:rPr>
                <w:rFonts w:hint="eastAsia" w:ascii="仿宋" w:hAnsi="仿宋" w:eastAsia="仿宋" w:cs="仿宋"/>
                <w:sz w:val="24"/>
                <w:szCs w:val="24"/>
                <w:lang w:val="en-US" w:eastAsia="zh-CN"/>
              </w:rPr>
              <w:t>5</w:t>
            </w:r>
            <w:r>
              <w:rPr>
                <w:rFonts w:hint="eastAsia" w:ascii="仿宋" w:hAnsi="仿宋" w:eastAsia="仿宋" w:cs="仿宋"/>
                <w:sz w:val="24"/>
                <w:szCs w:val="24"/>
              </w:rPr>
              <w:t>分，计满30分为止，未按要求提供不得分。</w:t>
            </w:r>
          </w:p>
        </w:tc>
      </w:tr>
    </w:tbl>
    <w:p w14:paraId="39124244">
      <w:pPr>
        <w:jc w:val="center"/>
        <w:rPr>
          <w:rFonts w:hint="eastAsia" w:ascii="仿宋" w:hAnsi="仿宋" w:eastAsia="仿宋" w:cs="仿宋"/>
          <w:sz w:val="24"/>
          <w:szCs w:val="24"/>
        </w:rPr>
      </w:pPr>
    </w:p>
    <w:p w14:paraId="48FA0C5E">
      <w:pPr>
        <w:jc w:val="center"/>
        <w:rPr>
          <w:rFonts w:hint="eastAsia" w:ascii="仿宋" w:hAnsi="仿宋" w:eastAsia="仿宋" w:cs="仿宋"/>
          <w:sz w:val="24"/>
          <w:szCs w:val="24"/>
        </w:rPr>
      </w:pPr>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00000000"/>
    <w:rsid w:val="05BE1FE7"/>
    <w:rsid w:val="14532E71"/>
    <w:rsid w:val="147E12BF"/>
    <w:rsid w:val="29352EFE"/>
    <w:rsid w:val="38B8629F"/>
    <w:rsid w:val="44D94B23"/>
    <w:rsid w:val="51154B83"/>
    <w:rsid w:val="51841F7C"/>
    <w:rsid w:val="53936641"/>
    <w:rsid w:val="66372649"/>
    <w:rsid w:val="68DF7169"/>
    <w:rsid w:val="7A0B3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b/>
      <w:bCs/>
      <w:sz w:val="24"/>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adjustRightInd w:val="0"/>
      <w:snapToGrid w:val="0"/>
    </w:pPr>
    <w:rPr>
      <w:rFonts w:ascii="宋体" w:hAnsi="华文细黑"/>
      <w:kern w:val="0"/>
    </w:rPr>
  </w:style>
  <w:style w:type="paragraph" w:customStyle="1" w:styleId="4">
    <w:name w:val="Default"/>
    <w:next w:val="5"/>
    <w:qFormat/>
    <w:uiPriority w:val="99"/>
    <w:pPr>
      <w:widowControl w:val="0"/>
      <w:autoSpaceDE w:val="0"/>
      <w:autoSpaceDN w:val="0"/>
      <w:adjustRightInd w:val="0"/>
    </w:pPr>
    <w:rPr>
      <w:rFonts w:ascii="黑体" w:hAnsi="Times New Roman" w:eastAsia="黑体" w:cs="Times New Roman"/>
      <w:lang w:val="en-US" w:eastAsia="zh-CN" w:bidi="ar-SA"/>
    </w:rPr>
  </w:style>
  <w:style w:type="paragraph" w:styleId="5">
    <w:name w:val="Intense Quote"/>
    <w:next w:val="1"/>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paragraph" w:styleId="6">
    <w:name w:val="Body Text Indent"/>
    <w:basedOn w:val="1"/>
    <w:next w:val="7"/>
    <w:qFormat/>
    <w:uiPriority w:val="0"/>
    <w:pPr>
      <w:spacing w:after="120"/>
      <w:ind w:left="420" w:leftChars="200"/>
    </w:pPr>
  </w:style>
  <w:style w:type="paragraph" w:styleId="7">
    <w:name w:val="envelope return"/>
    <w:basedOn w:val="1"/>
    <w:unhideWhenUsed/>
    <w:qFormat/>
    <w:uiPriority w:val="99"/>
    <w:pPr>
      <w:snapToGrid w:val="0"/>
    </w:pPr>
    <w:rPr>
      <w:rFonts w:hint="eastAsia" w:ascii="Arial" w:hAnsi="Arial"/>
    </w:rPr>
  </w:style>
  <w:style w:type="paragraph" w:styleId="8">
    <w:name w:val="Body Text 2"/>
    <w:basedOn w:val="1"/>
    <w:qFormat/>
    <w:uiPriority w:val="0"/>
    <w:pPr>
      <w:spacing w:after="120" w:line="480" w:lineRule="auto"/>
    </w:pPr>
  </w:style>
  <w:style w:type="paragraph" w:styleId="9">
    <w:name w:val="Body Text First Indent 2"/>
    <w:basedOn w:val="6"/>
    <w:next w:val="3"/>
    <w:qFormat/>
    <w:uiPriority w:val="99"/>
    <w:pPr>
      <w:ind w:firstLine="420" w:firstLineChars="200"/>
    </w:pPr>
  </w:style>
  <w:style w:type="paragraph" w:customStyle="1" w:styleId="12">
    <w:name w:val="Normal_0"/>
    <w:qFormat/>
    <w:uiPriority w:val="0"/>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1696</Words>
  <Characters>1754</Characters>
  <Lines>0</Lines>
  <Paragraphs>0</Paragraphs>
  <TotalTime>0</TotalTime>
  <ScaleCrop>false</ScaleCrop>
  <LinksUpToDate>false</LinksUpToDate>
  <CharactersWithSpaces>1763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2024-07-31T13:39:00Z</dcterms:created>
  <dc:creator>Administrator</dc:creator>
  <cp:lastModifiedBy>蓝色贝雷</cp:lastModifiedBy>
  <dcterms:modified xsi:type="dcterms:W3CDTF">2024-08-21T07:50:37Z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43DEF684DC334167A56F80F9A6F9F8AC_12</vt:lpwstr>
  </property>
</Properties>
</file>