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42D2C0">
      <w:pPr>
        <w:pStyle w:val="14"/>
        <w:snapToGrid w:val="0"/>
        <w:jc w:val="center"/>
        <w:rPr>
          <w:rFonts w:hint="eastAsia" w:ascii="Arial" w:hAnsi="Arial" w:eastAsia="方正小标宋简体" w:cs="Arial"/>
          <w:sz w:val="72"/>
          <w:szCs w:val="72"/>
        </w:rPr>
      </w:pPr>
      <w:bookmarkStart w:id="0" w:name="_Toc16523570"/>
    </w:p>
    <w:p w14:paraId="1B95787E">
      <w:pPr>
        <w:pStyle w:val="14"/>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75F3B684">
      <w:pPr>
        <w:pStyle w:val="14"/>
        <w:snapToGrid w:val="0"/>
        <w:jc w:val="center"/>
        <w:rPr>
          <w:rFonts w:hint="eastAsia" w:ascii="Arial" w:hAnsi="Arial" w:eastAsia="方正小标宋简体" w:cs="Arial"/>
          <w:sz w:val="72"/>
          <w:szCs w:val="72"/>
        </w:rPr>
      </w:pPr>
    </w:p>
    <w:p w14:paraId="65C368DD">
      <w:pPr>
        <w:pStyle w:val="14"/>
        <w:snapToGrid w:val="0"/>
        <w:jc w:val="center"/>
        <w:rPr>
          <w:rFonts w:hint="eastAsia" w:ascii="Arial" w:hAnsi="Arial" w:eastAsia="方正小标宋简体" w:cs="Arial"/>
          <w:sz w:val="72"/>
          <w:szCs w:val="72"/>
        </w:rPr>
      </w:pPr>
    </w:p>
    <w:p w14:paraId="11616A47">
      <w:pPr>
        <w:pStyle w:val="14"/>
        <w:snapToGrid w:val="0"/>
        <w:jc w:val="center"/>
        <w:rPr>
          <w:rFonts w:hint="eastAsia" w:ascii="Arial" w:hAnsi="Arial" w:eastAsia="方正小标宋简体" w:cs="Arial"/>
          <w:sz w:val="72"/>
          <w:szCs w:val="72"/>
        </w:rPr>
      </w:pPr>
    </w:p>
    <w:p w14:paraId="39F8D380">
      <w:pPr>
        <w:pStyle w:val="14"/>
        <w:snapToGrid w:val="0"/>
        <w:jc w:val="center"/>
        <w:rPr>
          <w:rFonts w:ascii="Arial" w:hAnsi="Arial" w:eastAsia="方正小标宋简体" w:cs="Arial"/>
          <w:sz w:val="36"/>
          <w:szCs w:val="36"/>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14:paraId="37F791A7">
      <w:pPr>
        <w:pStyle w:val="14"/>
        <w:snapToGrid w:val="0"/>
        <w:jc w:val="center"/>
        <w:rPr>
          <w:rFonts w:ascii="Arial" w:hAnsi="Arial" w:cs="Arial"/>
          <w:sz w:val="32"/>
          <w:szCs w:val="32"/>
        </w:rPr>
      </w:pPr>
    </w:p>
    <w:p w14:paraId="409EB72F">
      <w:pPr>
        <w:pStyle w:val="15"/>
        <w:rPr>
          <w:rFonts w:ascii="Arial" w:hAnsi="Arial" w:cs="Arial"/>
          <w:sz w:val="32"/>
          <w:szCs w:val="32"/>
        </w:rPr>
      </w:pPr>
    </w:p>
    <w:p w14:paraId="668BDAFE">
      <w:pPr>
        <w:pStyle w:val="9"/>
        <w:rPr>
          <w:rFonts w:ascii="Arial" w:hAnsi="Arial" w:cs="Arial"/>
          <w:sz w:val="32"/>
          <w:szCs w:val="32"/>
        </w:rPr>
      </w:pPr>
    </w:p>
    <w:p w14:paraId="30B28264">
      <w:pPr>
        <w:pStyle w:val="9"/>
        <w:rPr>
          <w:rFonts w:ascii="Arial" w:hAnsi="Arial" w:cs="Arial"/>
          <w:sz w:val="32"/>
          <w:szCs w:val="32"/>
        </w:rPr>
      </w:pPr>
    </w:p>
    <w:p w14:paraId="45C922C2">
      <w:pPr>
        <w:pStyle w:val="9"/>
        <w:rPr>
          <w:rFonts w:ascii="Arial" w:hAnsi="Arial" w:cs="Arial"/>
          <w:sz w:val="32"/>
          <w:szCs w:val="32"/>
        </w:rPr>
      </w:pPr>
    </w:p>
    <w:p w14:paraId="0233B328">
      <w:pPr>
        <w:pStyle w:val="9"/>
        <w:rPr>
          <w:rFonts w:ascii="Arial" w:hAnsi="Arial" w:cs="Arial"/>
          <w:sz w:val="32"/>
          <w:szCs w:val="32"/>
        </w:rPr>
      </w:pPr>
    </w:p>
    <w:p w14:paraId="65E4BC6C">
      <w:pPr>
        <w:pStyle w:val="9"/>
        <w:rPr>
          <w:rFonts w:ascii="Arial" w:hAnsi="Arial" w:cs="Arial"/>
          <w:sz w:val="32"/>
          <w:szCs w:val="32"/>
        </w:rPr>
      </w:pPr>
    </w:p>
    <w:p w14:paraId="7577245D">
      <w:pPr>
        <w:pStyle w:val="9"/>
        <w:rPr>
          <w:rFonts w:ascii="Arial" w:hAnsi="Arial" w:cs="Arial"/>
          <w:sz w:val="32"/>
          <w:szCs w:val="32"/>
        </w:rPr>
      </w:pPr>
    </w:p>
    <w:p w14:paraId="5337F494">
      <w:pPr>
        <w:pStyle w:val="9"/>
        <w:rPr>
          <w:rFonts w:ascii="Arial" w:hAnsi="Arial" w:cs="Arial"/>
          <w:sz w:val="32"/>
          <w:szCs w:val="32"/>
        </w:rPr>
      </w:pPr>
    </w:p>
    <w:p w14:paraId="0A4AE94E">
      <w:pPr>
        <w:pStyle w:val="14"/>
        <w:snapToGrid w:val="0"/>
        <w:jc w:val="center"/>
        <w:rPr>
          <w:rFonts w:ascii="Arial" w:hAnsi="Arial" w:cs="Arial"/>
          <w:sz w:val="32"/>
          <w:szCs w:val="32"/>
        </w:rPr>
      </w:pPr>
    </w:p>
    <w:p w14:paraId="13C7226F">
      <w:pPr>
        <w:pStyle w:val="14"/>
        <w:snapToGrid w:val="0"/>
        <w:jc w:val="center"/>
        <w:rPr>
          <w:rFonts w:ascii="Arial" w:hAnsi="Arial" w:cs="Arial"/>
          <w:sz w:val="32"/>
          <w:szCs w:val="32"/>
        </w:rPr>
      </w:pPr>
    </w:p>
    <w:p w14:paraId="0E6A0AE3">
      <w:pPr>
        <w:spacing w:line="360" w:lineRule="auto"/>
        <w:rPr>
          <w:rFonts w:hint="eastAsia"/>
          <w:bCs/>
          <w:sz w:val="32"/>
          <w:szCs w:val="32"/>
        </w:rPr>
      </w:pPr>
    </w:p>
    <w:p w14:paraId="221DD5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娄底市中心医院设备科医疗器械采购项目</w:t>
      </w:r>
    </w:p>
    <w:p w14:paraId="2646632F">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（超低温冰箱医院公开挂网</w:t>
      </w:r>
      <w:r>
        <w:rPr>
          <w:rFonts w:hint="eastAsia" w:ascii="Times New Roman" w:hAnsi="Times New Roman" w:eastAsia="宋体" w:cs="Times New Roman"/>
          <w:b/>
          <w:bCs/>
          <w:kern w:val="44"/>
          <w:sz w:val="32"/>
          <w:szCs w:val="32"/>
          <w:lang w:val="en-US" w:eastAsia="zh-CN" w:bidi="ar-SA"/>
        </w:rPr>
        <w:t>）</w:t>
      </w:r>
    </w:p>
    <w:p w14:paraId="2B704EEC">
      <w:pPr>
        <w:spacing w:line="320" w:lineRule="exact"/>
        <w:jc w:val="left"/>
        <w:rPr>
          <w:sz w:val="24"/>
        </w:rPr>
      </w:pPr>
    </w:p>
    <w:p w14:paraId="0354F586">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六</w:t>
      </w:r>
      <w:r>
        <w:rPr>
          <w:rFonts w:hint="eastAsia" w:ascii="宋体" w:hAnsi="宋体" w:cs="宋体"/>
          <w:bCs/>
          <w:sz w:val="32"/>
          <w:szCs w:val="32"/>
        </w:rPr>
        <w:t>年</w:t>
      </w:r>
      <w:r>
        <w:rPr>
          <w:rFonts w:hint="eastAsia" w:ascii="宋体" w:hAnsi="宋体" w:cs="宋体"/>
          <w:bCs/>
          <w:sz w:val="32"/>
          <w:szCs w:val="32"/>
          <w:lang w:val="en-US" w:eastAsia="zh-CN"/>
        </w:rPr>
        <w:t>一</w:t>
      </w:r>
      <w:r>
        <w:rPr>
          <w:rFonts w:hint="eastAsia" w:ascii="宋体" w:hAnsi="宋体" w:cs="宋体"/>
          <w:bCs/>
          <w:sz w:val="32"/>
          <w:szCs w:val="32"/>
        </w:rPr>
        <w:t>月</w:t>
      </w:r>
    </w:p>
    <w:p w14:paraId="43FCB49C">
      <w:pPr>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br w:type="page"/>
      </w:r>
    </w:p>
    <w:p w14:paraId="02230438">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049FCDF5">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超低温冰箱</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33F26BBC">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20A851AA">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超低温冰箱</w:t>
      </w:r>
      <w:r>
        <w:rPr>
          <w:rFonts w:hint="eastAsia" w:asciiTheme="minorEastAsia" w:hAnsiTheme="minorEastAsia" w:eastAsiaTheme="minorEastAsia" w:cstheme="minorEastAsia"/>
          <w:b w:val="0"/>
          <w:bCs/>
          <w:color w:val="auto"/>
          <w:sz w:val="24"/>
          <w:szCs w:val="24"/>
          <w:lang w:val="en-US" w:eastAsia="zh-CN"/>
        </w:rPr>
        <w:t>项目</w:t>
      </w:r>
    </w:p>
    <w:p w14:paraId="0CDBF21C">
      <w:pPr>
        <w:pStyle w:val="14"/>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7C7C445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1、医院公开挂网</w:t>
      </w:r>
      <w:r>
        <w:rPr>
          <w:rFonts w:hint="eastAsia" w:asciiTheme="minorEastAsia" w:hAnsiTheme="minorEastAsia" w:eastAsiaTheme="minorEastAsia" w:cstheme="minorEastAsia"/>
          <w:bCs/>
          <w:color w:val="auto"/>
          <w:sz w:val="24"/>
          <w:szCs w:val="24"/>
          <w:lang w:val="en-US" w:eastAsia="zh-CN"/>
        </w:rPr>
        <w:t>，最低评标价法，在满足所有参数的条件下，报价最低者中标，如有多个并列最低价，则由并列最低价投标人再次报价，直至出现最低报价为止。</w:t>
      </w:r>
    </w:p>
    <w:bookmarkEnd w:id="0"/>
    <w:p w14:paraId="0ACEB349">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55893B32">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1F42DD7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0ACB140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21C808E0">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15D09420">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12B2191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623B8589">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6B89F276">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27C4F677">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67F7E3C9">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2BA1D7AB">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31DB0AF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5023AEF5">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0ADD55F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DD88B5A">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4EF3F462">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6CA551A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2BB116B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0D3123B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79343047">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1C567C2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486FB98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42006801">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0F261BB7">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6D411BA9">
      <w:pPr>
        <w:pStyle w:val="15"/>
        <w:rPr>
          <w:rFonts w:hint="eastAsia"/>
          <w:lang w:val="en-US" w:eastAsia="zh-CN"/>
        </w:rPr>
      </w:pPr>
    </w:p>
    <w:p w14:paraId="7E250597">
      <w:pPr>
        <w:pStyle w:val="15"/>
        <w:jc w:val="both"/>
        <w:rPr>
          <w:rFonts w:hint="default"/>
          <w:lang w:val="en-US" w:eastAsia="zh-CN"/>
        </w:rPr>
      </w:pPr>
    </w:p>
    <w:p w14:paraId="22CD3DC2">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715EDAE9">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0F41F978">
      <w:pPr>
        <w:pStyle w:val="15"/>
        <w:rPr>
          <w:rFonts w:hint="eastAsia" w:ascii="宋体" w:hAnsi="宋体" w:cs="宋体"/>
          <w:b/>
          <w:bCs/>
          <w:color w:val="auto"/>
          <w:sz w:val="44"/>
          <w:szCs w:val="44"/>
          <w:lang w:val="en-US" w:eastAsia="zh-CN"/>
        </w:rPr>
      </w:pPr>
    </w:p>
    <w:p w14:paraId="6DFDBEAA">
      <w:pPr>
        <w:pStyle w:val="9"/>
        <w:rPr>
          <w:rFonts w:hint="eastAsia" w:ascii="宋体" w:hAnsi="宋体" w:cs="宋体"/>
          <w:b/>
          <w:bCs/>
          <w:color w:val="auto"/>
          <w:sz w:val="44"/>
          <w:szCs w:val="44"/>
          <w:lang w:val="en-US" w:eastAsia="zh-CN"/>
        </w:rPr>
      </w:pPr>
    </w:p>
    <w:p w14:paraId="30F94F1D">
      <w:pPr>
        <w:rPr>
          <w:rFonts w:hint="eastAsia" w:ascii="宋体" w:hAnsi="宋体" w:cs="宋体"/>
          <w:b/>
          <w:bCs/>
          <w:color w:val="auto"/>
          <w:sz w:val="44"/>
          <w:szCs w:val="44"/>
          <w:lang w:val="en-US" w:eastAsia="zh-CN"/>
        </w:rPr>
      </w:pPr>
    </w:p>
    <w:p w14:paraId="102811BE">
      <w:pPr>
        <w:pStyle w:val="13"/>
        <w:rPr>
          <w:rFonts w:hint="eastAsia"/>
          <w:lang w:val="en-US" w:eastAsia="zh-CN"/>
        </w:rPr>
      </w:pPr>
    </w:p>
    <w:p w14:paraId="04DC7BC4">
      <w:pPr>
        <w:pStyle w:val="2"/>
        <w:rPr>
          <w:rFonts w:hint="eastAsia" w:ascii="宋体" w:hAnsi="宋体" w:cs="宋体"/>
          <w:b/>
          <w:bCs/>
          <w:color w:val="auto"/>
          <w:sz w:val="44"/>
          <w:szCs w:val="44"/>
          <w:lang w:val="en-US" w:eastAsia="zh-CN"/>
        </w:rPr>
      </w:pPr>
    </w:p>
    <w:p w14:paraId="127EFE5C">
      <w:pPr>
        <w:rPr>
          <w:rFonts w:hint="eastAsia" w:ascii="宋体" w:hAnsi="宋体" w:cs="宋体"/>
          <w:b/>
          <w:bCs/>
          <w:color w:val="auto"/>
          <w:sz w:val="44"/>
          <w:szCs w:val="44"/>
          <w:lang w:val="en-US" w:eastAsia="zh-CN"/>
        </w:rPr>
      </w:pPr>
    </w:p>
    <w:p w14:paraId="4A7B14FC">
      <w:pPr>
        <w:rPr>
          <w:rFonts w:hint="eastAsia" w:ascii="宋体" w:hAnsi="宋体" w:cs="宋体"/>
          <w:b/>
          <w:bCs/>
          <w:color w:val="auto"/>
          <w:sz w:val="44"/>
          <w:szCs w:val="44"/>
          <w:lang w:val="en-US" w:eastAsia="zh-CN"/>
        </w:rPr>
      </w:pPr>
    </w:p>
    <w:p w14:paraId="05DE6F3A">
      <w:pPr>
        <w:rPr>
          <w:rFonts w:hint="eastAsia"/>
          <w:lang w:val="en-US" w:eastAsia="zh-CN"/>
        </w:rPr>
      </w:pPr>
    </w:p>
    <w:p w14:paraId="28624900">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736FC095">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38C7315">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0"/>
        <w:tblW w:w="9613"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958"/>
        <w:gridCol w:w="2370"/>
        <w:gridCol w:w="1665"/>
        <w:gridCol w:w="2310"/>
        <w:gridCol w:w="2310"/>
      </w:tblGrid>
      <w:tr w14:paraId="38AB9E0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9E0CB90">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4A50A28">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设备</w:t>
            </w:r>
            <w:bookmarkStart w:id="4" w:name="_GoBack"/>
            <w:bookmarkEnd w:id="4"/>
            <w:r>
              <w:rPr>
                <w:rFonts w:hint="eastAsia" w:asciiTheme="minorEastAsia" w:hAnsiTheme="minorEastAsia" w:eastAsiaTheme="minorEastAsia" w:cstheme="minorEastAsia"/>
                <w:kern w:val="2"/>
                <w:sz w:val="24"/>
                <w:szCs w:val="24"/>
              </w:rPr>
              <w:t>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137C3FB8">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6D78E54A">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0B155498">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是否允许进口产品</w:t>
            </w:r>
          </w:p>
        </w:tc>
      </w:tr>
      <w:tr w14:paraId="69DE814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508FB3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17944EF">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超低温冰箱</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3D7170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19EAF0A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2.85</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5EE1B04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否</w:t>
            </w:r>
          </w:p>
        </w:tc>
      </w:tr>
    </w:tbl>
    <w:p w14:paraId="737A1F41">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78C7E4BA">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2EAE5CA4">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33C78225">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2F1CEC5E">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14:paraId="6629044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一、技术参数</w:t>
      </w:r>
    </w:p>
    <w:p w14:paraId="15FD8B43">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 xml:space="preserve">1.工作条件：环境温度10～32℃，环境湿度：20～80%RH，电压：198V～242V，频率：50Hz±1。  </w:t>
      </w:r>
    </w:p>
    <w:p w14:paraId="5C95889A">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 xml:space="preserve">2.样式：立式，有效容积不低于340L。 </w:t>
      </w:r>
    </w:p>
    <w:p w14:paraId="13686B17">
      <w:pPr>
        <w:spacing w:line="360" w:lineRule="auto"/>
        <w:ind w:firstLine="480" w:firstLineChars="200"/>
        <w:rPr>
          <w:rFonts w:hint="eastAsia" w:ascii="宋体" w:hAnsi="宋体"/>
          <w:b w:val="0"/>
          <w:bCs/>
          <w:color w:val="FF0000"/>
          <w:sz w:val="24"/>
        </w:rPr>
      </w:pPr>
      <w:r>
        <w:rPr>
          <w:rFonts w:hint="eastAsia" w:ascii="宋体" w:hAnsi="宋体"/>
          <w:b w:val="0"/>
          <w:bCs/>
          <w:color w:val="FF0000"/>
          <w:sz w:val="24"/>
        </w:rPr>
        <w:t>3.外部尺寸(宽*深*高)：720*1000*1800±50mm，内部尺寸(宽*深*高)：460*710*1080±50mm。</w:t>
      </w:r>
    </w:p>
    <w:p w14:paraId="5087D55D">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4.精确控温：采用LED或LCD温度显示，显示精度0.1℃，设置按键锁、制冷、电源，电量低、断电、静音、门开关等不少于8个指示灯，较全面监控产品运行状态。高精度微电脑温度控制系统，适用范围在-40℃～-86℃。</w:t>
      </w:r>
    </w:p>
    <w:p w14:paraId="3F12706D">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5.箱体材料：优质结构钢板，抗过氧化氢、臭氧腐蚀。</w:t>
      </w:r>
    </w:p>
    <w:p w14:paraId="6CB64B8B">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6.内胆材料：镀锌板喷涂，抗腐蚀，清洗方便。</w:t>
      </w:r>
    </w:p>
    <w:p w14:paraId="2614BF68">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7.四个万向脚轮，2个固定调整脚，方便移动安放。</w:t>
      </w:r>
    </w:p>
    <w:p w14:paraId="386A478B">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8.磁吸式PVC过滤防尘网，无需工具即可清洗。</w:t>
      </w:r>
    </w:p>
    <w:p w14:paraId="47A575B0">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9.内部结构：三层不锈钢可调节层隔板，方便分类存储。</w:t>
      </w:r>
    </w:p>
    <w:p w14:paraId="104E7E78">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10.配置4个扣压式发泡内门，内门厚度不低于35mm；内外双层发泡门设计，采用聚氨酯发泡保温层，有效阻隔热传导，保温性能更佳。</w:t>
      </w:r>
    </w:p>
    <w:p w14:paraId="662BDD20">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11.标配2个孔径不大于30mm测试孔：左侧1个，后背1个，方便温度采集模块监测箱内温度。</w:t>
      </w:r>
    </w:p>
    <w:p w14:paraId="145E032F">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12.助力把手，开启轻便，把手带锁，配置外挂锁，实现双人管理，保障样本安全。</w:t>
      </w:r>
    </w:p>
    <w:p w14:paraId="24D1FAC3">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13.保温材料：采用真空VIP隔热板加聚氨酯发泡的复合保温层，保温层厚度不低于130mm，6道密封设计，保温效果好。</w:t>
      </w:r>
    </w:p>
    <w:p w14:paraId="79ACE7D2">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14.压缩机：采用高效全封闭式压缩机及风扇电机，节能高效、低噪音。</w:t>
      </w:r>
    </w:p>
    <w:p w14:paraId="02D62C81">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15.采用自复叠制冷系统、环保制冷剂，制冷效率高，降温更迅速。</w:t>
      </w:r>
    </w:p>
    <w:p w14:paraId="2B5002F9">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16.安全存储：具备高低温、断电、电池电量低、传感器故障、环温超标、冷凝器高温、通讯故障、远程报警等，物品存储更安全。</w:t>
      </w:r>
    </w:p>
    <w:p w14:paraId="514097B4">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17.具备开机延时和停机间隔保护功能，确保运行可靠；可设置错峰启动，保护机器运行及用户环境安全；键盘锁定和不少于4位密码保护功能，防止随意调整运行参数；</w:t>
      </w:r>
    </w:p>
    <w:p w14:paraId="64F3A6A6">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18.标配蓄电池，断电状态可持续为控制系统供电不低于48h，提供报警和显示功能。</w:t>
      </w:r>
    </w:p>
    <w:p w14:paraId="0A6BE922">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19.标配USB接口、RS485接口、远程报警接口。</w:t>
      </w:r>
    </w:p>
    <w:p w14:paraId="446539EB">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20.稳定运行状态，温度均匀性不大于2℃，温度波动性不大于2℃，具备第三方检测机构出具的测试报告，检测报告具备中国计量认证标识。</w:t>
      </w:r>
    </w:p>
    <w:p w14:paraId="21EB94F1">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21.空载降温达到-80℃时间不大于3.0小时，具备第三方检测机构出具的测试报告，检测报告具备中国计量认证标识。</w:t>
      </w:r>
    </w:p>
    <w:p w14:paraId="2BC53DBB">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 xml:space="preserve">22.噪音不大于50dB，具备第三方检测机构出具的测试报告，检测报告具备中国计量认证标识。 </w:t>
      </w:r>
    </w:p>
    <w:p w14:paraId="0421725E">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 xml:space="preserve">23.单日耗电量不大于7Kw.h/24h。 </w:t>
      </w:r>
    </w:p>
    <w:p w14:paraId="05BA0AFB">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24.稳定运行后，断电回温至-50℃时间不低于210min，具备第三方检测机构出具的测试报告，检测报告具备中国计量认证标识。</w:t>
      </w:r>
    </w:p>
    <w:p w14:paraId="00CEE230">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25.设定温度为-80℃时，稳定运行后，内外门体开启1min后关门，箱内温度从开门时降至-75℃时所需时间不大于20min，具备第三方检测机构出具的测试报告。</w:t>
      </w:r>
    </w:p>
    <w:p w14:paraId="1399B03E">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26.可存储2英寸标准冻存盒≥240个，2ml内旋冻存管≥24000个。</w:t>
      </w:r>
    </w:p>
    <w:p w14:paraId="24C13073">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14:paraId="1FF58FB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1、运输、装卸、培训、安装调试：由中标人负责承担，最终通过使用科室、设备科及相关部门确认验收交付使用。国产设备交付，设备必须为6个月内生产的产品；进口设备交付，设备必须为一年内生产的产品。</w:t>
      </w:r>
    </w:p>
    <w:p w14:paraId="5DEBA95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2、交货时间：按合同约定的日期交货。</w:t>
      </w:r>
    </w:p>
    <w:p w14:paraId="332A0F8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3、交货地点：娄底市中心医院指定地点。</w:t>
      </w:r>
    </w:p>
    <w:p w14:paraId="4FBCF4D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4、付款方式：设备验收合格后，供应商将发票交到娄底市中心医院后按程序支付货款90%（按医院财务制度一般情况下4个月内支付、特殊情况下最多不超过6个月），甲方在设备验收合格满</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年后</w:t>
      </w:r>
      <w:r>
        <w:rPr>
          <w:rFonts w:hint="eastAsia" w:ascii="宋体" w:hAnsi="宋体" w:cs="宋体"/>
          <w:color w:val="auto"/>
          <w:sz w:val="24"/>
          <w:szCs w:val="24"/>
          <w:lang w:eastAsia="zh-CN"/>
        </w:rPr>
        <w:t>免息</w:t>
      </w:r>
      <w:r>
        <w:rPr>
          <w:rFonts w:hint="eastAsia" w:ascii="宋体" w:hAnsi="宋体" w:eastAsia="宋体" w:cs="宋体"/>
          <w:color w:val="auto"/>
          <w:sz w:val="24"/>
          <w:szCs w:val="24"/>
        </w:rPr>
        <w:t>支付10%余款给乙方。</w:t>
      </w:r>
    </w:p>
    <w:p w14:paraId="72538B2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5、质保与售后：整机保修</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年，终身维修。验收时出具原厂售后质保承诺书，质保期内每年巡检一次，并提交巡检记录。质保期内出现故障，1小时响应，响应后24小时上门服务。</w:t>
      </w:r>
    </w:p>
    <w:p w14:paraId="785FD48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6、在投标文件中必须提供相关佐证资料(加盖投标人公章的技术参数、技术白皮书、说明书、彩页)，并在响应表中备注该条参数响应或正偏离的佐证资料所在页码。</w:t>
      </w:r>
    </w:p>
    <w:p w14:paraId="002EA66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1190B9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3AE7D2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68C94A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7A3E69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CBF51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081DCE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39B230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19A383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5A92BC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737229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30A737BB">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7EC9F7F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14:paraId="4C0928F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14:paraId="5DF73BF3">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400FED38">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14:paraId="76C36E25">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r>
        <w:rPr>
          <w:rFonts w:hint="eastAsia" w:ascii="宋体" w:hAnsi="宋体" w:eastAsia="宋体" w:cs="宋体"/>
          <w:color w:val="0000FF"/>
          <w:sz w:val="24"/>
          <w:szCs w:val="24"/>
          <w:highlight w:val="none"/>
          <w:lang w:val="en-US" w:eastAsia="zh-CN"/>
        </w:rPr>
        <w:t>杨吉军</w:t>
      </w:r>
    </w:p>
    <w:p w14:paraId="5212399E">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14:paraId="40B43ECE">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14:paraId="5C8CB027">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14:paraId="5D2FC885">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14:paraId="05D9403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14:paraId="51433B76">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14:paraId="7B802A09">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14:paraId="35B729D9">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14:paraId="4600135A">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14:paraId="2CA0F507">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5EC97A4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71EEAD67">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医院公开挂网</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超低温冰箱</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。根据《中华人民共和国民法典》《中华人民共和国政府采购法》等相关法律规定，甲乙双方在采购项目确定的基础上，就采购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超低温冰箱</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14:paraId="483F1DC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14:paraId="4D97477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10"/>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1"/>
        <w:gridCol w:w="1102"/>
        <w:gridCol w:w="974"/>
        <w:gridCol w:w="1320"/>
        <w:gridCol w:w="940"/>
        <w:gridCol w:w="1654"/>
      </w:tblGrid>
      <w:tr w14:paraId="77451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421" w:type="dxa"/>
            <w:vAlign w:val="top"/>
          </w:tcPr>
          <w:p w14:paraId="72699E3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102" w:type="dxa"/>
            <w:vAlign w:val="top"/>
          </w:tcPr>
          <w:p w14:paraId="05DAA20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974" w:type="dxa"/>
            <w:vAlign w:val="top"/>
          </w:tcPr>
          <w:p w14:paraId="731F090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vAlign w:val="top"/>
          </w:tcPr>
          <w:p w14:paraId="20DAA1E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vAlign w:val="top"/>
          </w:tcPr>
          <w:p w14:paraId="2420B12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vAlign w:val="top"/>
          </w:tcPr>
          <w:p w14:paraId="3D7E5E4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14:paraId="6A521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2421" w:type="dxa"/>
            <w:vAlign w:val="top"/>
          </w:tcPr>
          <w:p w14:paraId="7000040B">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超低温冰箱</w:t>
            </w:r>
          </w:p>
        </w:tc>
        <w:tc>
          <w:tcPr>
            <w:tcW w:w="1102" w:type="dxa"/>
            <w:vAlign w:val="center"/>
          </w:tcPr>
          <w:p w14:paraId="06CC931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74" w:type="dxa"/>
            <w:vAlign w:val="top"/>
          </w:tcPr>
          <w:p w14:paraId="2F36254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vAlign w:val="top"/>
          </w:tcPr>
          <w:p w14:paraId="4531B34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vAlign w:val="top"/>
          </w:tcPr>
          <w:p w14:paraId="4AFBD0C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1</w:t>
            </w:r>
          </w:p>
        </w:tc>
        <w:tc>
          <w:tcPr>
            <w:tcW w:w="1654" w:type="dxa"/>
            <w:vAlign w:val="top"/>
          </w:tcPr>
          <w:p w14:paraId="66A6F4A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3A202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vAlign w:val="top"/>
          </w:tcPr>
          <w:p w14:paraId="6C6491FA">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14:paraId="5655A21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不因物价、市场波动变更，约定价格包括且不限于设计费、材料费、人工费、安装费、包装费、运输费、装卸费、调试费、接口费、检测费、检验费、税费、保险费、售后服务费、附随服务费等在内所有费用。 </w:t>
      </w:r>
    </w:p>
    <w:p w14:paraId="253E529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1.3</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val="en-US" w:eastAsia="zh-CN"/>
          <w14:textFill>
            <w14:solidFill>
              <w14:schemeClr w14:val="tx1"/>
            </w14:solidFill>
          </w14:textFill>
        </w:rPr>
        <w:t>无</w:t>
      </w:r>
      <w:r>
        <w:rPr>
          <w:rFonts w:hint="eastAsia" w:ascii="宋体" w:hAnsi="宋体" w:cs="宋体"/>
          <w:color w:val="000000" w:themeColor="text1"/>
          <w:sz w:val="24"/>
          <w:szCs w:val="24"/>
          <w:highlight w:val="none"/>
          <w:lang w:eastAsia="zh-CN"/>
          <w14:textFill>
            <w14:solidFill>
              <w14:schemeClr w14:val="tx1"/>
            </w14:solidFill>
          </w14:textFill>
        </w:rPr>
        <w:t>需</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w:t>
      </w:r>
      <w:r>
        <w:rPr>
          <w:rFonts w:hint="eastAsia" w:ascii="宋体" w:hAnsi="宋体" w:cs="宋体"/>
          <w:color w:val="000000" w:themeColor="text1"/>
          <w:sz w:val="24"/>
          <w:szCs w:val="24"/>
          <w:highlight w:val="none"/>
          <w14:textFill>
            <w14:solidFill>
              <w14:schemeClr w14:val="tx1"/>
            </w14:solidFill>
          </w14:textFill>
        </w:rPr>
        <w:t>。</w:t>
      </w:r>
    </w:p>
    <w:p w14:paraId="2B54346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14:paraId="39D4D0C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14:paraId="6E7CB41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573783A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14:paraId="2E3D1E6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14:paraId="4C366AC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r>
        <w:rPr>
          <w:rFonts w:hint="eastAsia" w:ascii="宋体" w:hAnsi="宋体" w:eastAsia="宋体" w:cs="宋体"/>
          <w:color w:val="FF0000"/>
          <w:sz w:val="24"/>
          <w:szCs w:val="24"/>
          <w:highlight w:val="none"/>
          <w:lang w:val="en-US" w:eastAsia="zh-CN"/>
        </w:rPr>
        <w:t>如乙方应交付的设备属于国产</w:t>
      </w:r>
      <w:r>
        <w:rPr>
          <w:rFonts w:hint="eastAsia" w:ascii="宋体" w:hAnsi="宋体" w:cs="宋体"/>
          <w:color w:val="FF0000"/>
          <w:sz w:val="24"/>
          <w:szCs w:val="24"/>
          <w:highlight w:val="none"/>
          <w:lang w:val="en-US" w:eastAsia="zh-CN"/>
        </w:rPr>
        <w:t>设备，则应保证该设备为交付时起近</w:t>
      </w:r>
      <w:r>
        <w:rPr>
          <w:rFonts w:hint="eastAsia" w:ascii="宋体" w:hAnsi="宋体" w:cs="宋体"/>
          <w:color w:val="FF0000"/>
          <w:sz w:val="24"/>
          <w:szCs w:val="24"/>
          <w:highlight w:val="none"/>
          <w:lang w:eastAsia="zh-CN"/>
        </w:rPr>
        <w:t>6个月内生产的产品；</w:t>
      </w:r>
      <w:r>
        <w:rPr>
          <w:rFonts w:hint="eastAsia" w:ascii="宋体" w:hAnsi="宋体" w:cs="宋体"/>
          <w:color w:val="FF0000"/>
          <w:sz w:val="24"/>
          <w:szCs w:val="24"/>
          <w:highlight w:val="none"/>
          <w:lang w:val="en-US" w:eastAsia="zh-CN"/>
        </w:rPr>
        <w:t>如乙方</w:t>
      </w:r>
      <w:r>
        <w:rPr>
          <w:rFonts w:hint="eastAsia" w:ascii="宋体" w:hAnsi="宋体" w:eastAsia="宋体" w:cs="宋体"/>
          <w:color w:val="FF0000"/>
          <w:sz w:val="24"/>
          <w:szCs w:val="24"/>
          <w:highlight w:val="none"/>
          <w:lang w:val="en-US" w:eastAsia="zh-CN"/>
        </w:rPr>
        <w:t>应</w:t>
      </w:r>
      <w:r>
        <w:rPr>
          <w:rFonts w:hint="eastAsia" w:ascii="宋体" w:hAnsi="宋体" w:cs="宋体"/>
          <w:color w:val="FF0000"/>
          <w:sz w:val="24"/>
          <w:szCs w:val="24"/>
          <w:highlight w:val="none"/>
          <w:lang w:val="en-US" w:eastAsia="zh-CN"/>
        </w:rPr>
        <w:t>交付的设备属于</w:t>
      </w:r>
      <w:r>
        <w:rPr>
          <w:rFonts w:hint="eastAsia" w:ascii="宋体" w:hAnsi="宋体" w:eastAsia="宋体" w:cs="宋体"/>
          <w:color w:val="FF0000"/>
          <w:sz w:val="24"/>
          <w:szCs w:val="24"/>
          <w:highlight w:val="none"/>
          <w:lang w:val="en-US" w:eastAsia="zh-CN"/>
        </w:rPr>
        <w:t>进口设备</w:t>
      </w:r>
      <w:r>
        <w:rPr>
          <w:rFonts w:hint="eastAsia" w:ascii="宋体" w:hAnsi="宋体" w:cs="宋体"/>
          <w:color w:val="FF0000"/>
          <w:sz w:val="24"/>
          <w:szCs w:val="24"/>
          <w:highlight w:val="none"/>
          <w:lang w:val="en-US" w:eastAsia="zh-CN"/>
        </w:rPr>
        <w:t>，则应保证该设备</w:t>
      </w:r>
      <w:r>
        <w:rPr>
          <w:rFonts w:hint="eastAsia" w:ascii="宋体" w:hAnsi="宋体" w:cs="宋体"/>
          <w:color w:val="FF0000"/>
          <w:sz w:val="24"/>
          <w:szCs w:val="24"/>
          <w:highlight w:val="none"/>
          <w:lang w:eastAsia="zh-CN"/>
        </w:rPr>
        <w:t>为</w:t>
      </w:r>
      <w:r>
        <w:rPr>
          <w:rFonts w:hint="eastAsia" w:ascii="宋体" w:hAnsi="宋体" w:cs="宋体"/>
          <w:color w:val="FF0000"/>
          <w:sz w:val="24"/>
          <w:szCs w:val="24"/>
          <w:highlight w:val="none"/>
          <w:lang w:val="en-US" w:eastAsia="zh-CN"/>
        </w:rPr>
        <w:t>交付时起近一年</w:t>
      </w:r>
      <w:r>
        <w:rPr>
          <w:rFonts w:hint="eastAsia" w:ascii="宋体" w:hAnsi="宋体" w:cs="宋体"/>
          <w:color w:val="FF0000"/>
          <w:sz w:val="24"/>
          <w:szCs w:val="24"/>
          <w:highlight w:val="none"/>
          <w:lang w:eastAsia="zh-CN"/>
        </w:rPr>
        <w:t>内生产的产品</w:t>
      </w:r>
      <w:r>
        <w:rPr>
          <w:rFonts w:hint="eastAsia" w:ascii="宋体" w:hAnsi="宋体" w:eastAsia="宋体" w:cs="宋体"/>
          <w:color w:val="FF0000"/>
          <w:sz w:val="24"/>
          <w:szCs w:val="24"/>
          <w:highlight w:val="none"/>
          <w:lang w:val="en-US" w:eastAsia="zh-CN"/>
        </w:rPr>
        <w:t>。</w:t>
      </w:r>
    </w:p>
    <w:p w14:paraId="6082E79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14:paraId="7374483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14:paraId="5DC8668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14:paraId="2AFF700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14:paraId="7626225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14:paraId="4DE7FC7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14:paraId="7C8E5E4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14:paraId="7636665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邓时敏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14:paraId="5948ED3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14:paraId="2093C2C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14:paraId="77EE8E0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14:paraId="17E98A0E">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14:paraId="755E3C9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p>
    <w:p w14:paraId="04E56DB7">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14:paraId="39C3BA3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14:paraId="326BC16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14:paraId="1E401FE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14:paraId="395273C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14:paraId="76351CB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14:paraId="69C9753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14:paraId="03B8EB5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14:paraId="02A2043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14:paraId="76C5ECD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5FCDC37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14:paraId="3C85EF6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14:paraId="54780AC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14:paraId="0DEAAB2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1373960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64A31EDE">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14:paraId="2B19520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1C15D5B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乙方应对保密信息采取有效手段严格保密，不得用于非本合同之目的或向第三方泄露。如政府部门、法院或其他有权部门要求乙方提供保密信息，乙方应当立即向甲方通报。</w:t>
      </w:r>
    </w:p>
    <w:p w14:paraId="1EEC2C3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14:paraId="2C7A742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14:paraId="3A3B92A3">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14:paraId="0045B51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62729A2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02FB910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7F48A14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2629494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7AF0B27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67AD659C">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14:paraId="1AB74EB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14:paraId="77AF9CFD">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14:paraId="4F8FC9E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14:paraId="5204739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14:paraId="10249F9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14:paraId="47ADB05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14:paraId="20DC58C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14:paraId="1404E5B4">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14:paraId="3A3A8D5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5424CE8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14:paraId="139D630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14:paraId="34837D8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无论甲方在任意时候（不限于本合同履行期间）发现存在违反本合同廉洁条款及供应商考核管理制度约定的行为，乙方均须向甲方支付一次性惩罚性违约金，</w:t>
      </w:r>
      <w:r>
        <w:rPr>
          <w:rFonts w:hint="eastAsia" w:ascii="宋体" w:hAnsi="宋体" w:eastAsia="宋体" w:cs="宋体"/>
          <w:b/>
          <w:bCs/>
          <w:color w:val="FF0000"/>
          <w:sz w:val="24"/>
          <w:szCs w:val="24"/>
          <w:highlight w:val="none"/>
          <w:u w:val="single"/>
          <w:lang w:val="en-US" w:eastAsia="zh-CN"/>
        </w:rPr>
        <w:t>该违约金金额按以下较高者确定：（1）本合同总费用的10%；（2）根据《娄底市中心医院医疗器械供应商考核管理制度》规定计算的廉政违约金金额。</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如乙方除需承担违反廉洁条款及供应商考核管理制度的违约责任外，同时存在其他违约行为，乙方仍须就其他违约行为承担相应违约责任。</w:t>
      </w:r>
    </w:p>
    <w:p w14:paraId="4B006597">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172CACBC">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14:paraId="2DFD7A8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14:paraId="4AB4B91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3C41C28F">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14:paraId="0B00F99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FF0000"/>
          <w:sz w:val="24"/>
          <w:highlight w:val="none"/>
        </w:rPr>
        <w:t>1</w:t>
      </w:r>
      <w:r>
        <w:rPr>
          <w:rFonts w:hint="eastAsia" w:ascii="宋体" w:hAnsi="宋体" w:eastAsia="宋体" w:cs="宋体"/>
          <w:color w:val="FF0000"/>
          <w:sz w:val="24"/>
          <w:highlight w:val="none"/>
          <w:lang w:val="en-US" w:eastAsia="zh-CN"/>
        </w:rPr>
        <w:t>4</w:t>
      </w:r>
      <w:r>
        <w:rPr>
          <w:rFonts w:hint="eastAsia" w:ascii="宋体" w:hAnsi="宋体" w:eastAsia="宋体" w:cs="宋体"/>
          <w:color w:val="FF0000"/>
          <w:sz w:val="24"/>
          <w:highlight w:val="none"/>
        </w:rPr>
        <w:t>.</w:t>
      </w:r>
      <w:r>
        <w:rPr>
          <w:rFonts w:hint="eastAsia" w:ascii="宋体" w:hAnsi="宋体" w:eastAsia="宋体" w:cs="宋体"/>
          <w:color w:val="FF0000"/>
          <w:sz w:val="24"/>
          <w:highlight w:val="none"/>
          <w:lang w:val="en-US" w:eastAsia="zh-CN"/>
        </w:rPr>
        <w:t>1 甲方《娄底市中心医院医疗器械供应商考核管理制度》、</w:t>
      </w:r>
      <w:r>
        <w:rPr>
          <w:rFonts w:hint="eastAsia" w:ascii="宋体" w:hAnsi="宋体" w:eastAsia="宋体" w:cs="宋体"/>
          <w:color w:val="FF0000"/>
          <w:sz w:val="24"/>
          <w:highlight w:val="none"/>
          <w:lang w:eastAsia="zh-CN"/>
        </w:rPr>
        <w:t>乙方加盖公章的资质复印件、售后承诺等作为本合同附件。</w:t>
      </w:r>
    </w:p>
    <w:p w14:paraId="0530E16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 xml:space="preserve">14.2 </w:t>
      </w:r>
      <w:r>
        <w:rPr>
          <w:rFonts w:hint="eastAsia" w:ascii="宋体" w:hAnsi="宋体" w:eastAsia="宋体" w:cs="宋体"/>
          <w:color w:val="000000" w:themeColor="text1"/>
          <w:sz w:val="24"/>
          <w:highlight w:val="none"/>
          <w14:textFill>
            <w14:solidFill>
              <w14:schemeClr w14:val="tx1"/>
            </w14:solidFill>
          </w14:textFill>
        </w:rPr>
        <w:t>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14:paraId="0B9B090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 xml:space="preserve">3 </w:t>
      </w:r>
      <w:r>
        <w:rPr>
          <w:rFonts w:hint="eastAsia" w:ascii="宋体" w:hAnsi="宋体" w:eastAsia="宋体" w:cs="宋体"/>
          <w:color w:val="000000" w:themeColor="text1"/>
          <w:sz w:val="24"/>
          <w:highlight w:val="none"/>
          <w14:textFill>
            <w14:solidFill>
              <w14:schemeClr w14:val="tx1"/>
            </w14:solidFill>
          </w14:textFill>
        </w:rPr>
        <w:t>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583CC529">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2BEAD8DA">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14:paraId="7DADE92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 xml:space="preserve">法定代表人（签字）：  </w:t>
      </w:r>
    </w:p>
    <w:p w14:paraId="4B508E64">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14:paraId="6D2D5DB0">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14:paraId="08BC7CCC">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59477137">
      <w:pPr>
        <w:rPr>
          <w:rFonts w:hint="default" w:ascii="宋体" w:hAnsi="宋体" w:eastAsia="宋体" w:cs="宋体"/>
          <w:color w:val="auto"/>
          <w:sz w:val="24"/>
          <w:szCs w:val="24"/>
          <w:lang w:val="en-US" w:eastAsia="zh-CN"/>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p>
    <w:p w14:paraId="6E1EB1A4">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406F865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1C77077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5884363F">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2E838F41">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42075ED1">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0011AD09">
      <w:pPr>
        <w:rPr>
          <w:rFonts w:hint="eastAsia" w:ascii="宋体" w:hAnsi="宋体" w:cs="宋体"/>
          <w:color w:val="auto"/>
        </w:rPr>
      </w:pPr>
    </w:p>
    <w:bookmarkEnd w:id="1"/>
    <w:p w14:paraId="6B60CB95">
      <w:pPr>
        <w:rPr>
          <w:rFonts w:hint="eastAsia"/>
          <w:color w:val="auto"/>
        </w:rPr>
      </w:pPr>
    </w:p>
    <w:p w14:paraId="463F9F65">
      <w:pPr>
        <w:jc w:val="center"/>
        <w:rPr>
          <w:b/>
          <w:color w:val="auto"/>
          <w:sz w:val="24"/>
        </w:rPr>
      </w:pPr>
      <w:r>
        <w:rPr>
          <w:b/>
          <w:color w:val="auto"/>
          <w:sz w:val="28"/>
          <w:szCs w:val="28"/>
        </w:rPr>
        <w:t>第一部分、开标一览表</w:t>
      </w:r>
    </w:p>
    <w:p w14:paraId="40105E6A">
      <w:pPr>
        <w:jc w:val="center"/>
        <w:rPr>
          <w:b/>
          <w:color w:val="auto"/>
          <w:sz w:val="24"/>
        </w:rPr>
      </w:pPr>
    </w:p>
    <w:p w14:paraId="60B35180">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71CAD04D">
      <w:pPr>
        <w:pStyle w:val="17"/>
        <w:rPr>
          <w:color w:val="auto"/>
        </w:rPr>
      </w:pPr>
    </w:p>
    <w:p w14:paraId="66551667">
      <w:pPr>
        <w:adjustRightInd w:val="0"/>
        <w:snapToGrid w:val="0"/>
        <w:spacing w:line="360" w:lineRule="auto"/>
        <w:jc w:val="center"/>
        <w:rPr>
          <w:rFonts w:hint="eastAsia" w:ascii="宋体" w:hAnsi="宋体" w:cs="宋体"/>
          <w:b/>
          <w:color w:val="auto"/>
          <w:sz w:val="28"/>
          <w:szCs w:val="28"/>
        </w:rPr>
      </w:pPr>
    </w:p>
    <w:p w14:paraId="28166D50">
      <w:pPr>
        <w:adjustRightInd w:val="0"/>
        <w:snapToGrid w:val="0"/>
        <w:spacing w:line="360" w:lineRule="auto"/>
        <w:jc w:val="center"/>
        <w:rPr>
          <w:rFonts w:hint="eastAsia" w:ascii="宋体" w:hAnsi="宋体" w:cs="宋体"/>
          <w:b/>
          <w:color w:val="auto"/>
          <w:sz w:val="28"/>
          <w:szCs w:val="28"/>
        </w:rPr>
      </w:pPr>
    </w:p>
    <w:p w14:paraId="4E8B8904">
      <w:pPr>
        <w:adjustRightInd w:val="0"/>
        <w:snapToGrid w:val="0"/>
        <w:spacing w:line="360" w:lineRule="auto"/>
        <w:jc w:val="center"/>
        <w:rPr>
          <w:rFonts w:hint="eastAsia" w:ascii="宋体" w:hAnsi="宋体" w:cs="宋体"/>
          <w:b/>
          <w:color w:val="auto"/>
          <w:sz w:val="28"/>
          <w:szCs w:val="28"/>
        </w:rPr>
      </w:pPr>
    </w:p>
    <w:p w14:paraId="2945B527">
      <w:pPr>
        <w:adjustRightInd w:val="0"/>
        <w:snapToGrid w:val="0"/>
        <w:spacing w:line="360" w:lineRule="auto"/>
        <w:jc w:val="center"/>
        <w:rPr>
          <w:rFonts w:hint="eastAsia" w:ascii="宋体" w:hAnsi="宋体" w:cs="宋体"/>
          <w:b/>
          <w:color w:val="auto"/>
          <w:sz w:val="28"/>
          <w:szCs w:val="28"/>
        </w:rPr>
      </w:pPr>
    </w:p>
    <w:p w14:paraId="1FBF603D">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43D168BD">
      <w:pPr>
        <w:pStyle w:val="16"/>
        <w:rPr>
          <w:rFonts w:hint="eastAsia"/>
          <w:lang w:eastAsia="zh-CN"/>
        </w:rPr>
      </w:pPr>
    </w:p>
    <w:p w14:paraId="386689DC">
      <w:pPr>
        <w:adjustRightInd w:val="0"/>
        <w:snapToGrid w:val="0"/>
        <w:spacing w:line="360" w:lineRule="auto"/>
        <w:jc w:val="center"/>
        <w:rPr>
          <w:rFonts w:hint="eastAsia" w:ascii="宋体" w:hAnsi="宋体" w:cs="宋体"/>
          <w:b/>
          <w:color w:val="auto"/>
          <w:sz w:val="24"/>
          <w:szCs w:val="20"/>
        </w:rPr>
      </w:pPr>
    </w:p>
    <w:p w14:paraId="11F0F571">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64449AAA">
      <w:pPr>
        <w:adjustRightInd w:val="0"/>
        <w:snapToGrid w:val="0"/>
        <w:spacing w:line="360" w:lineRule="auto"/>
        <w:rPr>
          <w:rFonts w:hint="eastAsia" w:ascii="宋体" w:hAnsi="宋体" w:cs="宋体"/>
          <w:b/>
          <w:color w:val="auto"/>
          <w:sz w:val="28"/>
          <w:szCs w:val="28"/>
        </w:rPr>
      </w:pPr>
    </w:p>
    <w:p w14:paraId="540590FF">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381B1A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0EF25468">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51BFDC15">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4F084AFC">
      <w:pPr>
        <w:adjustRightInd w:val="0"/>
        <w:snapToGrid w:val="0"/>
        <w:spacing w:line="360" w:lineRule="auto"/>
        <w:ind w:firstLine="480" w:firstLineChars="200"/>
        <w:rPr>
          <w:rFonts w:hint="eastAsia" w:ascii="宋体" w:hAnsi="宋体" w:cs="宋体"/>
          <w:color w:val="auto"/>
          <w:sz w:val="24"/>
        </w:rPr>
      </w:pPr>
    </w:p>
    <w:tbl>
      <w:tblPr>
        <w:tblStyle w:val="10"/>
        <w:tblW w:w="8278"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7C87C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252076A9">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637D8040">
      <w:pPr>
        <w:adjustRightInd w:val="0"/>
        <w:snapToGrid w:val="0"/>
        <w:spacing w:line="360" w:lineRule="auto"/>
        <w:rPr>
          <w:rFonts w:hint="eastAsia" w:ascii="宋体" w:hAnsi="宋体" w:cs="宋体"/>
          <w:color w:val="auto"/>
          <w:sz w:val="24"/>
        </w:rPr>
      </w:pPr>
    </w:p>
    <w:tbl>
      <w:tblPr>
        <w:tblStyle w:val="10"/>
        <w:tblW w:w="8278"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57534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34C02A26">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573075C3">
      <w:pPr>
        <w:adjustRightInd w:val="0"/>
        <w:snapToGrid w:val="0"/>
        <w:spacing w:line="360" w:lineRule="auto"/>
        <w:rPr>
          <w:rFonts w:hint="eastAsia" w:ascii="宋体" w:hAnsi="宋体" w:cs="宋体"/>
          <w:color w:val="auto"/>
          <w:sz w:val="24"/>
        </w:rPr>
      </w:pPr>
    </w:p>
    <w:p w14:paraId="2BBB8A34">
      <w:pPr>
        <w:adjustRightInd w:val="0"/>
        <w:snapToGrid w:val="0"/>
        <w:spacing w:line="360" w:lineRule="auto"/>
        <w:rPr>
          <w:rFonts w:hint="eastAsia" w:ascii="宋体" w:hAnsi="宋体" w:cs="宋体"/>
          <w:color w:val="auto"/>
          <w:sz w:val="24"/>
        </w:rPr>
      </w:pPr>
    </w:p>
    <w:p w14:paraId="1A8CC709">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1CA38E1D">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524E802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7E29138A">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18D29777">
      <w:pPr>
        <w:adjustRightInd w:val="0"/>
        <w:snapToGrid w:val="0"/>
        <w:spacing w:line="360" w:lineRule="auto"/>
        <w:rPr>
          <w:rFonts w:hint="eastAsia" w:ascii="宋体" w:hAnsi="宋体" w:cs="宋体"/>
          <w:b/>
          <w:color w:val="auto"/>
          <w:sz w:val="28"/>
          <w:szCs w:val="28"/>
        </w:rPr>
      </w:pPr>
    </w:p>
    <w:p w14:paraId="3F6A11CD">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3E86AAC0">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129B67D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5A64E7F8">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21867362">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3CB02BF7">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64223B65">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0DFF17FA">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49A3161">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4B61AC36">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763F31A9">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1D48A861">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1417F85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lang w:val="en-US" w:eastAsia="zh-CN"/>
        </w:rPr>
        <w:t>七、我单位承诺参与本项目时不存在围标、串标、陪标等违法行为</w:t>
      </w:r>
      <w:r>
        <w:rPr>
          <w:rFonts w:hint="eastAsia" w:ascii="宋体" w:hAnsi="宋体" w:cs="宋体"/>
          <w:color w:val="auto"/>
          <w:sz w:val="24"/>
        </w:rPr>
        <w:t xml:space="preserve"> </w:t>
      </w:r>
    </w:p>
    <w:p w14:paraId="671259A6">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2A3FCFA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5B697C89">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3B055510">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3EF7C52F">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43446278">
      <w:pPr>
        <w:adjustRightInd w:val="0"/>
        <w:snapToGrid w:val="0"/>
        <w:spacing w:line="360" w:lineRule="auto"/>
        <w:jc w:val="center"/>
        <w:rPr>
          <w:rFonts w:hint="eastAsia" w:ascii="宋体" w:hAnsi="宋体" w:cs="宋体"/>
          <w:b/>
          <w:color w:val="auto"/>
          <w:sz w:val="24"/>
          <w:szCs w:val="20"/>
        </w:rPr>
      </w:pPr>
    </w:p>
    <w:p w14:paraId="1346884B">
      <w:pPr>
        <w:adjustRightInd w:val="0"/>
        <w:snapToGrid w:val="0"/>
        <w:spacing w:line="360" w:lineRule="auto"/>
        <w:rPr>
          <w:rFonts w:hint="eastAsia" w:ascii="宋体" w:hAnsi="宋体" w:cs="宋体"/>
          <w:b/>
          <w:color w:val="auto"/>
          <w:sz w:val="24"/>
          <w:szCs w:val="20"/>
        </w:rPr>
      </w:pPr>
    </w:p>
    <w:p w14:paraId="4F9273E1">
      <w:pPr>
        <w:adjustRightInd w:val="0"/>
        <w:snapToGrid w:val="0"/>
        <w:spacing w:line="360" w:lineRule="auto"/>
        <w:rPr>
          <w:rFonts w:hint="eastAsia" w:ascii="宋体" w:hAnsi="宋体" w:cs="宋体"/>
          <w:b/>
          <w:color w:val="auto"/>
          <w:sz w:val="24"/>
          <w:szCs w:val="20"/>
        </w:rPr>
      </w:pPr>
    </w:p>
    <w:p w14:paraId="2D2F2399">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6BD0C8C8">
      <w:pPr>
        <w:adjustRightInd w:val="0"/>
        <w:snapToGrid w:val="0"/>
        <w:spacing w:line="360" w:lineRule="auto"/>
        <w:jc w:val="center"/>
        <w:rPr>
          <w:rFonts w:hint="eastAsia" w:ascii="宋体" w:hAnsi="宋体" w:cs="宋体"/>
          <w:b/>
          <w:color w:val="auto"/>
          <w:sz w:val="24"/>
          <w:szCs w:val="20"/>
        </w:rPr>
      </w:pPr>
    </w:p>
    <w:p w14:paraId="565506E4">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478C91FB">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0851C70D">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786E0303">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39144592">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50CF0EAC">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71681098">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49FD08FA">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753E4AC7">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575B8451">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32BCE7E4">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059336F3">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EB9AB22">
      <w:pPr>
        <w:jc w:val="left"/>
        <w:rPr>
          <w:rFonts w:hint="eastAsia" w:ascii="宋体" w:hAnsi="宋体" w:eastAsia="宋体" w:cs="Times New Roman"/>
          <w:b w:val="0"/>
          <w:bCs w:val="0"/>
          <w:color w:val="auto"/>
          <w:kern w:val="2"/>
          <w:sz w:val="24"/>
          <w:szCs w:val="24"/>
          <w:lang w:val="en-US" w:eastAsia="zh-CN" w:bidi="ar-SA"/>
        </w:rPr>
      </w:pPr>
    </w:p>
    <w:p w14:paraId="452F65D0">
      <w:pPr>
        <w:jc w:val="left"/>
        <w:rPr>
          <w:rFonts w:hint="eastAsia" w:ascii="宋体" w:hAnsi="宋体" w:eastAsia="宋体" w:cs="Times New Roman"/>
          <w:b w:val="0"/>
          <w:bCs w:val="0"/>
          <w:color w:val="auto"/>
          <w:kern w:val="2"/>
          <w:sz w:val="24"/>
          <w:szCs w:val="24"/>
          <w:lang w:val="en-US" w:eastAsia="zh-CN" w:bidi="ar-SA"/>
        </w:rPr>
      </w:pPr>
    </w:p>
    <w:p w14:paraId="16A0C581">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4B1AE1FF">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3C2F2BC3">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14:paraId="6D90F51D">
      <w:pPr>
        <w:pStyle w:val="16"/>
        <w:rPr>
          <w:rFonts w:hint="eastAsia"/>
          <w:lang w:eastAsia="zh-CN"/>
        </w:rPr>
      </w:pPr>
    </w:p>
    <w:p w14:paraId="6BAEDE60">
      <w:pPr>
        <w:spacing w:before="120" w:beforeLines="50" w:after="120" w:afterLines="50" w:line="276" w:lineRule="auto"/>
        <w:jc w:val="center"/>
        <w:rPr>
          <w:b/>
          <w:color w:val="auto"/>
          <w:sz w:val="24"/>
        </w:rPr>
      </w:pPr>
      <w:r>
        <w:rPr>
          <w:b/>
          <w:color w:val="auto"/>
          <w:sz w:val="24"/>
        </w:rPr>
        <w:t>采购需求响应/偏离表</w:t>
      </w:r>
    </w:p>
    <w:p w14:paraId="3BCF85E9">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0"/>
        <w:tblW w:w="835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27"/>
        <w:gridCol w:w="1877"/>
        <w:gridCol w:w="1671"/>
        <w:gridCol w:w="1608"/>
        <w:gridCol w:w="1513"/>
        <w:gridCol w:w="1061"/>
      </w:tblGrid>
      <w:tr w14:paraId="572AF3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627" w:type="dxa"/>
            <w:noWrap w:val="0"/>
            <w:vAlign w:val="center"/>
          </w:tcPr>
          <w:p w14:paraId="684B6852">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877" w:type="dxa"/>
            <w:noWrap w:val="0"/>
            <w:vAlign w:val="center"/>
          </w:tcPr>
          <w:p w14:paraId="4257CF67">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671" w:type="dxa"/>
            <w:noWrap w:val="0"/>
            <w:vAlign w:val="top"/>
          </w:tcPr>
          <w:p w14:paraId="769CBF21">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1608" w:type="dxa"/>
            <w:noWrap w:val="0"/>
            <w:vAlign w:val="top"/>
          </w:tcPr>
          <w:p w14:paraId="09D4284B">
            <w:pPr>
              <w:adjustRightInd w:val="0"/>
              <w:snapToGrid w:val="0"/>
              <w:spacing w:before="50" w:line="360" w:lineRule="auto"/>
              <w:jc w:val="center"/>
              <w:rPr>
                <w:color w:val="auto"/>
              </w:rPr>
            </w:pPr>
            <w:r>
              <w:rPr>
                <w:color w:val="auto"/>
              </w:rPr>
              <w:t>投标文件应答</w:t>
            </w:r>
          </w:p>
        </w:tc>
        <w:tc>
          <w:tcPr>
            <w:tcW w:w="1513" w:type="dxa"/>
            <w:noWrap w:val="0"/>
            <w:vAlign w:val="center"/>
          </w:tcPr>
          <w:p w14:paraId="67C408D3">
            <w:pPr>
              <w:adjustRightInd w:val="0"/>
              <w:snapToGrid w:val="0"/>
              <w:spacing w:before="50" w:line="360" w:lineRule="auto"/>
              <w:ind w:left="-88" w:leftChars="-42"/>
              <w:jc w:val="center"/>
              <w:rPr>
                <w:color w:val="auto"/>
                <w:szCs w:val="21"/>
              </w:rPr>
            </w:pPr>
            <w:r>
              <w:rPr>
                <w:color w:val="auto"/>
                <w:szCs w:val="21"/>
              </w:rPr>
              <w:t>响应/偏离</w:t>
            </w:r>
          </w:p>
        </w:tc>
        <w:tc>
          <w:tcPr>
            <w:tcW w:w="1061" w:type="dxa"/>
            <w:noWrap w:val="0"/>
            <w:vAlign w:val="center"/>
          </w:tcPr>
          <w:p w14:paraId="333762B8">
            <w:pPr>
              <w:adjustRightInd w:val="0"/>
              <w:snapToGrid w:val="0"/>
              <w:spacing w:before="50" w:line="360" w:lineRule="auto"/>
              <w:ind w:left="-88" w:leftChars="-42"/>
              <w:jc w:val="center"/>
              <w:rPr>
                <w:color w:val="auto"/>
                <w:szCs w:val="21"/>
              </w:rPr>
            </w:pPr>
            <w:r>
              <w:rPr>
                <w:color w:val="auto"/>
                <w:szCs w:val="21"/>
              </w:rPr>
              <w:t>偏离说明</w:t>
            </w:r>
          </w:p>
        </w:tc>
      </w:tr>
      <w:tr w14:paraId="4E0917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71E1580C">
            <w:pPr>
              <w:adjustRightInd w:val="0"/>
              <w:snapToGrid w:val="0"/>
              <w:spacing w:before="50" w:line="360" w:lineRule="auto"/>
              <w:ind w:left="-88" w:leftChars="-42"/>
              <w:jc w:val="center"/>
              <w:rPr>
                <w:color w:val="auto"/>
                <w:szCs w:val="21"/>
              </w:rPr>
            </w:pPr>
          </w:p>
        </w:tc>
        <w:tc>
          <w:tcPr>
            <w:tcW w:w="1877" w:type="dxa"/>
            <w:noWrap w:val="0"/>
            <w:vAlign w:val="center"/>
          </w:tcPr>
          <w:p w14:paraId="774A1D01">
            <w:pPr>
              <w:adjustRightInd w:val="0"/>
              <w:snapToGrid w:val="0"/>
              <w:spacing w:before="50" w:line="360" w:lineRule="auto"/>
              <w:ind w:left="-88" w:leftChars="-42"/>
              <w:jc w:val="center"/>
              <w:rPr>
                <w:color w:val="auto"/>
                <w:szCs w:val="21"/>
              </w:rPr>
            </w:pPr>
          </w:p>
        </w:tc>
        <w:tc>
          <w:tcPr>
            <w:tcW w:w="1671" w:type="dxa"/>
            <w:noWrap w:val="0"/>
            <w:vAlign w:val="center"/>
          </w:tcPr>
          <w:p w14:paraId="5CC39C1D">
            <w:pPr>
              <w:adjustRightInd w:val="0"/>
              <w:snapToGrid w:val="0"/>
              <w:spacing w:before="50" w:line="360" w:lineRule="auto"/>
              <w:ind w:left="-88" w:leftChars="-42"/>
              <w:jc w:val="center"/>
              <w:rPr>
                <w:color w:val="auto"/>
                <w:szCs w:val="21"/>
              </w:rPr>
            </w:pPr>
          </w:p>
        </w:tc>
        <w:tc>
          <w:tcPr>
            <w:tcW w:w="1608" w:type="dxa"/>
            <w:noWrap w:val="0"/>
            <w:vAlign w:val="center"/>
          </w:tcPr>
          <w:p w14:paraId="4C313990">
            <w:pPr>
              <w:adjustRightInd w:val="0"/>
              <w:snapToGrid w:val="0"/>
              <w:spacing w:before="50" w:line="360" w:lineRule="auto"/>
              <w:ind w:left="-88" w:leftChars="-42"/>
              <w:jc w:val="center"/>
              <w:rPr>
                <w:color w:val="auto"/>
                <w:szCs w:val="21"/>
              </w:rPr>
            </w:pPr>
          </w:p>
        </w:tc>
        <w:tc>
          <w:tcPr>
            <w:tcW w:w="1513" w:type="dxa"/>
            <w:noWrap w:val="0"/>
            <w:vAlign w:val="center"/>
          </w:tcPr>
          <w:p w14:paraId="3282AE5D">
            <w:pPr>
              <w:adjustRightInd w:val="0"/>
              <w:snapToGrid w:val="0"/>
              <w:spacing w:before="50" w:line="360" w:lineRule="auto"/>
              <w:ind w:left="-88" w:leftChars="-42"/>
              <w:jc w:val="center"/>
              <w:rPr>
                <w:color w:val="auto"/>
                <w:szCs w:val="21"/>
              </w:rPr>
            </w:pPr>
          </w:p>
        </w:tc>
        <w:tc>
          <w:tcPr>
            <w:tcW w:w="1061" w:type="dxa"/>
            <w:noWrap w:val="0"/>
            <w:vAlign w:val="center"/>
          </w:tcPr>
          <w:p w14:paraId="031F9831">
            <w:pPr>
              <w:adjustRightInd w:val="0"/>
              <w:snapToGrid w:val="0"/>
              <w:spacing w:before="50" w:line="360" w:lineRule="auto"/>
              <w:ind w:left="-88" w:leftChars="-42"/>
              <w:jc w:val="center"/>
              <w:rPr>
                <w:color w:val="auto"/>
                <w:szCs w:val="21"/>
              </w:rPr>
            </w:pPr>
          </w:p>
        </w:tc>
      </w:tr>
      <w:tr w14:paraId="000159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77AAB4EE">
            <w:pPr>
              <w:adjustRightInd w:val="0"/>
              <w:snapToGrid w:val="0"/>
              <w:spacing w:before="50" w:line="360" w:lineRule="auto"/>
              <w:ind w:left="-88" w:leftChars="-42"/>
              <w:jc w:val="center"/>
              <w:rPr>
                <w:color w:val="auto"/>
                <w:szCs w:val="21"/>
              </w:rPr>
            </w:pPr>
          </w:p>
        </w:tc>
        <w:tc>
          <w:tcPr>
            <w:tcW w:w="1877" w:type="dxa"/>
            <w:noWrap w:val="0"/>
            <w:vAlign w:val="center"/>
          </w:tcPr>
          <w:p w14:paraId="50AEF049">
            <w:pPr>
              <w:adjustRightInd w:val="0"/>
              <w:snapToGrid w:val="0"/>
              <w:spacing w:before="50" w:line="360" w:lineRule="auto"/>
              <w:ind w:left="-88" w:leftChars="-42"/>
              <w:jc w:val="center"/>
              <w:rPr>
                <w:color w:val="auto"/>
                <w:szCs w:val="21"/>
              </w:rPr>
            </w:pPr>
          </w:p>
        </w:tc>
        <w:tc>
          <w:tcPr>
            <w:tcW w:w="1671" w:type="dxa"/>
            <w:noWrap w:val="0"/>
            <w:vAlign w:val="center"/>
          </w:tcPr>
          <w:p w14:paraId="2A7B0A3E">
            <w:pPr>
              <w:adjustRightInd w:val="0"/>
              <w:snapToGrid w:val="0"/>
              <w:spacing w:before="50" w:line="360" w:lineRule="auto"/>
              <w:ind w:left="-88" w:leftChars="-42"/>
              <w:jc w:val="center"/>
              <w:rPr>
                <w:color w:val="auto"/>
                <w:szCs w:val="21"/>
              </w:rPr>
            </w:pPr>
          </w:p>
        </w:tc>
        <w:tc>
          <w:tcPr>
            <w:tcW w:w="1608" w:type="dxa"/>
            <w:noWrap w:val="0"/>
            <w:vAlign w:val="center"/>
          </w:tcPr>
          <w:p w14:paraId="4A601AAF">
            <w:pPr>
              <w:adjustRightInd w:val="0"/>
              <w:snapToGrid w:val="0"/>
              <w:spacing w:before="50" w:line="360" w:lineRule="auto"/>
              <w:ind w:left="-88" w:leftChars="-42"/>
              <w:jc w:val="center"/>
              <w:rPr>
                <w:color w:val="auto"/>
                <w:szCs w:val="21"/>
              </w:rPr>
            </w:pPr>
          </w:p>
        </w:tc>
        <w:tc>
          <w:tcPr>
            <w:tcW w:w="1513" w:type="dxa"/>
            <w:noWrap w:val="0"/>
            <w:vAlign w:val="center"/>
          </w:tcPr>
          <w:p w14:paraId="25C22211">
            <w:pPr>
              <w:adjustRightInd w:val="0"/>
              <w:snapToGrid w:val="0"/>
              <w:spacing w:before="50" w:line="360" w:lineRule="auto"/>
              <w:ind w:left="-88" w:leftChars="-42"/>
              <w:jc w:val="center"/>
              <w:rPr>
                <w:color w:val="auto"/>
                <w:szCs w:val="21"/>
              </w:rPr>
            </w:pPr>
          </w:p>
        </w:tc>
        <w:tc>
          <w:tcPr>
            <w:tcW w:w="1061" w:type="dxa"/>
            <w:noWrap w:val="0"/>
            <w:vAlign w:val="center"/>
          </w:tcPr>
          <w:p w14:paraId="571A0A5F">
            <w:pPr>
              <w:adjustRightInd w:val="0"/>
              <w:snapToGrid w:val="0"/>
              <w:spacing w:before="50" w:line="360" w:lineRule="auto"/>
              <w:ind w:left="-88" w:leftChars="-42"/>
              <w:jc w:val="center"/>
              <w:rPr>
                <w:color w:val="auto"/>
                <w:szCs w:val="21"/>
              </w:rPr>
            </w:pPr>
          </w:p>
        </w:tc>
      </w:tr>
      <w:tr w14:paraId="7492E7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5A3B4144">
            <w:pPr>
              <w:adjustRightInd w:val="0"/>
              <w:snapToGrid w:val="0"/>
              <w:spacing w:before="50" w:line="360" w:lineRule="auto"/>
              <w:ind w:left="-88" w:leftChars="-42"/>
              <w:jc w:val="center"/>
              <w:rPr>
                <w:color w:val="auto"/>
                <w:szCs w:val="21"/>
              </w:rPr>
            </w:pPr>
          </w:p>
        </w:tc>
        <w:tc>
          <w:tcPr>
            <w:tcW w:w="1877" w:type="dxa"/>
            <w:noWrap w:val="0"/>
            <w:vAlign w:val="center"/>
          </w:tcPr>
          <w:p w14:paraId="5678C7D8">
            <w:pPr>
              <w:adjustRightInd w:val="0"/>
              <w:snapToGrid w:val="0"/>
              <w:spacing w:before="50" w:line="360" w:lineRule="auto"/>
              <w:ind w:left="-88" w:leftChars="-42"/>
              <w:jc w:val="center"/>
              <w:rPr>
                <w:color w:val="auto"/>
                <w:szCs w:val="21"/>
              </w:rPr>
            </w:pPr>
          </w:p>
        </w:tc>
        <w:tc>
          <w:tcPr>
            <w:tcW w:w="1671" w:type="dxa"/>
            <w:noWrap w:val="0"/>
            <w:vAlign w:val="center"/>
          </w:tcPr>
          <w:p w14:paraId="7AD96B66">
            <w:pPr>
              <w:adjustRightInd w:val="0"/>
              <w:snapToGrid w:val="0"/>
              <w:spacing w:before="50" w:line="360" w:lineRule="auto"/>
              <w:ind w:left="-88" w:leftChars="-42"/>
              <w:jc w:val="center"/>
              <w:rPr>
                <w:color w:val="auto"/>
                <w:szCs w:val="21"/>
              </w:rPr>
            </w:pPr>
          </w:p>
        </w:tc>
        <w:tc>
          <w:tcPr>
            <w:tcW w:w="1608" w:type="dxa"/>
            <w:noWrap w:val="0"/>
            <w:vAlign w:val="center"/>
          </w:tcPr>
          <w:p w14:paraId="368E095E">
            <w:pPr>
              <w:adjustRightInd w:val="0"/>
              <w:snapToGrid w:val="0"/>
              <w:spacing w:before="50" w:line="360" w:lineRule="auto"/>
              <w:ind w:left="-88" w:leftChars="-42"/>
              <w:jc w:val="center"/>
              <w:rPr>
                <w:color w:val="auto"/>
                <w:szCs w:val="21"/>
              </w:rPr>
            </w:pPr>
          </w:p>
        </w:tc>
        <w:tc>
          <w:tcPr>
            <w:tcW w:w="1513" w:type="dxa"/>
            <w:noWrap w:val="0"/>
            <w:vAlign w:val="center"/>
          </w:tcPr>
          <w:p w14:paraId="1E861332">
            <w:pPr>
              <w:adjustRightInd w:val="0"/>
              <w:snapToGrid w:val="0"/>
              <w:spacing w:before="50" w:line="360" w:lineRule="auto"/>
              <w:ind w:left="-88" w:leftChars="-42"/>
              <w:jc w:val="center"/>
              <w:rPr>
                <w:color w:val="auto"/>
                <w:szCs w:val="21"/>
              </w:rPr>
            </w:pPr>
          </w:p>
        </w:tc>
        <w:tc>
          <w:tcPr>
            <w:tcW w:w="1061" w:type="dxa"/>
            <w:noWrap w:val="0"/>
            <w:vAlign w:val="center"/>
          </w:tcPr>
          <w:p w14:paraId="1DDFBBC9">
            <w:pPr>
              <w:adjustRightInd w:val="0"/>
              <w:snapToGrid w:val="0"/>
              <w:spacing w:before="50" w:line="360" w:lineRule="auto"/>
              <w:ind w:left="-88" w:leftChars="-42"/>
              <w:jc w:val="center"/>
              <w:rPr>
                <w:color w:val="auto"/>
                <w:szCs w:val="21"/>
              </w:rPr>
            </w:pPr>
          </w:p>
        </w:tc>
      </w:tr>
      <w:tr w14:paraId="5ECFAF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8357" w:type="dxa"/>
            <w:gridSpan w:val="6"/>
            <w:noWrap w:val="0"/>
            <w:vAlign w:val="center"/>
          </w:tcPr>
          <w:p w14:paraId="5564F7E0">
            <w:pPr>
              <w:rPr>
                <w:b/>
                <w:color w:val="auto"/>
              </w:rPr>
            </w:pPr>
          </w:p>
        </w:tc>
      </w:tr>
    </w:tbl>
    <w:p w14:paraId="58C809C7">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14:paraId="559CC365">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5F3C4965">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38E3C596">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7546D202">
      <w:pPr>
        <w:pStyle w:val="17"/>
        <w:rPr>
          <w:color w:val="auto"/>
        </w:rPr>
      </w:pPr>
    </w:p>
    <w:p w14:paraId="5EEA99A1">
      <w:pPr>
        <w:pStyle w:val="16"/>
        <w:rPr>
          <w:rFonts w:hint="eastAsia"/>
          <w:lang w:eastAsia="zh-CN"/>
        </w:rPr>
      </w:pPr>
    </w:p>
    <w:p w14:paraId="4F73B9B6"/>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24F79">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1333E6">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C1333E6">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218840FB">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31645">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F0F794">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3F0F794">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67F2DAB5">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B277D">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1350E35"/>
    <w:rsid w:val="02390242"/>
    <w:rsid w:val="03E43FAE"/>
    <w:rsid w:val="04653F41"/>
    <w:rsid w:val="04B72FC8"/>
    <w:rsid w:val="04F57A38"/>
    <w:rsid w:val="050719CA"/>
    <w:rsid w:val="06934BAA"/>
    <w:rsid w:val="06E91EC4"/>
    <w:rsid w:val="086F75C9"/>
    <w:rsid w:val="09C0303A"/>
    <w:rsid w:val="0A3F4F3C"/>
    <w:rsid w:val="0A6D3244"/>
    <w:rsid w:val="0A8A74D4"/>
    <w:rsid w:val="0CAD77BD"/>
    <w:rsid w:val="0CD87BD4"/>
    <w:rsid w:val="0E331420"/>
    <w:rsid w:val="0EBC028B"/>
    <w:rsid w:val="0EDD1643"/>
    <w:rsid w:val="0FB9029C"/>
    <w:rsid w:val="10897B23"/>
    <w:rsid w:val="10914EF9"/>
    <w:rsid w:val="10B8663C"/>
    <w:rsid w:val="12080B62"/>
    <w:rsid w:val="12994AC5"/>
    <w:rsid w:val="129F447F"/>
    <w:rsid w:val="12C86253"/>
    <w:rsid w:val="14D816D1"/>
    <w:rsid w:val="14E40477"/>
    <w:rsid w:val="15060AC8"/>
    <w:rsid w:val="15125EAE"/>
    <w:rsid w:val="15675A4C"/>
    <w:rsid w:val="15B67DFF"/>
    <w:rsid w:val="17F91BB8"/>
    <w:rsid w:val="18865258"/>
    <w:rsid w:val="193E7D91"/>
    <w:rsid w:val="1943608F"/>
    <w:rsid w:val="19E40286"/>
    <w:rsid w:val="19E91315"/>
    <w:rsid w:val="1AF56B46"/>
    <w:rsid w:val="1CE412C7"/>
    <w:rsid w:val="1D5071B5"/>
    <w:rsid w:val="1DD7486D"/>
    <w:rsid w:val="1E79119D"/>
    <w:rsid w:val="1F334F58"/>
    <w:rsid w:val="1F796B24"/>
    <w:rsid w:val="1FC602A8"/>
    <w:rsid w:val="1FE73549"/>
    <w:rsid w:val="2038045E"/>
    <w:rsid w:val="20AF0900"/>
    <w:rsid w:val="20B41DA7"/>
    <w:rsid w:val="21C61C7A"/>
    <w:rsid w:val="2383771E"/>
    <w:rsid w:val="23F374DB"/>
    <w:rsid w:val="24881A32"/>
    <w:rsid w:val="25266F96"/>
    <w:rsid w:val="267547DF"/>
    <w:rsid w:val="272B6E6C"/>
    <w:rsid w:val="27CF2BB7"/>
    <w:rsid w:val="2821285F"/>
    <w:rsid w:val="28E81B29"/>
    <w:rsid w:val="28FD390A"/>
    <w:rsid w:val="29B45A41"/>
    <w:rsid w:val="2A174DA9"/>
    <w:rsid w:val="2AB010A8"/>
    <w:rsid w:val="2AC66F99"/>
    <w:rsid w:val="2C0A2E19"/>
    <w:rsid w:val="2C7642D0"/>
    <w:rsid w:val="2CC97A35"/>
    <w:rsid w:val="2DD77C64"/>
    <w:rsid w:val="2DDA1E78"/>
    <w:rsid w:val="2DE00B8C"/>
    <w:rsid w:val="2EAC037F"/>
    <w:rsid w:val="2EB67A5C"/>
    <w:rsid w:val="302741D2"/>
    <w:rsid w:val="308B184D"/>
    <w:rsid w:val="309C1E01"/>
    <w:rsid w:val="30BB11DD"/>
    <w:rsid w:val="31F17CD1"/>
    <w:rsid w:val="324F4D43"/>
    <w:rsid w:val="33384C93"/>
    <w:rsid w:val="340F06E9"/>
    <w:rsid w:val="34C12F54"/>
    <w:rsid w:val="34F140E5"/>
    <w:rsid w:val="366241E2"/>
    <w:rsid w:val="36B66AAC"/>
    <w:rsid w:val="36E47928"/>
    <w:rsid w:val="372F7378"/>
    <w:rsid w:val="37BA0809"/>
    <w:rsid w:val="397348CD"/>
    <w:rsid w:val="3A8E0AB7"/>
    <w:rsid w:val="3A994AB7"/>
    <w:rsid w:val="3B3B544D"/>
    <w:rsid w:val="3B654F2B"/>
    <w:rsid w:val="3BB72BAE"/>
    <w:rsid w:val="3BFC7D2B"/>
    <w:rsid w:val="3C7C799C"/>
    <w:rsid w:val="3C8A61A4"/>
    <w:rsid w:val="3D5E17FF"/>
    <w:rsid w:val="3DF93413"/>
    <w:rsid w:val="3DFD1951"/>
    <w:rsid w:val="3E1F0DA4"/>
    <w:rsid w:val="3E584E51"/>
    <w:rsid w:val="3E6E70D5"/>
    <w:rsid w:val="3EBE1ADE"/>
    <w:rsid w:val="403B4B34"/>
    <w:rsid w:val="4140452A"/>
    <w:rsid w:val="414D7889"/>
    <w:rsid w:val="41BB0BAE"/>
    <w:rsid w:val="425629F5"/>
    <w:rsid w:val="4284152B"/>
    <w:rsid w:val="429A4992"/>
    <w:rsid w:val="435B161D"/>
    <w:rsid w:val="43B25DAC"/>
    <w:rsid w:val="44771DFD"/>
    <w:rsid w:val="45D569C3"/>
    <w:rsid w:val="479B74B7"/>
    <w:rsid w:val="48735221"/>
    <w:rsid w:val="49E92B05"/>
    <w:rsid w:val="4A354E62"/>
    <w:rsid w:val="4AEE1A11"/>
    <w:rsid w:val="4B7F39F4"/>
    <w:rsid w:val="4BAE646F"/>
    <w:rsid w:val="4CAC1559"/>
    <w:rsid w:val="4D754257"/>
    <w:rsid w:val="4DCD6AB3"/>
    <w:rsid w:val="4EE7662F"/>
    <w:rsid w:val="50216DCD"/>
    <w:rsid w:val="50540C20"/>
    <w:rsid w:val="506258C6"/>
    <w:rsid w:val="51AC28BD"/>
    <w:rsid w:val="52183ACC"/>
    <w:rsid w:val="53B55872"/>
    <w:rsid w:val="544055F2"/>
    <w:rsid w:val="54AD4386"/>
    <w:rsid w:val="5587625E"/>
    <w:rsid w:val="55D8243C"/>
    <w:rsid w:val="581A7C72"/>
    <w:rsid w:val="583A4BD7"/>
    <w:rsid w:val="59C74B1F"/>
    <w:rsid w:val="5A886F59"/>
    <w:rsid w:val="604D5946"/>
    <w:rsid w:val="611B6B1B"/>
    <w:rsid w:val="62C222C2"/>
    <w:rsid w:val="632D7C40"/>
    <w:rsid w:val="64133D6A"/>
    <w:rsid w:val="64245572"/>
    <w:rsid w:val="66C30AF5"/>
    <w:rsid w:val="678E4F5D"/>
    <w:rsid w:val="67F3562A"/>
    <w:rsid w:val="680E122C"/>
    <w:rsid w:val="6A4E1D63"/>
    <w:rsid w:val="6B592423"/>
    <w:rsid w:val="6C486FE4"/>
    <w:rsid w:val="6CA409DF"/>
    <w:rsid w:val="6DE375E4"/>
    <w:rsid w:val="6E8E5287"/>
    <w:rsid w:val="6FAC3B48"/>
    <w:rsid w:val="6FAD463B"/>
    <w:rsid w:val="6FBE332C"/>
    <w:rsid w:val="70CE0BC9"/>
    <w:rsid w:val="71554367"/>
    <w:rsid w:val="71584067"/>
    <w:rsid w:val="71F26E91"/>
    <w:rsid w:val="735201FF"/>
    <w:rsid w:val="737B50A4"/>
    <w:rsid w:val="73F40E72"/>
    <w:rsid w:val="74566F5C"/>
    <w:rsid w:val="750117A8"/>
    <w:rsid w:val="751301BD"/>
    <w:rsid w:val="755B2270"/>
    <w:rsid w:val="75E27514"/>
    <w:rsid w:val="7612420D"/>
    <w:rsid w:val="76920D75"/>
    <w:rsid w:val="76C47877"/>
    <w:rsid w:val="77423DFF"/>
    <w:rsid w:val="783B5EA9"/>
    <w:rsid w:val="79EB699D"/>
    <w:rsid w:val="7B0620DE"/>
    <w:rsid w:val="7BBF44BB"/>
    <w:rsid w:val="7BF15CE4"/>
    <w:rsid w:val="7C3A27E5"/>
    <w:rsid w:val="7D9727DD"/>
    <w:rsid w:val="7EFB4F6E"/>
    <w:rsid w:val="7F164138"/>
    <w:rsid w:val="7F1A5E95"/>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Indent"/>
    <w:basedOn w:val="1"/>
    <w:qFormat/>
    <w:uiPriority w:val="99"/>
    <w:pPr>
      <w:spacing w:line="400" w:lineRule="exact"/>
      <w:ind w:left="630"/>
    </w:pPr>
    <w:rPr>
      <w:rFonts w:ascii="楷体_GB2312"/>
      <w:sz w:val="30"/>
      <w:szCs w:val="30"/>
    </w:rPr>
  </w:style>
  <w:style w:type="paragraph" w:styleId="5">
    <w:name w:val="Date"/>
    <w:basedOn w:val="1"/>
    <w:next w:val="1"/>
    <w:qFormat/>
    <w:uiPriority w:val="0"/>
    <w:rPr>
      <w:color w:val="000000"/>
      <w:kern w:val="0"/>
      <w:sz w:val="30"/>
    </w:rPr>
  </w:style>
  <w:style w:type="paragraph" w:styleId="6">
    <w:name w:val="footer"/>
    <w:basedOn w:val="1"/>
    <w:qFormat/>
    <w:uiPriority w:val="0"/>
    <w:pPr>
      <w:tabs>
        <w:tab w:val="center" w:pos="4153"/>
        <w:tab w:val="right" w:pos="8306"/>
      </w:tabs>
      <w:snapToGrid w:val="0"/>
      <w:jc w:val="left"/>
    </w:pPr>
    <w:rPr>
      <w:kern w:val="0"/>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rPr>
      <w:sz w:val="24"/>
    </w:rPr>
  </w:style>
  <w:style w:type="paragraph" w:styleId="9">
    <w:name w:val="Body Text First Indent 2"/>
    <w:basedOn w:val="4"/>
    <w:qFormat/>
    <w:uiPriority w:val="0"/>
    <w:pPr>
      <w:overflowPunct w:val="0"/>
      <w:adjustRightInd w:val="0"/>
      <w:spacing w:line="500" w:lineRule="exact"/>
      <w:ind w:firstLine="420" w:firstLineChars="200"/>
      <w:textAlignment w:val="baseline"/>
    </w:pPr>
    <w:rPr>
      <w:rFonts w:eastAsia="仿宋_GB2312"/>
      <w:kern w:val="28"/>
      <w:sz w:val="2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14">
    <w:name w:val="Default"/>
    <w:next w:val="15"/>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5">
    <w:name w:val="大标题"/>
    <w:basedOn w:val="1"/>
    <w:next w:val="9"/>
    <w:qFormat/>
    <w:uiPriority w:val="0"/>
    <w:pPr>
      <w:jc w:val="center"/>
    </w:pPr>
    <w:rPr>
      <w:rFonts w:ascii="Arial" w:hAnsi="Arial" w:eastAsia="宋体"/>
      <w:b/>
      <w:sz w:val="28"/>
      <w:szCs w:val="24"/>
    </w:rPr>
  </w:style>
  <w:style w:type="paragraph" w:customStyle="1" w:styleId="16">
    <w:name w:val="列出段落1"/>
    <w:basedOn w:val="1"/>
    <w:qFormat/>
    <w:uiPriority w:val="99"/>
    <w:pPr>
      <w:ind w:firstLine="420" w:firstLineChars="200"/>
    </w:pPr>
  </w:style>
  <w:style w:type="paragraph" w:customStyle="1" w:styleId="17">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18">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8657</Words>
  <Characters>9145</Characters>
  <Lines>0</Lines>
  <Paragraphs>0</Paragraphs>
  <TotalTime>0</TotalTime>
  <ScaleCrop>false</ScaleCrop>
  <LinksUpToDate>false</LinksUpToDate>
  <CharactersWithSpaces>10067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张思远</cp:lastModifiedBy>
  <dcterms:modified xsi:type="dcterms:W3CDTF">2026-01-09T05:40:35Z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3505A2AB25E048A4A9B0E6A6741CA1BA_11</vt:lpwstr>
  </property>
  <property fmtid="{D5CDD505-2E9C-101B-9397-08002B2CF9AE}" pid="4" name="KSOTemplateDocerSaveRecord">
    <vt:lpwstr>eyJoZGlkIjoiOWU3YmMxNGQ0NDE0NTRiYjQ3MWFkZjk1MWM2MTc2NWEiLCJ1c2VySWQiOiI0NDIzNjcyODQifQ==</vt:lpwstr>
  </property>
</Properties>
</file>