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021B76">
      <w:pPr>
        <w:pStyle w:val="15"/>
        <w:snapToGrid w:val="0"/>
        <w:jc w:val="center"/>
        <w:rPr>
          <w:rFonts w:hint="eastAsia" w:ascii="Arial" w:hAnsi="Arial" w:eastAsia="方正小标宋简体" w:cs="Arial"/>
          <w:sz w:val="72"/>
          <w:szCs w:val="72"/>
        </w:rPr>
      </w:pPr>
      <w:bookmarkStart w:id="0" w:name="_Toc16523570"/>
    </w:p>
    <w:p w14:paraId="36822329">
      <w:pPr>
        <w:pStyle w:val="15"/>
        <w:snapToGrid w:val="0"/>
        <w:jc w:val="center"/>
        <w:rPr>
          <w:rFonts w:hint="eastAsia" w:ascii="Arial" w:hAnsi="Arial" w:eastAsia="方正小标宋简体" w:cs="Arial"/>
          <w:sz w:val="72"/>
          <w:szCs w:val="72"/>
        </w:rPr>
      </w:pPr>
      <w:r>
        <w:rPr>
          <w:rFonts w:hint="eastAsia" w:ascii="Arial" w:hAnsi="Arial" w:eastAsia="方正小标宋简体" w:cs="Arial"/>
          <w:sz w:val="72"/>
          <w:szCs w:val="72"/>
        </w:rPr>
        <w:t>娄底市中心医院</w:t>
      </w:r>
    </w:p>
    <w:p w14:paraId="735A3AC2">
      <w:pPr>
        <w:pStyle w:val="15"/>
        <w:snapToGrid w:val="0"/>
        <w:jc w:val="center"/>
        <w:rPr>
          <w:rFonts w:hint="eastAsia" w:ascii="Arial" w:hAnsi="Arial" w:eastAsia="方正小标宋简体" w:cs="Arial"/>
          <w:sz w:val="72"/>
          <w:szCs w:val="72"/>
        </w:rPr>
      </w:pPr>
    </w:p>
    <w:p w14:paraId="3A869CB6">
      <w:pPr>
        <w:pStyle w:val="15"/>
        <w:snapToGrid w:val="0"/>
        <w:jc w:val="center"/>
        <w:rPr>
          <w:rFonts w:hint="eastAsia" w:ascii="Arial" w:hAnsi="Arial" w:eastAsia="方正小标宋简体" w:cs="Arial"/>
          <w:sz w:val="72"/>
          <w:szCs w:val="72"/>
        </w:rPr>
      </w:pPr>
    </w:p>
    <w:p w14:paraId="6308C621">
      <w:pPr>
        <w:pStyle w:val="15"/>
        <w:snapToGrid w:val="0"/>
        <w:jc w:val="center"/>
        <w:rPr>
          <w:rFonts w:hint="eastAsia" w:ascii="Arial" w:hAnsi="Arial" w:eastAsia="方正小标宋简体" w:cs="Arial"/>
          <w:sz w:val="72"/>
          <w:szCs w:val="72"/>
        </w:rPr>
      </w:pPr>
    </w:p>
    <w:p w14:paraId="77BAE459">
      <w:pPr>
        <w:pStyle w:val="15"/>
        <w:snapToGrid w:val="0"/>
        <w:jc w:val="center"/>
        <w:rPr>
          <w:rFonts w:ascii="Arial" w:hAnsi="Arial" w:eastAsia="方正小标宋简体" w:cs="Arial"/>
          <w:sz w:val="36"/>
          <w:szCs w:val="36"/>
        </w:rPr>
      </w:pPr>
      <w:r>
        <w:rPr>
          <w:rFonts w:hint="eastAsia" w:ascii="Arial" w:hAnsi="Arial" w:eastAsia="方正小标宋简体" w:cs="Arial"/>
          <w:sz w:val="72"/>
          <w:szCs w:val="72"/>
          <w:lang w:val="en-US" w:eastAsia="zh-CN"/>
        </w:rPr>
        <w:t>采购</w:t>
      </w:r>
      <w:r>
        <w:rPr>
          <w:rFonts w:ascii="Arial" w:hAnsi="Arial" w:eastAsia="方正小标宋简体" w:cs="Arial"/>
          <w:sz w:val="72"/>
          <w:szCs w:val="72"/>
        </w:rPr>
        <w:t>文件</w:t>
      </w:r>
    </w:p>
    <w:p w14:paraId="347B5448">
      <w:pPr>
        <w:pStyle w:val="15"/>
        <w:snapToGrid w:val="0"/>
        <w:jc w:val="center"/>
        <w:rPr>
          <w:rFonts w:ascii="Arial" w:hAnsi="Arial" w:cs="Arial"/>
          <w:sz w:val="32"/>
          <w:szCs w:val="32"/>
        </w:rPr>
      </w:pPr>
    </w:p>
    <w:p w14:paraId="2131F55F">
      <w:pPr>
        <w:pStyle w:val="16"/>
        <w:rPr>
          <w:rFonts w:ascii="Arial" w:hAnsi="Arial" w:cs="Arial"/>
          <w:sz w:val="32"/>
          <w:szCs w:val="32"/>
        </w:rPr>
      </w:pPr>
    </w:p>
    <w:p w14:paraId="172E63A8">
      <w:pPr>
        <w:pStyle w:val="9"/>
        <w:rPr>
          <w:rFonts w:ascii="Arial" w:hAnsi="Arial" w:cs="Arial"/>
          <w:sz w:val="32"/>
          <w:szCs w:val="32"/>
        </w:rPr>
      </w:pPr>
    </w:p>
    <w:p w14:paraId="36F01534">
      <w:pPr>
        <w:pStyle w:val="9"/>
        <w:rPr>
          <w:rFonts w:ascii="Arial" w:hAnsi="Arial" w:cs="Arial"/>
          <w:sz w:val="32"/>
          <w:szCs w:val="32"/>
        </w:rPr>
      </w:pPr>
    </w:p>
    <w:p w14:paraId="4BCE7A98">
      <w:pPr>
        <w:pStyle w:val="9"/>
        <w:rPr>
          <w:rFonts w:ascii="Arial" w:hAnsi="Arial" w:cs="Arial"/>
          <w:sz w:val="32"/>
          <w:szCs w:val="32"/>
        </w:rPr>
      </w:pPr>
    </w:p>
    <w:p w14:paraId="6C8100B0">
      <w:pPr>
        <w:pStyle w:val="9"/>
        <w:rPr>
          <w:rFonts w:ascii="Arial" w:hAnsi="Arial" w:cs="Arial"/>
          <w:sz w:val="32"/>
          <w:szCs w:val="32"/>
        </w:rPr>
      </w:pPr>
    </w:p>
    <w:p w14:paraId="37C2D5A4">
      <w:pPr>
        <w:pStyle w:val="9"/>
        <w:rPr>
          <w:rFonts w:ascii="Arial" w:hAnsi="Arial" w:cs="Arial"/>
          <w:sz w:val="32"/>
          <w:szCs w:val="32"/>
        </w:rPr>
      </w:pPr>
    </w:p>
    <w:p w14:paraId="7E1F68C4">
      <w:pPr>
        <w:pStyle w:val="9"/>
        <w:rPr>
          <w:rFonts w:ascii="Arial" w:hAnsi="Arial" w:cs="Arial"/>
          <w:sz w:val="32"/>
          <w:szCs w:val="32"/>
        </w:rPr>
      </w:pPr>
    </w:p>
    <w:p w14:paraId="666BCD9A">
      <w:pPr>
        <w:pStyle w:val="9"/>
        <w:rPr>
          <w:rFonts w:ascii="Arial" w:hAnsi="Arial" w:cs="Arial"/>
          <w:sz w:val="32"/>
          <w:szCs w:val="32"/>
        </w:rPr>
      </w:pPr>
    </w:p>
    <w:p w14:paraId="6CB66431">
      <w:pPr>
        <w:pStyle w:val="15"/>
        <w:snapToGrid w:val="0"/>
        <w:jc w:val="center"/>
        <w:rPr>
          <w:rFonts w:ascii="Arial" w:hAnsi="Arial" w:cs="Arial"/>
          <w:sz w:val="32"/>
          <w:szCs w:val="32"/>
        </w:rPr>
      </w:pPr>
    </w:p>
    <w:p w14:paraId="2E420D01">
      <w:pPr>
        <w:pStyle w:val="15"/>
        <w:snapToGrid w:val="0"/>
        <w:jc w:val="center"/>
        <w:rPr>
          <w:rFonts w:ascii="Arial" w:hAnsi="Arial" w:cs="Arial"/>
          <w:sz w:val="32"/>
          <w:szCs w:val="32"/>
        </w:rPr>
      </w:pPr>
    </w:p>
    <w:p w14:paraId="331534E3">
      <w:pPr>
        <w:spacing w:line="360" w:lineRule="auto"/>
        <w:rPr>
          <w:rFonts w:hint="eastAsia"/>
          <w:bCs/>
          <w:sz w:val="32"/>
          <w:szCs w:val="32"/>
        </w:rPr>
      </w:pPr>
    </w:p>
    <w:p w14:paraId="77CDE0D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0" w:afterAutospacing="0" w:line="27" w:lineRule="atLeast"/>
        <w:ind w:left="0" w:right="0"/>
        <w:jc w:val="center"/>
        <w:rPr>
          <w:rFonts w:hint="eastAsia"/>
          <w:bCs/>
          <w:sz w:val="32"/>
          <w:szCs w:val="32"/>
        </w:rPr>
      </w:pPr>
      <w:r>
        <w:rPr>
          <w:rFonts w:hint="eastAsia"/>
          <w:bCs/>
          <w:sz w:val="32"/>
          <w:szCs w:val="32"/>
        </w:rPr>
        <w:t>项目名称：</w:t>
      </w:r>
      <w:r>
        <w:rPr>
          <w:rFonts w:hint="eastAsia"/>
          <w:bCs/>
          <w:sz w:val="32"/>
          <w:szCs w:val="32"/>
          <w:lang w:val="en-US" w:eastAsia="zh-CN"/>
        </w:rPr>
        <w:t>娄底市中心医院设备科医疗器械采购项目</w:t>
      </w:r>
    </w:p>
    <w:p w14:paraId="414399B7">
      <w:pPr>
        <w:jc w:val="center"/>
        <w:rPr>
          <w:rFonts w:hint="default" w:ascii="Times New Roman" w:hAnsi="Times New Roman" w:eastAsia="宋体" w:cs="Times New Roman"/>
          <w:b/>
          <w:bCs/>
          <w:kern w:val="44"/>
          <w:sz w:val="32"/>
          <w:szCs w:val="32"/>
          <w:lang w:val="en-US" w:eastAsia="zh-CN" w:bidi="ar-SA"/>
        </w:rPr>
      </w:pPr>
      <w:r>
        <w:rPr>
          <w:rFonts w:hint="eastAsia" w:cs="Times New Roman"/>
          <w:b/>
          <w:bCs/>
          <w:kern w:val="44"/>
          <w:sz w:val="32"/>
          <w:szCs w:val="32"/>
          <w:lang w:val="en-US" w:eastAsia="zh-CN" w:bidi="ar-SA"/>
        </w:rPr>
        <w:t>（气道管理模型等一批医院公开挂网</w:t>
      </w:r>
      <w:r>
        <w:rPr>
          <w:rFonts w:hint="eastAsia" w:ascii="Times New Roman" w:hAnsi="Times New Roman" w:eastAsia="宋体" w:cs="Times New Roman"/>
          <w:b/>
          <w:bCs/>
          <w:kern w:val="44"/>
          <w:sz w:val="32"/>
          <w:szCs w:val="32"/>
          <w:lang w:val="en-US" w:eastAsia="zh-CN" w:bidi="ar-SA"/>
        </w:rPr>
        <w:t>）</w:t>
      </w:r>
    </w:p>
    <w:p w14:paraId="01899626">
      <w:pPr>
        <w:spacing w:line="320" w:lineRule="exact"/>
        <w:jc w:val="left"/>
        <w:rPr>
          <w:sz w:val="24"/>
        </w:rPr>
      </w:pPr>
    </w:p>
    <w:p w14:paraId="4C8F14D9">
      <w:pPr>
        <w:spacing w:line="320" w:lineRule="exact"/>
        <w:ind w:firstLine="3520" w:firstLineChars="1100"/>
        <w:jc w:val="both"/>
        <w:rPr>
          <w:rFonts w:hint="eastAsia" w:ascii="宋体" w:hAnsi="宋体" w:cs="宋体"/>
          <w:bCs/>
          <w:sz w:val="32"/>
          <w:szCs w:val="32"/>
        </w:rPr>
      </w:pPr>
      <w:r>
        <w:rPr>
          <w:rFonts w:hint="eastAsia" w:ascii="宋体" w:hAnsi="宋体" w:cs="宋体"/>
          <w:bCs/>
          <w:sz w:val="32"/>
          <w:szCs w:val="32"/>
        </w:rPr>
        <w:t>二〇二</w:t>
      </w:r>
      <w:r>
        <w:rPr>
          <w:rFonts w:hint="eastAsia" w:ascii="宋体" w:hAnsi="宋体" w:cs="宋体"/>
          <w:bCs/>
          <w:sz w:val="32"/>
          <w:szCs w:val="32"/>
          <w:lang w:val="en-US" w:eastAsia="zh-CN"/>
        </w:rPr>
        <w:t>六</w:t>
      </w:r>
      <w:r>
        <w:rPr>
          <w:rFonts w:hint="eastAsia" w:ascii="宋体" w:hAnsi="宋体" w:cs="宋体"/>
          <w:bCs/>
          <w:sz w:val="32"/>
          <w:szCs w:val="32"/>
        </w:rPr>
        <w:t>年</w:t>
      </w:r>
      <w:r>
        <w:rPr>
          <w:rFonts w:hint="eastAsia" w:ascii="宋体" w:hAnsi="宋体" w:cs="宋体"/>
          <w:bCs/>
          <w:sz w:val="32"/>
          <w:szCs w:val="32"/>
          <w:lang w:val="en-US" w:eastAsia="zh-CN"/>
        </w:rPr>
        <w:t>一</w:t>
      </w:r>
      <w:r>
        <w:rPr>
          <w:rFonts w:hint="eastAsia" w:ascii="宋体" w:hAnsi="宋体" w:cs="宋体"/>
          <w:bCs/>
          <w:sz w:val="32"/>
          <w:szCs w:val="32"/>
        </w:rPr>
        <w:t>月</w:t>
      </w:r>
    </w:p>
    <w:p w14:paraId="78D850E4">
      <w:pPr>
        <w:pStyle w:val="2"/>
        <w:numPr>
          <w:ilvl w:val="0"/>
          <w:numId w:val="0"/>
        </w:numPr>
        <w:spacing w:line="240" w:lineRule="auto"/>
        <w:ind w:leftChars="0"/>
        <w:jc w:val="center"/>
        <w:rPr>
          <w:rFonts w:hint="eastAsia" w:ascii="宋体" w:hAnsi="宋体" w:cs="宋体"/>
          <w:color w:val="auto"/>
          <w:sz w:val="44"/>
          <w:szCs w:val="44"/>
          <w:lang w:val="en-US" w:eastAsia="zh-CN"/>
        </w:rPr>
      </w:pPr>
    </w:p>
    <w:p w14:paraId="4A66A5A5">
      <w:pPr>
        <w:pStyle w:val="2"/>
        <w:numPr>
          <w:ilvl w:val="0"/>
          <w:numId w:val="0"/>
        </w:numPr>
        <w:spacing w:line="240" w:lineRule="auto"/>
        <w:ind w:leftChars="0"/>
        <w:jc w:val="center"/>
        <w:rPr>
          <w:rFonts w:hint="eastAsia"/>
          <w:b/>
          <w:bCs w:val="0"/>
          <w:color w:val="auto"/>
          <w:sz w:val="44"/>
          <w:szCs w:val="44"/>
        </w:rPr>
      </w:pPr>
      <w:r>
        <w:rPr>
          <w:rFonts w:hint="eastAsia" w:ascii="宋体" w:hAnsi="宋体" w:cs="宋体"/>
          <w:color w:val="auto"/>
          <w:sz w:val="44"/>
          <w:szCs w:val="44"/>
          <w:lang w:val="en-US" w:eastAsia="zh-CN"/>
        </w:rPr>
        <w:t xml:space="preserve">第一章 </w:t>
      </w:r>
      <w:r>
        <w:rPr>
          <w:rFonts w:hint="eastAsia" w:ascii="宋体" w:hAnsi="宋体" w:cs="宋体"/>
          <w:color w:val="auto"/>
          <w:sz w:val="44"/>
          <w:szCs w:val="44"/>
        </w:rPr>
        <w:t>投标邀请</w:t>
      </w:r>
    </w:p>
    <w:p w14:paraId="7CDE226E">
      <w:pPr>
        <w:pStyle w:val="15"/>
        <w:numPr>
          <w:ilvl w:val="0"/>
          <w:numId w:val="0"/>
        </w:numPr>
        <w:tabs>
          <w:tab w:val="left" w:pos="312"/>
        </w:tabs>
        <w:snapToGrid w:val="0"/>
        <w:spacing w:line="480" w:lineRule="auto"/>
        <w:ind w:firstLine="480" w:firstLineChars="200"/>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u w:val="single"/>
          <w:lang w:val="en-US" w:eastAsia="zh-CN"/>
        </w:rPr>
        <w:t>气道管理模型等一批</w:t>
      </w:r>
      <w:r>
        <w:rPr>
          <w:rFonts w:hint="eastAsia" w:asciiTheme="minorEastAsia" w:hAnsiTheme="minorEastAsia" w:eastAsiaTheme="minorEastAsia" w:cstheme="minorEastAsia"/>
          <w:bCs/>
          <w:color w:val="auto"/>
          <w:sz w:val="24"/>
          <w:szCs w:val="24"/>
          <w:lang w:val="en-US" w:eastAsia="zh-CN"/>
        </w:rPr>
        <w:t>项目进行医院公开挂网，将事项公告如下：</w:t>
      </w:r>
    </w:p>
    <w:p w14:paraId="2D313CFA">
      <w:pPr>
        <w:pStyle w:val="15"/>
        <w:numPr>
          <w:ilvl w:val="0"/>
          <w:numId w:val="0"/>
        </w:numPr>
        <w:tabs>
          <w:tab w:val="left" w:pos="312"/>
        </w:tabs>
        <w:snapToGrid w:val="0"/>
        <w:spacing w:line="480" w:lineRule="auto"/>
        <w:ind w:firstLine="480" w:firstLineChars="200"/>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一、项目信息</w:t>
      </w:r>
    </w:p>
    <w:p w14:paraId="2C9F3A4C">
      <w:pPr>
        <w:pStyle w:val="15"/>
        <w:numPr>
          <w:ilvl w:val="0"/>
          <w:numId w:val="0"/>
        </w:numPr>
        <w:tabs>
          <w:tab w:val="left" w:pos="312"/>
        </w:tabs>
        <w:snapToGrid w:val="0"/>
        <w:spacing w:line="480" w:lineRule="auto"/>
        <w:ind w:firstLine="480" w:firstLineChars="200"/>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项目名称：</w:t>
      </w:r>
      <w:r>
        <w:rPr>
          <w:rFonts w:hint="eastAsia" w:asciiTheme="minorEastAsia" w:hAnsiTheme="minorEastAsia" w:eastAsiaTheme="minorEastAsia" w:cstheme="minorEastAsia"/>
          <w:bCs/>
          <w:color w:val="auto"/>
          <w:sz w:val="24"/>
          <w:szCs w:val="24"/>
          <w:u w:val="single"/>
          <w:lang w:val="en-US" w:eastAsia="zh-CN"/>
        </w:rPr>
        <w:t>气道管理模型等一批</w:t>
      </w:r>
      <w:r>
        <w:rPr>
          <w:rFonts w:hint="eastAsia" w:asciiTheme="minorEastAsia" w:hAnsiTheme="minorEastAsia" w:eastAsiaTheme="minorEastAsia" w:cstheme="minorEastAsia"/>
          <w:b w:val="0"/>
          <w:bCs/>
          <w:color w:val="auto"/>
          <w:sz w:val="24"/>
          <w:szCs w:val="24"/>
          <w:lang w:val="en-US" w:eastAsia="zh-CN"/>
        </w:rPr>
        <w:t>项目</w:t>
      </w:r>
    </w:p>
    <w:p w14:paraId="6554C114">
      <w:pPr>
        <w:pStyle w:val="15"/>
        <w:keepNext w:val="0"/>
        <w:keepLines w:val="0"/>
        <w:pageBreakBefore w:val="0"/>
        <w:widowControl w:val="0"/>
        <w:numPr>
          <w:ilvl w:val="0"/>
          <w:numId w:val="1"/>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采购方式</w:t>
      </w:r>
    </w:p>
    <w:p w14:paraId="76DBA799">
      <w:pPr>
        <w:pStyle w:val="15"/>
        <w:keepNext w:val="0"/>
        <w:keepLines w:val="0"/>
        <w:pageBreakBefore w:val="0"/>
        <w:widowControl w:val="0"/>
        <w:numPr>
          <w:ilvl w:val="0"/>
          <w:numId w:val="2"/>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bidi="ar-SA"/>
        </w:rPr>
        <w:t>医院公开挂网</w:t>
      </w:r>
      <w:r>
        <w:rPr>
          <w:rFonts w:hint="eastAsia" w:asciiTheme="minorEastAsia" w:hAnsiTheme="minorEastAsia" w:eastAsiaTheme="minorEastAsia" w:cstheme="minorEastAsia"/>
          <w:bCs/>
          <w:color w:val="auto"/>
          <w:sz w:val="24"/>
          <w:szCs w:val="24"/>
          <w:lang w:val="en-US" w:eastAsia="zh-CN"/>
        </w:rPr>
        <w:t>，</w:t>
      </w:r>
      <w:bookmarkEnd w:id="0"/>
      <w:r>
        <w:rPr>
          <w:rFonts w:hint="eastAsia" w:asciiTheme="minorEastAsia" w:hAnsiTheme="minorEastAsia" w:eastAsiaTheme="minorEastAsia" w:cstheme="minorEastAsia"/>
          <w:bCs/>
          <w:color w:val="auto"/>
          <w:sz w:val="24"/>
          <w:szCs w:val="24"/>
          <w:lang w:val="en-US" w:eastAsia="zh-CN"/>
        </w:rPr>
        <w:t>按招标文件评分规则进行评审，以评审结果排序，综合评分得分相同的，按投标报价由低到高顺序排列，得分且投标报价相同的，按技术指标优劣顺序排列。</w:t>
      </w:r>
    </w:p>
    <w:p w14:paraId="531BA1C2">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三、投标人资格要求</w:t>
      </w:r>
    </w:p>
    <w:p w14:paraId="0C8C1530">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1、投标人的基本资格条件：投标人必须是在中华人民共和国境内注册登记的法人、其他组织或者自然人，且应当符合《政府采购法》第二十二条第一款的规定；</w:t>
      </w:r>
    </w:p>
    <w:p w14:paraId="07BECD47">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2、参加政府采购活动近3年内，在经营活动中没有重大违法记录；</w:t>
      </w:r>
    </w:p>
    <w:p w14:paraId="407CE779">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3、投标人未列入经营异常名录和未列入严重违法失信企业名单（黑名单），投标人企业法人代表未被列入失信被执行人名单；</w:t>
      </w:r>
    </w:p>
    <w:p w14:paraId="3E7ECD30">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720" w:firstLineChars="3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投标人在“信用中国”（www.creditchina.gov.cn）、中国政府采购网（www.ccgp.gov.cn）等网站，未被列入“失信被执行人”、“重大税收违法案件当事人名单”、“政府采购严重违法失信行为记录名单”；</w:t>
      </w:r>
    </w:p>
    <w:p w14:paraId="3D81FDEF">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4、本项目不接受联合体投标，不得分包、转包；</w:t>
      </w:r>
    </w:p>
    <w:p w14:paraId="51D9126E">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5、单位负责人为同一人或者存在直接控股、管理关系的不同投标人，不得参加本次采购活动；</w:t>
      </w:r>
    </w:p>
    <w:p w14:paraId="26A80EA7">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四、投标截止时间、开标时间及地点：</w:t>
      </w:r>
    </w:p>
    <w:p w14:paraId="344F8C32">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1、投标截止时间、开标时间：具体时间另行通知</w:t>
      </w:r>
    </w:p>
    <w:p w14:paraId="16FA9025">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default"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2、开标地点;娄底市中心医院</w:t>
      </w:r>
    </w:p>
    <w:p w14:paraId="018C76BF">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五、采购人地址和联系方法：</w:t>
      </w:r>
    </w:p>
    <w:p w14:paraId="5EA333D1">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1、采购人名称：娄底市中心医院</w:t>
      </w:r>
    </w:p>
    <w:p w14:paraId="6E32FE2A">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2、联系人及联系方式：张思远 15115875288</w:t>
      </w:r>
    </w:p>
    <w:p w14:paraId="36FD0A4B">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3、采购人地址：娄底市长青中街51号</w:t>
      </w:r>
    </w:p>
    <w:p w14:paraId="76963884">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六、投标须知</w:t>
      </w:r>
    </w:p>
    <w:p w14:paraId="6E4150F4">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1、否决投标的情形：</w:t>
      </w:r>
    </w:p>
    <w:p w14:paraId="2255E30D">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1.1、投标人以他人名义投标、串通投标、以行贿手段谋取中标的；</w:t>
      </w:r>
    </w:p>
    <w:p w14:paraId="35A3C406">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1.2、资格评审时，投标人资格条件不符合国家有关规定或者文件要求的，或者拒不按照要求对投标文件进行澄清、说明或补正，或者其说明补正无法证明其为合格投标人的；</w:t>
      </w:r>
    </w:p>
    <w:p w14:paraId="426E2E96">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1.3、评标委员会认定投标人以低于成本报价竞标的；</w:t>
      </w:r>
    </w:p>
    <w:p w14:paraId="4FF1BF09">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1.4、投标人未按照要求出席开标会的；</w:t>
      </w:r>
    </w:p>
    <w:p w14:paraId="25A4E0DA">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1.5、投标报价有错误的，评标委员会将要求投标人作出书面澄清说明和确认，投标人拒不作出澄清说明和确认的；</w:t>
      </w:r>
    </w:p>
    <w:p w14:paraId="099E6E4F">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1.6、投标文件存在弄虚作假或者隐瞒事实，或者未按照文件要求如实提供有关情况和文件，以及证明资料且对投标人有利的，应当否决其投标。被列为中标候选人的，应当取消其中标候选人资格。</w:t>
      </w:r>
    </w:p>
    <w:p w14:paraId="2AA70BFE">
      <w:pPr>
        <w:pStyle w:val="16"/>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eastAsiaTheme="minorEastAsia" w:cstheme="minorEastAsia"/>
          <w:b w:val="0"/>
          <w:bCs/>
          <w:color w:val="auto"/>
          <w:sz w:val="24"/>
          <w:szCs w:val="24"/>
          <w:lang w:val="en-US" w:eastAsia="zh-CN" w:bidi="ar-SA"/>
        </w:rPr>
      </w:pPr>
      <w:r>
        <w:rPr>
          <w:rFonts w:hint="eastAsia" w:asciiTheme="minorEastAsia" w:hAnsiTheme="minorEastAsia" w:eastAsiaTheme="minorEastAsia" w:cstheme="minorEastAsia"/>
          <w:b w:val="0"/>
          <w:bCs/>
          <w:color w:val="auto"/>
          <w:sz w:val="24"/>
          <w:szCs w:val="24"/>
          <w:lang w:val="en-US" w:eastAsia="zh-CN" w:bidi="ar-SA"/>
        </w:rPr>
        <w:t>1.7、技术参数负偏离大于5条的。</w:t>
      </w:r>
    </w:p>
    <w:p w14:paraId="0857D076">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2、有下列情形之一的，采购人将重新挂网采购：</w:t>
      </w:r>
    </w:p>
    <w:p w14:paraId="6231D961">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2.1、投标截止时间止，投标人少于3家的；</w:t>
      </w:r>
    </w:p>
    <w:p w14:paraId="6A165D45">
      <w:pPr>
        <w:pStyle w:val="15"/>
        <w:keepNext w:val="0"/>
        <w:keepLines w:val="0"/>
        <w:pageBreakBefore w:val="0"/>
        <w:widowControl w:val="0"/>
        <w:numPr>
          <w:ilvl w:val="0"/>
          <w:numId w:val="0"/>
        </w:numPr>
        <w:tabs>
          <w:tab w:val="left" w:pos="312"/>
        </w:tabs>
        <w:kinsoku/>
        <w:wordWrap/>
        <w:overflowPunct/>
        <w:topLinePunct w:val="0"/>
        <w:autoSpaceDE w:val="0"/>
        <w:autoSpaceDN w:val="0"/>
        <w:bidi w:val="0"/>
        <w:adjustRightInd w:val="0"/>
        <w:snapToGrid w:val="0"/>
        <w:spacing w:line="360" w:lineRule="auto"/>
        <w:ind w:firstLine="480" w:firstLineChars="200"/>
        <w:textAlignment w:val="auto"/>
        <w:rPr>
          <w:rFonts w:hint="eastAsia" w:asciiTheme="minorEastAsia" w:hAnsiTheme="minorEastAsia" w:eastAsiaTheme="minorEastAsia" w:cstheme="minorEastAsia"/>
          <w:bCs/>
          <w:color w:val="auto"/>
          <w:sz w:val="24"/>
          <w:szCs w:val="24"/>
          <w:lang w:val="en-US" w:eastAsia="zh-CN"/>
        </w:rPr>
      </w:pPr>
      <w:r>
        <w:rPr>
          <w:rFonts w:hint="eastAsia" w:asciiTheme="minorEastAsia" w:hAnsiTheme="minorEastAsia" w:eastAsiaTheme="minorEastAsia" w:cstheme="minorEastAsia"/>
          <w:bCs/>
          <w:color w:val="auto"/>
          <w:sz w:val="24"/>
          <w:szCs w:val="24"/>
          <w:lang w:val="en-US" w:eastAsia="zh-CN"/>
        </w:rPr>
        <w:t>2.2、经评标委员会评审后，符合资格审查的投标人少于3家的。</w:t>
      </w:r>
    </w:p>
    <w:p w14:paraId="2AAB7406">
      <w:pPr>
        <w:pStyle w:val="16"/>
        <w:rPr>
          <w:rFonts w:hint="eastAsia"/>
          <w:lang w:val="en-US" w:eastAsia="zh-CN"/>
        </w:rPr>
      </w:pPr>
    </w:p>
    <w:p w14:paraId="587974DF">
      <w:pPr>
        <w:pStyle w:val="16"/>
        <w:jc w:val="both"/>
        <w:rPr>
          <w:rFonts w:hint="default"/>
          <w:lang w:val="en-US" w:eastAsia="zh-CN"/>
        </w:rPr>
      </w:pPr>
    </w:p>
    <w:p w14:paraId="7ADDD541">
      <w:pPr>
        <w:pStyle w:val="15"/>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p>
    <w:p w14:paraId="57F192C5">
      <w:pPr>
        <w:pStyle w:val="15"/>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p>
    <w:p w14:paraId="03A8E88B">
      <w:pPr>
        <w:pStyle w:val="16"/>
        <w:rPr>
          <w:rFonts w:hint="eastAsia" w:ascii="宋体" w:hAnsi="宋体" w:cs="宋体"/>
          <w:b/>
          <w:bCs/>
          <w:color w:val="auto"/>
          <w:sz w:val="44"/>
          <w:szCs w:val="44"/>
          <w:lang w:val="en-US" w:eastAsia="zh-CN"/>
        </w:rPr>
      </w:pPr>
    </w:p>
    <w:p w14:paraId="4475D31F">
      <w:pPr>
        <w:pStyle w:val="9"/>
        <w:rPr>
          <w:rFonts w:hint="eastAsia" w:ascii="宋体" w:hAnsi="宋体" w:cs="宋体"/>
          <w:b/>
          <w:bCs/>
          <w:color w:val="auto"/>
          <w:sz w:val="44"/>
          <w:szCs w:val="44"/>
          <w:lang w:val="en-US" w:eastAsia="zh-CN"/>
        </w:rPr>
      </w:pPr>
    </w:p>
    <w:p w14:paraId="6B2EF577">
      <w:pPr>
        <w:rPr>
          <w:rFonts w:hint="eastAsia" w:ascii="宋体" w:hAnsi="宋体" w:cs="宋体"/>
          <w:b/>
          <w:bCs/>
          <w:color w:val="auto"/>
          <w:sz w:val="44"/>
          <w:szCs w:val="44"/>
          <w:lang w:val="en-US" w:eastAsia="zh-CN"/>
        </w:rPr>
      </w:pPr>
    </w:p>
    <w:p w14:paraId="7AB7ED69">
      <w:pPr>
        <w:pStyle w:val="14"/>
        <w:rPr>
          <w:rFonts w:hint="eastAsia"/>
          <w:lang w:val="en-US" w:eastAsia="zh-CN"/>
        </w:rPr>
      </w:pPr>
    </w:p>
    <w:p w14:paraId="7DFCC22E">
      <w:pPr>
        <w:rPr>
          <w:rFonts w:hint="eastAsia"/>
          <w:lang w:val="en-US" w:eastAsia="zh-CN"/>
        </w:rPr>
      </w:pPr>
      <w:r>
        <w:rPr>
          <w:rFonts w:hint="eastAsia"/>
          <w:lang w:val="en-US" w:eastAsia="zh-CN"/>
        </w:rPr>
        <w:br w:type="page"/>
      </w:r>
    </w:p>
    <w:p w14:paraId="0DFAAEDB">
      <w:pPr>
        <w:pStyle w:val="15"/>
        <w:numPr>
          <w:ilvl w:val="0"/>
          <w:numId w:val="0"/>
        </w:numPr>
        <w:tabs>
          <w:tab w:val="left" w:pos="312"/>
        </w:tabs>
        <w:snapToGrid w:val="0"/>
        <w:spacing w:line="480" w:lineRule="auto"/>
        <w:jc w:val="center"/>
        <w:rPr>
          <w:rFonts w:hint="eastAsia" w:ascii="宋体" w:hAnsi="宋体" w:cs="宋体"/>
          <w:b/>
          <w:bCs/>
          <w:color w:val="auto"/>
          <w:sz w:val="44"/>
          <w:szCs w:val="44"/>
          <w:lang w:val="en-US" w:eastAsia="zh-CN"/>
        </w:rPr>
      </w:pPr>
      <w:r>
        <w:rPr>
          <w:rFonts w:hint="eastAsia" w:ascii="宋体" w:hAnsi="宋体" w:cs="宋体"/>
          <w:b/>
          <w:bCs/>
          <w:color w:val="auto"/>
          <w:sz w:val="44"/>
          <w:szCs w:val="44"/>
          <w:lang w:val="en-US" w:eastAsia="zh-CN"/>
        </w:rPr>
        <w:t>第二章采购需求</w:t>
      </w:r>
    </w:p>
    <w:p w14:paraId="0AA5E9DD">
      <w:pPr>
        <w:spacing w:line="360" w:lineRule="auto"/>
        <w:ind w:firstLine="560" w:firstLineChars="200"/>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一、采购清单、采购项目交付或者实施的时间和地点</w:t>
      </w:r>
    </w:p>
    <w:p w14:paraId="1C623E8B">
      <w:pPr>
        <w:spacing w:line="360" w:lineRule="auto"/>
        <w:ind w:firstLine="480" w:firstLineChars="200"/>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1.采购项目</w:t>
      </w:r>
    </w:p>
    <w:tbl>
      <w:tblPr>
        <w:tblStyle w:val="10"/>
        <w:tblW w:w="9613"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15" w:type="dxa"/>
          <w:left w:w="15" w:type="dxa"/>
          <w:bottom w:w="15" w:type="dxa"/>
          <w:right w:w="15" w:type="dxa"/>
        </w:tblCellMar>
      </w:tblPr>
      <w:tblGrid>
        <w:gridCol w:w="958"/>
        <w:gridCol w:w="2370"/>
        <w:gridCol w:w="1665"/>
        <w:gridCol w:w="2310"/>
        <w:gridCol w:w="2310"/>
      </w:tblGrid>
      <w:tr w14:paraId="558A813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570"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4AF11508">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序号</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ED47D23">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val="en-US" w:eastAsia="zh-CN"/>
              </w:rPr>
              <w:t>设备</w:t>
            </w:r>
            <w:r>
              <w:rPr>
                <w:rFonts w:hint="eastAsia" w:asciiTheme="minorEastAsia" w:hAnsiTheme="minorEastAsia" w:eastAsiaTheme="minorEastAsia" w:cstheme="minorEastAsia"/>
                <w:kern w:val="2"/>
                <w:sz w:val="24"/>
                <w:szCs w:val="24"/>
              </w:rPr>
              <w:t>名称</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73323C2">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数量</w:t>
            </w:r>
            <w:r>
              <w:rPr>
                <w:rFonts w:hint="eastAsia" w:asciiTheme="minorEastAsia" w:hAnsiTheme="minorEastAsia" w:eastAsiaTheme="minorEastAsia" w:cstheme="minorEastAsia"/>
                <w:sz w:val="24"/>
                <w:szCs w:val="24"/>
              </w:rPr>
              <w:t>(台/套)</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2EE173A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rPr>
              <w:t>预算</w:t>
            </w:r>
            <w:r>
              <w:rPr>
                <w:rFonts w:hint="eastAsia" w:asciiTheme="minorEastAsia" w:hAnsiTheme="minorEastAsia" w:eastAsiaTheme="minorEastAsia" w:cstheme="minorEastAsia"/>
                <w:kern w:val="2"/>
                <w:sz w:val="24"/>
                <w:szCs w:val="24"/>
                <w:lang w:eastAsia="zh-CN"/>
              </w:rPr>
              <w:t>总</w:t>
            </w:r>
            <w:r>
              <w:rPr>
                <w:rFonts w:hint="eastAsia" w:asciiTheme="minorEastAsia" w:hAnsiTheme="minorEastAsia" w:eastAsiaTheme="minorEastAsia" w:cstheme="minorEastAsia"/>
                <w:kern w:val="2"/>
                <w:sz w:val="24"/>
                <w:szCs w:val="24"/>
              </w:rPr>
              <w:t>价（万元）</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73C23769">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hint="eastAsia" w:asciiTheme="minorEastAsia" w:hAnsiTheme="minorEastAsia" w:eastAsiaTheme="minorEastAsia" w:cstheme="minorEastAsia"/>
                <w:kern w:val="2"/>
                <w:sz w:val="24"/>
                <w:szCs w:val="24"/>
              </w:rPr>
            </w:pPr>
            <w:r>
              <w:rPr>
                <w:rFonts w:hint="eastAsia" w:asciiTheme="minorEastAsia" w:hAnsiTheme="minorEastAsia" w:eastAsiaTheme="minorEastAsia" w:cstheme="minorEastAsia"/>
                <w:kern w:val="2"/>
                <w:sz w:val="24"/>
                <w:szCs w:val="24"/>
                <w:lang w:val="en-US" w:eastAsia="zh-CN"/>
              </w:rPr>
              <w:t>是否允许进口产品</w:t>
            </w:r>
          </w:p>
        </w:tc>
      </w:tr>
      <w:tr w14:paraId="314AB45A">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4E823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1</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2161097">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气道管理模型</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34C3FF2D">
            <w:pPr>
              <w:jc w:val="center"/>
              <w:rPr>
                <w:rFonts w:hint="eastAsia" w:asciiTheme="minorEastAsia" w:hAnsiTheme="minorEastAsia" w:eastAsiaTheme="minorEastAsia" w:cstheme="minorEastAsia"/>
                <w:kern w:val="2"/>
                <w:sz w:val="24"/>
                <w:szCs w:val="24"/>
                <w:lang w:val="en-US" w:eastAsia="zh-CN"/>
              </w:rPr>
            </w:pPr>
            <w:r>
              <w:rPr>
                <w:rFonts w:hint="eastAsia"/>
                <w:lang w:val="en-US" w:eastAsia="zh-CN"/>
              </w:rPr>
              <w:t>1台</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5ECDFF9D">
            <w:pPr>
              <w:spacing w:beforeLines="0" w:afterLines="0"/>
              <w:jc w:val="center"/>
              <w:rPr>
                <w:rFonts w:hint="default" w:asciiTheme="minorEastAsia" w:hAnsiTheme="minorEastAsia" w:eastAsiaTheme="minorEastAsia" w:cstheme="minorEastAsia"/>
                <w:kern w:val="2"/>
                <w:sz w:val="24"/>
                <w:szCs w:val="24"/>
                <w:lang w:val="en-US" w:eastAsia="zh-CN"/>
              </w:rPr>
            </w:pPr>
            <w:r>
              <w:rPr>
                <w:rFonts w:hint="eastAsia" w:ascii="宋体" w:hAnsi="宋体"/>
                <w:color w:val="000000"/>
                <w:sz w:val="24"/>
                <w:szCs w:val="24"/>
                <w:lang w:val="en-US" w:eastAsia="zh-CN"/>
              </w:rPr>
              <w:t>2.5</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2642342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否</w:t>
            </w:r>
          </w:p>
        </w:tc>
      </w:tr>
      <w:tr w14:paraId="5863F5B6">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156D8B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2</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CD02B20">
            <w:pPr>
              <w:keepNext w:val="0"/>
              <w:keepLines w:val="0"/>
              <w:widowControl/>
              <w:suppressLineNumbers w:val="0"/>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超声支气管介入培训模型</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6062D10C">
            <w:pPr>
              <w:jc w:val="center"/>
              <w:rPr>
                <w:rFonts w:hint="eastAsia"/>
                <w:lang w:val="en-US" w:eastAsia="zh-CN"/>
              </w:rPr>
            </w:pPr>
            <w:r>
              <w:rPr>
                <w:rFonts w:hint="eastAsia"/>
                <w:lang w:val="en-US" w:eastAsia="zh-CN"/>
              </w:rPr>
              <w:t>1台</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1A9F90F4">
            <w:pPr>
              <w:spacing w:beforeLines="0" w:afterLines="0"/>
              <w:jc w:val="center"/>
              <w:rPr>
                <w:rFonts w:hint="eastAsia"/>
                <w:lang w:val="en-US" w:eastAsia="zh-CN"/>
              </w:rPr>
            </w:pPr>
            <w:r>
              <w:rPr>
                <w:rFonts w:hint="eastAsia" w:ascii="宋体" w:hAnsi="宋体"/>
                <w:color w:val="000000"/>
                <w:sz w:val="24"/>
                <w:szCs w:val="24"/>
              </w:rPr>
              <w:t>5.5</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64AD00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否</w:t>
            </w:r>
          </w:p>
        </w:tc>
      </w:tr>
      <w:tr w14:paraId="6477011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958"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731277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3</w:t>
            </w:r>
          </w:p>
        </w:tc>
        <w:tc>
          <w:tcPr>
            <w:tcW w:w="2370"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589D2CC9">
            <w:pPr>
              <w:jc w:val="center"/>
              <w:rPr>
                <w:rFonts w:hint="default" w:eastAsiaTheme="minorEastAsia"/>
                <w:lang w:val="en-US" w:eastAsia="zh-CN"/>
              </w:rPr>
            </w:pPr>
            <w:r>
              <w:rPr>
                <w:rFonts w:hint="default" w:eastAsiaTheme="minorEastAsia"/>
                <w:lang w:val="en-US" w:eastAsia="zh-CN"/>
              </w:rPr>
              <w:t>可视化静脉穿刺置管综合模型</w:t>
            </w:r>
          </w:p>
          <w:p w14:paraId="5113A351">
            <w:pPr>
              <w:jc w:val="center"/>
              <w:rPr>
                <w:rFonts w:hint="eastAsia" w:asciiTheme="minorEastAsia" w:hAnsiTheme="minorEastAsia" w:eastAsiaTheme="minorEastAsia" w:cstheme="minorEastAsia"/>
                <w:kern w:val="2"/>
                <w:sz w:val="24"/>
                <w:szCs w:val="24"/>
                <w:lang w:val="en-US" w:eastAsia="zh-CN" w:bidi="ar-SA"/>
              </w:rPr>
            </w:pPr>
            <w:r>
              <w:rPr>
                <w:rFonts w:hint="default" w:eastAsiaTheme="minorEastAsia"/>
                <w:lang w:val="en-US" w:eastAsia="zh-CN"/>
              </w:rPr>
              <w:t>（自动循环，透明）</w:t>
            </w:r>
          </w:p>
        </w:tc>
        <w:tc>
          <w:tcPr>
            <w:tcW w:w="1665" w:type="dxa"/>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282ABB5A">
            <w:pPr>
              <w:jc w:val="center"/>
              <w:rPr>
                <w:rFonts w:hint="eastAsia"/>
                <w:lang w:val="en-US" w:eastAsia="zh-CN"/>
              </w:rPr>
            </w:pPr>
            <w:r>
              <w:rPr>
                <w:rFonts w:hint="eastAsia"/>
                <w:lang w:val="en-US" w:eastAsia="zh-CN"/>
              </w:rPr>
              <w:t>1台</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7B9621F9">
            <w:pPr>
              <w:spacing w:beforeLines="0" w:afterLines="0"/>
              <w:jc w:val="center"/>
              <w:rPr>
                <w:rFonts w:hint="eastAsia"/>
                <w:lang w:val="en-US" w:eastAsia="zh-CN"/>
              </w:rPr>
            </w:pPr>
            <w:r>
              <w:rPr>
                <w:rFonts w:hint="eastAsia" w:ascii="宋体" w:hAnsi="宋体"/>
                <w:color w:val="000000"/>
                <w:sz w:val="24"/>
                <w:szCs w:val="24"/>
                <w:lang w:val="en-US" w:eastAsia="zh-CN"/>
              </w:rPr>
              <w:t>5.5</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2C2B85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rPr>
            </w:pPr>
            <w:r>
              <w:rPr>
                <w:rFonts w:hint="eastAsia" w:asciiTheme="minorEastAsia" w:hAnsiTheme="minorEastAsia" w:eastAsiaTheme="minorEastAsia" w:cstheme="minorEastAsia"/>
                <w:kern w:val="2"/>
                <w:sz w:val="24"/>
                <w:szCs w:val="24"/>
                <w:lang w:val="en-US" w:eastAsia="zh-CN"/>
              </w:rPr>
              <w:t>否</w:t>
            </w:r>
          </w:p>
        </w:tc>
      </w:tr>
      <w:tr w14:paraId="13F45693">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481" w:hRule="atLeast"/>
          <w:jc w:val="center"/>
        </w:trPr>
        <w:tc>
          <w:tcPr>
            <w:tcW w:w="4993" w:type="dxa"/>
            <w:gridSpan w:val="3"/>
            <w:tcBorders>
              <w:top w:val="single" w:color="000000" w:sz="6" w:space="0"/>
              <w:left w:val="single" w:color="000000" w:sz="6" w:space="0"/>
              <w:bottom w:val="single" w:color="000000" w:sz="6" w:space="0"/>
              <w:right w:val="single" w:color="000000" w:sz="6" w:space="0"/>
            </w:tcBorders>
            <w:shd w:val="clear" w:color="auto" w:fill="auto"/>
            <w:tcMar>
              <w:top w:w="75" w:type="dxa"/>
              <w:left w:w="150" w:type="dxa"/>
              <w:bottom w:w="75" w:type="dxa"/>
              <w:right w:w="150" w:type="dxa"/>
            </w:tcMar>
            <w:vAlign w:val="center"/>
          </w:tcPr>
          <w:p w14:paraId="0AD06A82">
            <w:pPr>
              <w:jc w:val="center"/>
              <w:rPr>
                <w:rFonts w:hint="eastAsia"/>
                <w:lang w:val="en-US" w:eastAsia="zh-CN"/>
              </w:rPr>
            </w:pPr>
            <w:r>
              <w:rPr>
                <w:rFonts w:hint="eastAsia" w:asciiTheme="minorEastAsia" w:hAnsiTheme="minorEastAsia" w:eastAsiaTheme="minorEastAsia" w:cstheme="minorEastAsia"/>
                <w:kern w:val="2"/>
                <w:sz w:val="24"/>
                <w:szCs w:val="24"/>
                <w:lang w:val="en-US" w:eastAsia="zh-CN" w:bidi="ar-SA"/>
              </w:rPr>
              <w:t>合计</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3E9DF487">
            <w:pPr>
              <w:jc w:val="center"/>
              <w:rPr>
                <w:rFonts w:hint="default"/>
                <w:lang w:val="en-US" w:eastAsia="zh-CN"/>
              </w:rPr>
            </w:pPr>
            <w:r>
              <w:rPr>
                <w:rFonts w:hint="eastAsia"/>
                <w:lang w:val="en-US" w:eastAsia="zh-CN"/>
              </w:rPr>
              <w:t>13.5</w:t>
            </w:r>
          </w:p>
        </w:tc>
        <w:tc>
          <w:tcPr>
            <w:tcW w:w="2310" w:type="dxa"/>
            <w:tcBorders>
              <w:top w:val="single" w:color="000000" w:sz="6" w:space="0"/>
              <w:left w:val="single" w:color="000000" w:sz="6" w:space="0"/>
              <w:bottom w:val="single" w:color="000000" w:sz="6" w:space="0"/>
              <w:right w:val="single" w:color="auto" w:sz="4" w:space="0"/>
            </w:tcBorders>
            <w:shd w:val="clear" w:color="auto" w:fill="auto"/>
            <w:tcMar>
              <w:top w:w="75" w:type="dxa"/>
              <w:left w:w="150" w:type="dxa"/>
              <w:bottom w:w="75" w:type="dxa"/>
              <w:right w:w="150" w:type="dxa"/>
            </w:tcMar>
            <w:vAlign w:val="center"/>
          </w:tcPr>
          <w:p w14:paraId="5AFA7B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kern w:val="2"/>
                <w:sz w:val="24"/>
                <w:szCs w:val="24"/>
                <w:lang w:val="en-US" w:eastAsia="zh-CN"/>
              </w:rPr>
            </w:pPr>
          </w:p>
        </w:tc>
      </w:tr>
    </w:tbl>
    <w:p w14:paraId="64027A1A">
      <w:pPr>
        <w:spacing w:line="360" w:lineRule="auto"/>
        <w:rPr>
          <w:rFonts w:hint="eastAsia" w:asciiTheme="minorEastAsia" w:hAnsiTheme="minorEastAsia" w:eastAsiaTheme="minorEastAsia" w:cstheme="minorEastAsia"/>
          <w:bCs/>
          <w:color w:val="auto"/>
          <w:kern w:val="0"/>
          <w:sz w:val="24"/>
          <w:szCs w:val="24"/>
          <w:lang w:val="en-US" w:eastAsia="zh-CN" w:bidi="ar-SA"/>
        </w:rPr>
      </w:pPr>
    </w:p>
    <w:p w14:paraId="455C2257">
      <w:pPr>
        <w:spacing w:line="360" w:lineRule="auto"/>
        <w:ind w:firstLine="480" w:firstLineChars="200"/>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2、服务时间：双方签订合同时具体约定。</w:t>
      </w:r>
    </w:p>
    <w:p w14:paraId="015AD78F">
      <w:pPr>
        <w:spacing w:line="360" w:lineRule="auto"/>
        <w:ind w:firstLine="480" w:firstLineChars="200"/>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3、服务地点：娄底市中心医院。</w:t>
      </w:r>
    </w:p>
    <w:p w14:paraId="434A8AA3">
      <w:pPr>
        <w:spacing w:line="360" w:lineRule="auto"/>
        <w:ind w:firstLine="560" w:firstLineChars="200"/>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二、项目内容及要求</w:t>
      </w:r>
    </w:p>
    <w:tbl>
      <w:tblPr>
        <w:tblStyle w:val="11"/>
        <w:tblpPr w:leftFromText="180" w:rightFromText="180" w:vertAnchor="text" w:horzAnchor="page" w:tblpX="1147" w:tblpY="464"/>
        <w:tblOverlap w:val="never"/>
        <w:tblW w:w="10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735"/>
        <w:gridCol w:w="751"/>
        <w:gridCol w:w="7080"/>
      </w:tblGrid>
      <w:tr w14:paraId="7A77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535" w:type="dxa"/>
            <w:vAlign w:val="center"/>
          </w:tcPr>
          <w:p w14:paraId="488390E4">
            <w:pPr>
              <w:jc w:val="center"/>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产品名称</w:t>
            </w:r>
          </w:p>
        </w:tc>
        <w:tc>
          <w:tcPr>
            <w:tcW w:w="735" w:type="dxa"/>
            <w:vAlign w:val="center"/>
          </w:tcPr>
          <w:p w14:paraId="6869FFCF">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数量</w:t>
            </w:r>
          </w:p>
        </w:tc>
        <w:tc>
          <w:tcPr>
            <w:tcW w:w="751" w:type="dxa"/>
            <w:vAlign w:val="center"/>
          </w:tcPr>
          <w:p w14:paraId="3F9A9B90">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单位</w:t>
            </w:r>
          </w:p>
        </w:tc>
        <w:tc>
          <w:tcPr>
            <w:tcW w:w="7080" w:type="dxa"/>
          </w:tcPr>
          <w:p w14:paraId="6BE3D1ED">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参数</w:t>
            </w:r>
          </w:p>
        </w:tc>
      </w:tr>
      <w:tr w14:paraId="0FD3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35" w:type="dxa"/>
            <w:vAlign w:val="center"/>
          </w:tcPr>
          <w:p w14:paraId="5CFFA6EA">
            <w:pPr>
              <w:jc w:val="center"/>
              <w:rPr>
                <w:rFonts w:hint="eastAsia" w:ascii="宋体" w:hAnsi="宋体" w:cs="宋体"/>
                <w:sz w:val="22"/>
                <w:szCs w:val="22"/>
                <w:vertAlign w:val="baseline"/>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一</w:t>
            </w:r>
            <w:r>
              <w:rPr>
                <w:rFonts w:hint="eastAsia" w:ascii="宋体" w:hAnsi="宋体" w:eastAsia="宋体" w:cs="宋体"/>
                <w:sz w:val="22"/>
                <w:szCs w:val="22"/>
                <w:lang w:eastAsia="zh-CN"/>
              </w:rPr>
              <w:t>）气道管理模型</w:t>
            </w:r>
          </w:p>
        </w:tc>
        <w:tc>
          <w:tcPr>
            <w:tcW w:w="735" w:type="dxa"/>
            <w:vAlign w:val="center"/>
          </w:tcPr>
          <w:p w14:paraId="63311459">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w:t>
            </w:r>
          </w:p>
        </w:tc>
        <w:tc>
          <w:tcPr>
            <w:tcW w:w="751" w:type="dxa"/>
            <w:vAlign w:val="center"/>
          </w:tcPr>
          <w:p w14:paraId="72CE45FA">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台</w:t>
            </w:r>
          </w:p>
        </w:tc>
        <w:tc>
          <w:tcPr>
            <w:tcW w:w="7080" w:type="dxa"/>
          </w:tcPr>
          <w:p w14:paraId="0FC98F7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产品说明：真实的训练及实践是掌握气道管理技术的关键。当进行困难气管插管、人工呼吸、吸引和支气管检查训练时，Laerdal气道管理模型可以真实地模仿多种生理情况，帮助相关医学院学生或麻醉、急诊等医护人员培养气道管理技能直至精进。</w:t>
            </w:r>
          </w:p>
          <w:p w14:paraId="55366177">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 真实的气道解剖结构和特征</w:t>
            </w:r>
          </w:p>
          <w:p w14:paraId="01A95F94">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 可经口、鼻气管插管练习</w:t>
            </w:r>
          </w:p>
          <w:p w14:paraId="482BD46C">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 可以进行光导气管插管的使用练习</w:t>
            </w:r>
          </w:p>
          <w:p w14:paraId="1BAA6D29">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4. 可使用支气管镜练习插管</w:t>
            </w:r>
          </w:p>
          <w:p w14:paraId="1CBEFC42">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5. 可以插入喉罩(LMA)和复合插管</w:t>
            </w:r>
          </w:p>
          <w:p w14:paraId="0240506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6. 可进行复苏球囊通气练习</w:t>
            </w:r>
          </w:p>
          <w:p w14:paraId="160C2BA2">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7. 可以进行Sellick手法的操作练习，气管痉挛的练习</w:t>
            </w:r>
          </w:p>
          <w:p w14:paraId="45A7EF87">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8.  可以进行清除呼吸道异物和分泌物阻塞的练习，液体异物吸引的操作练习</w:t>
            </w:r>
          </w:p>
          <w:p w14:paraId="07945957">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9.  人工通气时可见肺部胀缩进行呼吸音听诊</w:t>
            </w:r>
          </w:p>
          <w:p w14:paraId="13562FF7">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10.  可以模拟胃胀气和呕吐情况，插管过深可引起右侧肺扩展。</w:t>
            </w:r>
          </w:p>
          <w:p w14:paraId="53EF22E6">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▲11.  插管错误会发生报警声（模拟牙齿断裂）；</w:t>
            </w:r>
          </w:p>
          <w:p w14:paraId="2E502DAE">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12.  可模拟喉痉挛，模拟各种插管的并发症，增加插管难度；</w:t>
            </w:r>
          </w:p>
          <w:p w14:paraId="7329AA93">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13.  通过对环甲软骨加压，改变气道位置，关闭食道；</w:t>
            </w:r>
          </w:p>
          <w:p w14:paraId="60FDECEA">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14.  配有单独的气道解剖模型，可示教讲解气道解剖结构</w:t>
            </w:r>
          </w:p>
          <w:p w14:paraId="0BEA0775">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15. 可做双腔支气管插管</w:t>
            </w:r>
          </w:p>
          <w:p w14:paraId="7570B243">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val="zh-CN" w:eastAsia="zh-CN"/>
              </w:rPr>
              <w:t>.  复合材料，超长的使用寿命和真实的手感</w:t>
            </w:r>
          </w:p>
          <w:p w14:paraId="1C53C930">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w:t>
            </w:r>
            <w:r>
              <w:rPr>
                <w:rFonts w:hint="eastAsia" w:asciiTheme="minorEastAsia" w:hAnsiTheme="minorEastAsia" w:eastAsiaTheme="minorEastAsia" w:cstheme="minorEastAsia"/>
                <w:sz w:val="24"/>
                <w:szCs w:val="24"/>
                <w:lang w:val="en-US" w:eastAsia="zh-CN"/>
              </w:rPr>
              <w:t>7</w:t>
            </w:r>
            <w:r>
              <w:rPr>
                <w:rFonts w:hint="eastAsia" w:asciiTheme="minorEastAsia" w:hAnsiTheme="minorEastAsia" w:eastAsiaTheme="minorEastAsia" w:cstheme="minorEastAsia"/>
                <w:sz w:val="24"/>
                <w:szCs w:val="24"/>
                <w:lang w:val="zh-CN" w:eastAsia="zh-CN"/>
              </w:rPr>
              <w:t>.  模型可固定在训练板上,容易使用，同时配有高级手提箱並有清洁用具及润滑剂。</w:t>
            </w:r>
          </w:p>
          <w:p w14:paraId="04B2E11D">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p>
          <w:p w14:paraId="444246E0">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p>
        </w:tc>
      </w:tr>
      <w:tr w14:paraId="4EA2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535" w:type="dxa"/>
            <w:vAlign w:val="center"/>
          </w:tcPr>
          <w:p w14:paraId="1D259FF7">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二</w:t>
            </w:r>
            <w:r>
              <w:rPr>
                <w:rFonts w:hint="eastAsia" w:ascii="宋体" w:hAnsi="宋体" w:eastAsia="宋体" w:cs="宋体"/>
                <w:sz w:val="22"/>
                <w:szCs w:val="22"/>
                <w:lang w:eastAsia="zh-CN"/>
              </w:rPr>
              <w:t>）</w:t>
            </w:r>
            <w:r>
              <w:rPr>
                <w:rFonts w:hint="eastAsia" w:ascii="宋体" w:hAnsi="宋体" w:cs="宋体"/>
                <w:sz w:val="22"/>
                <w:szCs w:val="22"/>
              </w:rPr>
              <w:t>超声支气管介入培训模型</w:t>
            </w:r>
          </w:p>
        </w:tc>
        <w:tc>
          <w:tcPr>
            <w:tcW w:w="735" w:type="dxa"/>
            <w:vAlign w:val="center"/>
          </w:tcPr>
          <w:p w14:paraId="39D92109">
            <w:pPr>
              <w:jc w:val="center"/>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lang w:val="en-US" w:eastAsia="zh-CN"/>
              </w:rPr>
              <w:t>1</w:t>
            </w:r>
          </w:p>
        </w:tc>
        <w:tc>
          <w:tcPr>
            <w:tcW w:w="751" w:type="dxa"/>
            <w:vAlign w:val="center"/>
          </w:tcPr>
          <w:p w14:paraId="670F7127">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台</w:t>
            </w:r>
          </w:p>
        </w:tc>
        <w:tc>
          <w:tcPr>
            <w:tcW w:w="7080" w:type="dxa"/>
          </w:tcPr>
          <w:p w14:paraId="5DF41479">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1.</w:t>
            </w:r>
            <w:r>
              <w:rPr>
                <w:rFonts w:hint="eastAsia" w:asciiTheme="minorEastAsia" w:hAnsiTheme="minorEastAsia" w:eastAsiaTheme="minorEastAsia" w:cstheme="minorEastAsia"/>
                <w:sz w:val="24"/>
                <w:szCs w:val="24"/>
                <w:lang w:val="zh-CN" w:eastAsia="zh-CN"/>
              </w:rPr>
              <w:tab/>
            </w:r>
            <w:r>
              <w:rPr>
                <w:rFonts w:hint="eastAsia" w:asciiTheme="minorEastAsia" w:hAnsiTheme="minorEastAsia" w:eastAsiaTheme="minorEastAsia" w:cstheme="minorEastAsia"/>
                <w:sz w:val="24"/>
                <w:szCs w:val="24"/>
                <w:lang w:val="zh-CN" w:eastAsia="zh-CN"/>
              </w:rPr>
              <w:t>产品简介：</w:t>
            </w:r>
            <w:r>
              <w:rPr>
                <w:rFonts w:hint="eastAsia" w:asciiTheme="minorEastAsia" w:hAnsiTheme="minorEastAsia" w:eastAsiaTheme="minorEastAsia" w:cstheme="minorEastAsia"/>
                <w:sz w:val="24"/>
                <w:szCs w:val="24"/>
                <w:lang w:val="en-US" w:eastAsia="zh-CN"/>
              </w:rPr>
              <w:t>基于</w:t>
            </w:r>
            <w:r>
              <w:rPr>
                <w:rFonts w:hint="eastAsia" w:asciiTheme="minorEastAsia" w:hAnsiTheme="minorEastAsia" w:eastAsiaTheme="minorEastAsia" w:cstheme="minorEastAsia"/>
                <w:sz w:val="24"/>
                <w:szCs w:val="24"/>
                <w:lang w:val="zh-CN" w:eastAsia="zh-CN"/>
              </w:rPr>
              <w:t xml:space="preserve">标准成年人CT设计，采用硅胶1:1制作，采用超声显影材料制作淋巴组及周边组织，确保内镜下气道及支气管解剖特征准确，镜下视野高度接近真实人体，可用于支气管镜检查、取活检、超声支气管镜检查及EBUS-TBNA等操作培训。          </w:t>
            </w:r>
          </w:p>
          <w:p w14:paraId="7AF1E19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w:t>
            </w:r>
            <w:r>
              <w:rPr>
                <w:rFonts w:hint="eastAsia" w:asciiTheme="minorEastAsia" w:hAnsiTheme="minorEastAsia" w:eastAsiaTheme="minorEastAsia" w:cstheme="minorEastAsia"/>
                <w:sz w:val="24"/>
                <w:szCs w:val="24"/>
                <w:lang w:val="zh-CN" w:eastAsia="zh-CN"/>
              </w:rPr>
              <w:tab/>
            </w:r>
            <w:r>
              <w:rPr>
                <w:rFonts w:hint="eastAsia" w:asciiTheme="minorEastAsia" w:hAnsiTheme="minorEastAsia" w:eastAsiaTheme="minorEastAsia" w:cstheme="minorEastAsia"/>
                <w:sz w:val="24"/>
                <w:szCs w:val="24"/>
                <w:lang w:val="zh-CN" w:eastAsia="zh-CN"/>
              </w:rPr>
              <w:t xml:space="preserve">支持的手术训练项目：      </w:t>
            </w:r>
          </w:p>
          <w:p w14:paraId="4E368A2D">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 xml:space="preserve">2.1支气管镜下气管及支气管解剖识别训练；   </w:t>
            </w:r>
          </w:p>
          <w:p w14:paraId="4250A56A">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2.2纤维支气管镜及电子支气管镜的检查、异物查找、吸痰及灌洗操作训练；</w:t>
            </w:r>
          </w:p>
          <w:p w14:paraId="1F2F727C">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2.3支气管镜进镜、推进、支气管镜内旋转操作训练，控制支气管镜末端的居中操作训练。</w:t>
            </w:r>
          </w:p>
          <w:p w14:paraId="363A1087">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2.4 超声支气管镜对常规淋巴组的识别训练；</w:t>
            </w:r>
          </w:p>
          <w:p w14:paraId="14C983E0">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 xml:space="preserve">2.5 EBUS-TBNA穿刺的手感及准确性。   </w:t>
            </w:r>
          </w:p>
          <w:p w14:paraId="5A792B5E">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 xml:space="preserve">3.产品结构特征及外观       </w:t>
            </w:r>
          </w:p>
          <w:p w14:paraId="3C129A00">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lang w:val="zh-CN" w:eastAsia="zh-CN"/>
              </w:rPr>
              <w:t xml:space="preserve"> 包含可用于穿刺的主气管、左/右主支气管以及2L、2R、4L、4R、7、10L、10R常规穿刺的淋巴组。 </w:t>
            </w:r>
          </w:p>
          <w:p w14:paraId="5BDC124D">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3.</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 xml:space="preserve"> 包含左/右主支气管，气管软骨环、隆突，左/右段支气管可达5级支气管</w:t>
            </w:r>
          </w:p>
          <w:p w14:paraId="0ED8C819">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lang w:val="zh-CN" w:eastAsia="zh-CN"/>
              </w:rPr>
              <w:t>、包装箱主体材质：铝合金、高性能密度板；内衬上盖采用蛋壳海绵</w:t>
            </w:r>
          </w:p>
          <w:p w14:paraId="0BA89487">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箱体，内衬采用EVA海绵  。</w:t>
            </w:r>
          </w:p>
        </w:tc>
      </w:tr>
      <w:tr w14:paraId="14E51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1535" w:type="dxa"/>
            <w:vAlign w:val="center"/>
          </w:tcPr>
          <w:p w14:paraId="7CA8114C">
            <w:pPr>
              <w:jc w:val="center"/>
              <w:rPr>
                <w:rFonts w:hint="eastAsia" w:ascii="宋体" w:hAnsi="宋体" w:eastAsia="宋体" w:cs="宋体"/>
                <w:sz w:val="22"/>
                <w:szCs w:val="22"/>
                <w:lang w:eastAsia="zh-CN"/>
              </w:rPr>
            </w:pPr>
            <w:r>
              <w:rPr>
                <w:rFonts w:hint="eastAsia" w:ascii="宋体" w:hAnsi="宋体" w:eastAsia="宋体" w:cs="宋体"/>
                <w:sz w:val="22"/>
                <w:szCs w:val="22"/>
                <w:lang w:val="en-US" w:eastAsia="zh-CN"/>
              </w:rPr>
              <w:t>（三）可视化静脉穿刺置管综合模型（自动循环，透明）</w:t>
            </w:r>
          </w:p>
        </w:tc>
        <w:tc>
          <w:tcPr>
            <w:tcW w:w="735" w:type="dxa"/>
            <w:vAlign w:val="center"/>
          </w:tcPr>
          <w:p w14:paraId="50FE2CA8">
            <w:pPr>
              <w:jc w:val="center"/>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1</w:t>
            </w:r>
          </w:p>
        </w:tc>
        <w:tc>
          <w:tcPr>
            <w:tcW w:w="751" w:type="dxa"/>
            <w:vAlign w:val="center"/>
          </w:tcPr>
          <w:p w14:paraId="6C63A02B">
            <w:pPr>
              <w:jc w:val="center"/>
              <w:rPr>
                <w:rFonts w:hint="default"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台</w:t>
            </w:r>
          </w:p>
        </w:tc>
        <w:tc>
          <w:tcPr>
            <w:tcW w:w="7080" w:type="dxa"/>
          </w:tcPr>
          <w:p w14:paraId="4F2E6D3C">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51702003">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2E211E19">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0A753992">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r>
              <w:rPr>
                <w:rFonts w:hint="eastAsia" w:asciiTheme="minorEastAsia" w:hAnsiTheme="minorEastAsia" w:eastAsiaTheme="minorEastAsia" w:cstheme="minorEastAsia"/>
                <w:sz w:val="24"/>
                <w:szCs w:val="24"/>
                <w:lang w:eastAsia="zh-CN"/>
              </w:rPr>
              <w:drawing>
                <wp:anchor distT="0" distB="0" distL="114300" distR="114300" simplePos="0" relativeHeight="251659264" behindDoc="0" locked="0" layoutInCell="1" allowOverlap="1">
                  <wp:simplePos x="0" y="0"/>
                  <wp:positionH relativeFrom="column">
                    <wp:posOffset>-773430</wp:posOffset>
                  </wp:positionH>
                  <wp:positionV relativeFrom="paragraph">
                    <wp:posOffset>-4863465</wp:posOffset>
                  </wp:positionV>
                  <wp:extent cx="3209290" cy="1450975"/>
                  <wp:effectExtent l="0" t="0" r="10160" b="15875"/>
                  <wp:wrapSquare wrapText="bothSides"/>
                  <wp:docPr id="1" name="图片 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3"/>
                          <pic:cNvPicPr>
                            <a:picLocks noChangeAspect="1"/>
                          </pic:cNvPicPr>
                        </pic:nvPicPr>
                        <pic:blipFill>
                          <a:blip r:embed="rId7"/>
                          <a:stretch>
                            <a:fillRect/>
                          </a:stretch>
                        </pic:blipFill>
                        <pic:spPr>
                          <a:xfrm>
                            <a:off x="0" y="0"/>
                            <a:ext cx="3209290" cy="1450975"/>
                          </a:xfrm>
                          <a:prstGeom prst="rect">
                            <a:avLst/>
                          </a:prstGeom>
                        </pic:spPr>
                      </pic:pic>
                    </a:graphicData>
                  </a:graphic>
                </wp:anchor>
              </w:drawing>
            </w:r>
          </w:p>
          <w:p w14:paraId="1E59416C">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5063823F">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3C1F25BD">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512491D8">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b/>
                <w:bCs/>
                <w:position w:val="1"/>
                <w:sz w:val="24"/>
                <w:szCs w:val="24"/>
                <w:lang w:val="en-US" w:eastAsia="zh-CN"/>
              </w:rPr>
            </w:pPr>
          </w:p>
          <w:p w14:paraId="601C4008">
            <w:pPr>
              <w:pStyle w:val="22"/>
              <w:keepNext w:val="0"/>
              <w:keepLines w:val="0"/>
              <w:pageBreakBefore w:val="0"/>
              <w:widowControl/>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position w:val="1"/>
                <w:sz w:val="24"/>
                <w:szCs w:val="24"/>
                <w:lang w:val="en-US" w:eastAsia="zh-CN"/>
              </w:rPr>
              <w:t>1、产品特点</w:t>
            </w:r>
            <w:r>
              <w:rPr>
                <w:rFonts w:hint="eastAsia" w:asciiTheme="minorEastAsia" w:hAnsiTheme="minorEastAsia" w:eastAsiaTheme="minorEastAsia" w:cstheme="minorEastAsia"/>
                <w:b/>
                <w:bCs/>
                <w:position w:val="1"/>
                <w:sz w:val="24"/>
                <w:szCs w:val="24"/>
                <w:lang w:eastAsia="zh-CN"/>
              </w:rPr>
              <w:t>：</w:t>
            </w:r>
            <w:r>
              <w:rPr>
                <w:rFonts w:hint="eastAsia" w:asciiTheme="minorEastAsia" w:hAnsiTheme="minorEastAsia" w:eastAsiaTheme="minorEastAsia" w:cstheme="minorEastAsia"/>
                <w:b w:val="0"/>
                <w:bCs w:val="0"/>
                <w:sz w:val="24"/>
                <w:szCs w:val="24"/>
                <w:lang w:val="en-US" w:eastAsia="zh-CN"/>
              </w:rPr>
              <w:t>临床</w:t>
            </w:r>
            <w:r>
              <w:rPr>
                <w:rFonts w:hint="eastAsia" w:asciiTheme="minorEastAsia" w:hAnsiTheme="minorEastAsia" w:eastAsiaTheme="minorEastAsia" w:cstheme="minorEastAsia"/>
                <w:b w:val="0"/>
                <w:bCs w:val="0"/>
                <w:sz w:val="24"/>
                <w:szCs w:val="24"/>
                <w:lang w:val="zh-CN" w:eastAsia="zh-CN"/>
              </w:rPr>
              <w:t>超声引导下PICC穿刺置管术、植入式静脉输液港（PORT）植入术等静脉穿刺置管</w:t>
            </w:r>
            <w:r>
              <w:rPr>
                <w:rFonts w:hint="eastAsia" w:asciiTheme="minorEastAsia" w:hAnsiTheme="minorEastAsia" w:eastAsiaTheme="minorEastAsia" w:cstheme="minorEastAsia"/>
                <w:b w:val="0"/>
                <w:bCs w:val="0"/>
                <w:sz w:val="24"/>
                <w:szCs w:val="24"/>
                <w:lang w:val="en-US" w:eastAsia="zh-CN"/>
              </w:rPr>
              <w:t>等</w:t>
            </w:r>
            <w:r>
              <w:rPr>
                <w:rFonts w:hint="eastAsia" w:asciiTheme="minorEastAsia" w:hAnsiTheme="minorEastAsia" w:eastAsiaTheme="minorEastAsia" w:cstheme="minorEastAsia"/>
                <w:b w:val="0"/>
                <w:bCs w:val="0"/>
                <w:sz w:val="24"/>
                <w:szCs w:val="24"/>
                <w:lang w:val="zh-CN" w:eastAsia="zh-CN"/>
              </w:rPr>
              <w:t>技能培训</w:t>
            </w:r>
            <w:r>
              <w:rPr>
                <w:rFonts w:hint="eastAsia" w:asciiTheme="minorEastAsia" w:hAnsiTheme="minorEastAsia" w:eastAsiaTheme="minorEastAsia" w:cstheme="minorEastAsia"/>
                <w:b w:val="0"/>
                <w:bCs w:val="0"/>
                <w:sz w:val="24"/>
                <w:szCs w:val="24"/>
                <w:lang w:val="en-US" w:eastAsia="zh-CN"/>
              </w:rPr>
              <w:t>已成为常用的必须培训项目，增加</w:t>
            </w:r>
            <w:r>
              <w:rPr>
                <w:rFonts w:hint="eastAsia" w:asciiTheme="minorEastAsia" w:hAnsiTheme="minorEastAsia" w:eastAsiaTheme="minorEastAsia" w:cstheme="minorEastAsia"/>
                <w:b w:val="0"/>
                <w:bCs w:val="0"/>
                <w:sz w:val="24"/>
                <w:szCs w:val="24"/>
                <w:lang w:eastAsia="zh-CN"/>
              </w:rPr>
              <w:t>可视化静脉穿刺置管综合模型，</w:t>
            </w:r>
            <w:r>
              <w:rPr>
                <w:rFonts w:hint="eastAsia" w:asciiTheme="minorEastAsia" w:hAnsiTheme="minorEastAsia" w:eastAsiaTheme="minorEastAsia" w:cstheme="minorEastAsia"/>
                <w:b w:val="0"/>
                <w:bCs w:val="0"/>
                <w:sz w:val="24"/>
                <w:szCs w:val="24"/>
                <w:lang w:val="en-US" w:eastAsia="zh-CN"/>
              </w:rPr>
              <w:t>可形成一套完善的危重病人救治培训体系。</w:t>
            </w:r>
          </w:p>
          <w:p w14:paraId="61989FBB">
            <w:pPr>
              <w:keepNext w:val="0"/>
              <w:keepLines w:val="0"/>
              <w:pageBreakBefore w:val="0"/>
              <w:kinsoku/>
              <w:wordWrap/>
              <w:overflowPunct/>
              <w:topLinePunct w:val="0"/>
              <w:autoSpaceDE/>
              <w:autoSpaceDN/>
              <w:bidi w:val="0"/>
              <w:adjustRightInd/>
              <w:snapToGrid/>
              <w:spacing w:line="240" w:lineRule="auto"/>
              <w:ind w:right="-20"/>
              <w:jc w:val="both"/>
              <w:textAlignment w:val="auto"/>
              <w:rPr>
                <w:rFonts w:hint="eastAsia" w:asciiTheme="minorEastAsia" w:hAnsiTheme="minorEastAsia" w:eastAsiaTheme="minorEastAsia" w:cstheme="minorEastAsia"/>
                <w:b/>
                <w:bCs/>
                <w:kern w:val="2"/>
                <w:position w:val="1"/>
                <w:sz w:val="24"/>
                <w:szCs w:val="24"/>
                <w:lang w:val="zh-CN" w:eastAsia="zh-CN" w:bidi="ar-SA"/>
              </w:rPr>
            </w:pPr>
            <w:r>
              <w:rPr>
                <w:rFonts w:hint="eastAsia" w:asciiTheme="minorEastAsia" w:hAnsiTheme="minorEastAsia" w:eastAsiaTheme="minorEastAsia" w:cstheme="minorEastAsia"/>
                <w:b/>
                <w:bCs/>
                <w:kern w:val="2"/>
                <w:position w:val="1"/>
                <w:sz w:val="24"/>
                <w:szCs w:val="24"/>
                <w:lang w:val="en-US" w:eastAsia="zh-CN" w:bidi="ar-SA"/>
              </w:rPr>
              <w:t>2、</w:t>
            </w:r>
            <w:r>
              <w:rPr>
                <w:rFonts w:hint="eastAsia" w:asciiTheme="minorEastAsia" w:hAnsiTheme="minorEastAsia" w:eastAsiaTheme="minorEastAsia" w:cstheme="minorEastAsia"/>
                <w:b/>
                <w:bCs/>
                <w:kern w:val="2"/>
                <w:position w:val="1"/>
                <w:sz w:val="24"/>
                <w:szCs w:val="24"/>
                <w:lang w:val="zh-CN" w:eastAsia="zh-CN" w:bidi="ar-SA"/>
              </w:rPr>
              <w:t>总体要求：</w:t>
            </w:r>
          </w:p>
          <w:p w14:paraId="0D64931D">
            <w:pPr>
              <w:keepNext w:val="0"/>
              <w:keepLines w:val="0"/>
              <w:pageBreakBefore w:val="0"/>
              <w:kinsoku/>
              <w:wordWrap/>
              <w:overflowPunct/>
              <w:topLinePunct w:val="0"/>
              <w:autoSpaceDE/>
              <w:autoSpaceDN/>
              <w:bidi w:val="0"/>
              <w:adjustRightInd/>
              <w:snapToGrid/>
              <w:spacing w:line="240" w:lineRule="auto"/>
              <w:ind w:right="-20"/>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模型具有成人右侧胸部、肩部及外展90°的右侧手臂，内含解剖走行精准的上肢动静脉，模型材质与人体组织类似，可在超声设备及X光机下成像，支持超声引导下PICC穿刺置管术、植入式静脉输液港（PORT）植入术等静脉穿刺置管技能培训。透明外观支持可以观察到血管和毗邻解剖情况，满足超声解剖示教训练。</w:t>
            </w:r>
          </w:p>
          <w:p w14:paraId="52938533">
            <w:pPr>
              <w:keepNext w:val="0"/>
              <w:keepLines w:val="0"/>
              <w:pageBreakBefore w:val="0"/>
              <w:kinsoku/>
              <w:wordWrap/>
              <w:overflowPunct/>
              <w:topLinePunct w:val="0"/>
              <w:autoSpaceDE/>
              <w:autoSpaceDN/>
              <w:bidi w:val="0"/>
              <w:adjustRightInd/>
              <w:snapToGrid/>
              <w:spacing w:line="240" w:lineRule="auto"/>
              <w:ind w:right="-20"/>
              <w:jc w:val="both"/>
              <w:textAlignment w:val="auto"/>
              <w:rPr>
                <w:rFonts w:hint="eastAsia" w:asciiTheme="minorEastAsia" w:hAnsiTheme="minorEastAsia" w:eastAsiaTheme="minorEastAsia" w:cstheme="minorEastAsia"/>
                <w:b/>
                <w:bCs/>
                <w:kern w:val="2"/>
                <w:position w:val="1"/>
                <w:sz w:val="24"/>
                <w:szCs w:val="24"/>
                <w:lang w:val="zh-CN" w:eastAsia="zh-CN" w:bidi="ar-SA"/>
              </w:rPr>
            </w:pPr>
            <w:r>
              <w:rPr>
                <w:rFonts w:hint="eastAsia" w:asciiTheme="minorEastAsia" w:hAnsiTheme="minorEastAsia" w:eastAsiaTheme="minorEastAsia" w:cstheme="minorEastAsia"/>
                <w:b/>
                <w:bCs/>
                <w:kern w:val="2"/>
                <w:position w:val="1"/>
                <w:sz w:val="24"/>
                <w:szCs w:val="24"/>
                <w:lang w:val="en-US" w:eastAsia="zh-CN" w:bidi="ar-SA"/>
              </w:rPr>
              <w:t>3、</w:t>
            </w:r>
            <w:r>
              <w:rPr>
                <w:rFonts w:hint="eastAsia" w:asciiTheme="minorEastAsia" w:hAnsiTheme="minorEastAsia" w:eastAsiaTheme="minorEastAsia" w:cstheme="minorEastAsia"/>
                <w:b/>
                <w:bCs/>
                <w:kern w:val="2"/>
                <w:position w:val="1"/>
                <w:sz w:val="24"/>
                <w:szCs w:val="24"/>
                <w:lang w:val="zh-CN" w:eastAsia="zh-CN" w:bidi="ar-SA"/>
              </w:rPr>
              <w:t>详细功能：</w:t>
            </w:r>
          </w:p>
          <w:p w14:paraId="5F1A4BA6">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3.1</w:t>
            </w:r>
            <w:r>
              <w:rPr>
                <w:rFonts w:hint="eastAsia" w:asciiTheme="minorEastAsia" w:hAnsiTheme="minorEastAsia" w:eastAsiaTheme="minorEastAsia" w:cstheme="minorEastAsia"/>
                <w:sz w:val="24"/>
                <w:szCs w:val="24"/>
                <w:lang w:val="zh-CN" w:eastAsia="zh-CN"/>
              </w:rPr>
              <w:t>、模型模拟成人右侧手臂、肩部、胸部外形，呈一体化设计，具有准确的内外解剖结构。</w:t>
            </w:r>
          </w:p>
          <w:p w14:paraId="2C1D403E">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3.1.1</w:t>
            </w:r>
            <w:r>
              <w:rPr>
                <w:rFonts w:hint="eastAsia" w:asciiTheme="minorEastAsia" w:hAnsiTheme="minorEastAsia" w:eastAsiaTheme="minorEastAsia" w:cstheme="minorEastAsia"/>
                <w:sz w:val="24"/>
                <w:szCs w:val="24"/>
                <w:lang w:val="zh-CN" w:eastAsia="zh-CN"/>
              </w:rPr>
              <w:t>、模型手臂外展与右肩及右侧胸壁躯干成90°，呈标准的PICC穿刺术操作体位。</w:t>
            </w:r>
          </w:p>
          <w:p w14:paraId="2490DB66">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w:t>
            </w:r>
            <w:r>
              <w:rPr>
                <w:rFonts w:hint="eastAsia" w:asciiTheme="minorEastAsia" w:hAnsiTheme="minorEastAsia" w:eastAsiaTheme="minorEastAsia" w:cstheme="minorEastAsia"/>
                <w:sz w:val="24"/>
                <w:szCs w:val="24"/>
                <w:lang w:val="en-US" w:eastAsia="zh-CN"/>
              </w:rPr>
              <w:t>3.1.2</w:t>
            </w:r>
            <w:r>
              <w:rPr>
                <w:rFonts w:hint="eastAsia" w:asciiTheme="minorEastAsia" w:hAnsiTheme="minorEastAsia" w:eastAsiaTheme="minorEastAsia" w:cstheme="minorEastAsia"/>
                <w:sz w:val="24"/>
                <w:szCs w:val="24"/>
                <w:lang w:val="zh-CN" w:eastAsia="zh-CN"/>
              </w:rPr>
              <w:t>、模型的右侧胸部解剖结构精准，模型内置贵要静脉、肘正中静脉、头静脉、腋静脉、锁骨下静脉、头臂静脉、上腔静脉、肱动脉、腋动脉、锁骨下动脉、右心房等精准血管解剖结构。</w:t>
            </w:r>
          </w:p>
          <w:p w14:paraId="4167659D">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1.3、模型血管内填充有模拟血液，可以模拟血管血液循环。</w:t>
            </w:r>
          </w:p>
          <w:p w14:paraId="2CA6472E">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1.4、模型外观材质采用全透明材质，可直接观察手臂血管解剖走形，穿刺操作过程可直接观察到穿刺针和穿刺导管的位置，并与超声图像进行对比。</w:t>
            </w:r>
          </w:p>
          <w:p w14:paraId="53636A6A">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2、模型材质具有人体组织类似的声学特性，可在超声设备或X光下成像。</w:t>
            </w:r>
          </w:p>
          <w:p w14:paraId="4C9F9E3D">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2.1、应用浅表线阵超声探头在模型胸壁和全手臂上进行血管探查。</w:t>
            </w:r>
          </w:p>
          <w:p w14:paraId="6D6EA099">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2.2、可以探查到尺动脉、桡动脉、肱动脉、锁骨下动脉、贵要静脉、肘正中静脉、头静脉、腋静脉、锁骨下静脉、头臂静脉、上腔静脉、右心房等血管解剖走行及毗邻关系。</w:t>
            </w:r>
          </w:p>
          <w:p w14:paraId="1B5681D4">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3、模型内置自动循环泵，模拟人体血流动力学特征。</w:t>
            </w:r>
          </w:p>
          <w:p w14:paraId="634FD746">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3.1、内置自动循环泵，与模型集成一体，电动循环泵（心脏端）驱动模拟血液流向动脉系统，动静脉在手掌远端交汇，血液回流到静脉系统后回流到电动循环泵（心脏端）中，仿真模拟人体血液循环，泵形成驱动颈总动脉、锁骨下动脉、腋动脉具有规律搏动，颈内静脉、锁骨下静脉、腋静脉无搏动。</w:t>
            </w:r>
          </w:p>
          <w:p w14:paraId="780B375D">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3.2、动脉脉搏频率可调节，调节范围约0-120次/分。</w:t>
            </w:r>
          </w:p>
          <w:p w14:paraId="4BA1AED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4、支持超声引导下经贵要静脉入路和经头静脉入路的PICC术的完整操作训练。</w:t>
            </w:r>
          </w:p>
          <w:p w14:paraId="36A48E9F">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4.1、应用超声设备在模型上探查，可以全程实时观察到PICC穿刺的过程，包括超声血管评估、穿刺导管长度评估、消毒、铺巾、穿刺、穿刺引导、导丝置入、导管置入、位置确认、固定的完整操作。</w:t>
            </w:r>
          </w:p>
          <w:p w14:paraId="49339969">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4.2、支持进行穿刺置管后直接观察穿刺导管及导管尖端位置，同时支持应用超声设备及X光机进行摄片观察穿刺导管及导管尖端的位置。</w:t>
            </w:r>
          </w:p>
          <w:p w14:paraId="322A6B1A">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4.3、进行完整的PICC置管术后，可进行导管固定操作及日常输液护理训练，培养学员的PICC术后护理及输液的标准流程及加强无菌观念训练。</w:t>
            </w:r>
          </w:p>
          <w:p w14:paraId="4E93F7A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5、支持进行植入式静脉输液港（PORT）植入术完整技能操作训练。</w:t>
            </w:r>
          </w:p>
          <w:p w14:paraId="7098FFF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5.1、支持将静脉输液港导管经锁骨下静脉置入，经头臂静脉后进入上腔静脉位于右心房上2cm处。</w:t>
            </w:r>
          </w:p>
          <w:p w14:paraId="3C0E6561">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5.2、支持将输液港港座与静脉导管另一端连接，将输液港港座置入预制位置，模拟完整植入式静脉输液港（PORT）过程训练，配置有皮肤模块。</w:t>
            </w:r>
          </w:p>
          <w:p w14:paraId="6D047153">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5.3、支持从输液港港座上进行穿刺及输液技能训练。</w:t>
            </w:r>
          </w:p>
          <w:p w14:paraId="04C42B5A">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6、血管内填充模拟血液，穿刺成功后可回抽模拟血液，模型具有血管液量观察窗，支持快速补充血液。</w:t>
            </w:r>
          </w:p>
          <w:p w14:paraId="5EE34498">
            <w:pPr>
              <w:keepNext w:val="0"/>
              <w:keepLines w:val="0"/>
              <w:pageBreakBefore w:val="0"/>
              <w:kinsoku/>
              <w:wordWrap/>
              <w:overflowPunct/>
              <w:topLinePunct w:val="0"/>
              <w:autoSpaceDE/>
              <w:autoSpaceDN/>
              <w:bidi w:val="0"/>
              <w:adjustRightInd/>
              <w:snapToGrid/>
              <w:spacing w:after="0" w:line="240" w:lineRule="auto"/>
              <w:ind w:hanging="2"/>
              <w:jc w:val="both"/>
              <w:textAlignment w:val="auto"/>
              <w:rPr>
                <w:rFonts w:hint="eastAsia"/>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lang w:val="zh-CN" w:eastAsia="zh-CN"/>
              </w:rPr>
              <w:t>7、模型材质具有良好的延展性、弹性和修复性，每平方厘米可以耐受18G-21G穿刺针的1200次以上反复穿刺训练。</w:t>
            </w:r>
          </w:p>
        </w:tc>
      </w:tr>
    </w:tbl>
    <w:p w14:paraId="4E4D393D">
      <w:pPr>
        <w:keepNext w:val="0"/>
        <w:keepLines w:val="0"/>
        <w:pageBreakBefore w:val="0"/>
        <w:widowControl w:val="0"/>
        <w:kinsoku/>
        <w:wordWrap/>
        <w:overflowPunct/>
        <w:topLinePunct w:val="0"/>
        <w:autoSpaceDE/>
        <w:autoSpaceDN/>
        <w:bidi w:val="0"/>
        <w:snapToGrid/>
        <w:spacing w:beforeAutospacing="0" w:afterAutospacing="0" w:line="360" w:lineRule="auto"/>
        <w:ind w:left="0" w:leftChars="0" w:firstLine="482" w:firstLineChars="200"/>
        <w:jc w:val="both"/>
        <w:textAlignment w:val="auto"/>
        <w:rPr>
          <w:rFonts w:hint="eastAsia" w:asciiTheme="minorEastAsia" w:hAnsiTheme="minorEastAsia" w:eastAsiaTheme="minorEastAsia" w:cstheme="minorEastAsia"/>
          <w:b/>
          <w:bCs/>
          <w:sz w:val="24"/>
          <w:szCs w:val="24"/>
          <w:lang w:val="en-US" w:eastAsia="zh-CN"/>
        </w:rPr>
      </w:pPr>
    </w:p>
    <w:p w14:paraId="450F07CF">
      <w:pPr>
        <w:pStyle w:val="20"/>
        <w:rPr>
          <w:rFonts w:hint="eastAsia"/>
          <w:lang w:val="en-US" w:eastAsia="zh-CN"/>
        </w:rPr>
      </w:pPr>
    </w:p>
    <w:p w14:paraId="410D0A3F">
      <w:pPr>
        <w:spacing w:line="360" w:lineRule="auto"/>
        <w:ind w:firstLine="482" w:firstLineChars="200"/>
        <w:rPr>
          <w:rFonts w:hint="eastAsia" w:asciiTheme="minorEastAsia" w:hAnsiTheme="minorEastAsia" w:eastAsiaTheme="minorEastAsia" w:cstheme="minorEastAsia"/>
          <w:b/>
          <w:bCs w:val="0"/>
          <w:color w:val="auto"/>
          <w:kern w:val="0"/>
          <w:sz w:val="24"/>
          <w:szCs w:val="24"/>
          <w:lang w:val="en-US" w:eastAsia="zh-CN" w:bidi="ar-SA"/>
        </w:rPr>
      </w:pPr>
      <w:r>
        <w:rPr>
          <w:rFonts w:hint="eastAsia" w:asciiTheme="minorEastAsia" w:hAnsiTheme="minorEastAsia" w:eastAsiaTheme="minorEastAsia" w:cstheme="minorEastAsia"/>
          <w:b/>
          <w:bCs w:val="0"/>
          <w:color w:val="auto"/>
          <w:kern w:val="0"/>
          <w:sz w:val="24"/>
          <w:szCs w:val="24"/>
          <w:lang w:val="en-US" w:eastAsia="zh-CN" w:bidi="ar-SA"/>
        </w:rPr>
        <w:t>商务参数：</w:t>
      </w:r>
    </w:p>
    <w:p w14:paraId="392DEE5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r>
        <w:rPr>
          <w:rFonts w:hint="eastAsia" w:ascii="仿宋" w:hAnsi="仿宋" w:eastAsia="仿宋" w:cs="仿宋"/>
          <w:sz w:val="24"/>
          <w:szCs w:val="24"/>
        </w:rPr>
        <w:t>★</w:t>
      </w:r>
      <w:r>
        <w:rPr>
          <w:rFonts w:hint="eastAsia" w:ascii="宋体" w:hAnsi="宋体" w:eastAsia="宋体" w:cs="宋体"/>
          <w:color w:val="auto"/>
          <w:sz w:val="24"/>
          <w:szCs w:val="24"/>
        </w:rPr>
        <w:t>1、运输、装卸、培训、安装调试：由中标人负责承担，最终通过使用科室、设备科及相关部门确认验收交付使用。国产设备交付，设备必须为6个月内生产的产品；进口设备交付，设备必须为一年内生产的产品。</w:t>
      </w:r>
    </w:p>
    <w:p w14:paraId="07C81AC0">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r>
        <w:rPr>
          <w:rFonts w:hint="eastAsia" w:ascii="仿宋" w:hAnsi="仿宋" w:eastAsia="仿宋" w:cs="仿宋"/>
          <w:sz w:val="24"/>
          <w:szCs w:val="24"/>
        </w:rPr>
        <w:t>★</w:t>
      </w:r>
      <w:r>
        <w:rPr>
          <w:rFonts w:hint="eastAsia" w:ascii="宋体" w:hAnsi="宋体" w:eastAsia="宋体" w:cs="宋体"/>
          <w:color w:val="auto"/>
          <w:sz w:val="24"/>
          <w:szCs w:val="24"/>
        </w:rPr>
        <w:t>2、交货时间：按合同约定的日期交货。</w:t>
      </w:r>
    </w:p>
    <w:p w14:paraId="2E0A216A">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r>
        <w:rPr>
          <w:rFonts w:hint="eastAsia" w:ascii="仿宋" w:hAnsi="仿宋" w:eastAsia="仿宋" w:cs="仿宋"/>
          <w:sz w:val="24"/>
          <w:szCs w:val="24"/>
        </w:rPr>
        <w:t>★</w:t>
      </w:r>
      <w:r>
        <w:rPr>
          <w:rFonts w:hint="eastAsia" w:ascii="宋体" w:hAnsi="宋体" w:eastAsia="宋体" w:cs="宋体"/>
          <w:color w:val="auto"/>
          <w:sz w:val="24"/>
          <w:szCs w:val="24"/>
        </w:rPr>
        <w:t>3、交货地点：娄底市中心医院指定地点。</w:t>
      </w:r>
    </w:p>
    <w:p w14:paraId="2A649F9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r>
        <w:rPr>
          <w:rFonts w:hint="eastAsia" w:ascii="仿宋" w:hAnsi="仿宋" w:eastAsia="仿宋" w:cs="仿宋"/>
          <w:sz w:val="24"/>
          <w:szCs w:val="24"/>
        </w:rPr>
        <w:t>★</w:t>
      </w:r>
      <w:r>
        <w:rPr>
          <w:rFonts w:hint="eastAsia" w:ascii="宋体" w:hAnsi="宋体" w:eastAsia="宋体" w:cs="宋体"/>
          <w:color w:val="auto"/>
          <w:sz w:val="24"/>
          <w:szCs w:val="24"/>
        </w:rPr>
        <w:t>4、付款方式：设备验收合格后，供应商将发票交到娄底市中心医院后按程序支付货款9</w:t>
      </w:r>
      <w:r>
        <w:rPr>
          <w:rFonts w:hint="eastAsia" w:ascii="宋体" w:hAnsi="宋体" w:cs="宋体"/>
          <w:color w:val="auto"/>
          <w:sz w:val="24"/>
          <w:szCs w:val="24"/>
          <w:lang w:val="en-US" w:eastAsia="zh-CN"/>
        </w:rPr>
        <w:t>0</w:t>
      </w:r>
      <w:r>
        <w:rPr>
          <w:rFonts w:hint="eastAsia" w:ascii="宋体" w:hAnsi="宋体" w:eastAsia="宋体" w:cs="宋体"/>
          <w:color w:val="auto"/>
          <w:sz w:val="24"/>
          <w:szCs w:val="24"/>
        </w:rPr>
        <w:t>%（按医院财务制度一般情况下4个月内支付、特殊情况下最多不超过6个月），甲方在设备验收合格满</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年后</w:t>
      </w:r>
      <w:r>
        <w:rPr>
          <w:rFonts w:hint="eastAsia" w:ascii="宋体" w:hAnsi="宋体" w:cs="宋体"/>
          <w:color w:val="auto"/>
          <w:sz w:val="24"/>
          <w:szCs w:val="24"/>
          <w:lang w:eastAsia="zh-CN"/>
        </w:rPr>
        <w:t>免息</w:t>
      </w:r>
      <w:r>
        <w:rPr>
          <w:rFonts w:hint="eastAsia" w:ascii="宋体" w:hAnsi="宋体" w:eastAsia="宋体" w:cs="宋体"/>
          <w:color w:val="auto"/>
          <w:sz w:val="24"/>
          <w:szCs w:val="24"/>
        </w:rPr>
        <w:t>支付</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%余款给乙方。</w:t>
      </w:r>
    </w:p>
    <w:p w14:paraId="7EBA2F9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r>
        <w:rPr>
          <w:rFonts w:hint="eastAsia" w:ascii="仿宋" w:hAnsi="仿宋" w:eastAsia="仿宋" w:cs="仿宋"/>
          <w:sz w:val="24"/>
          <w:szCs w:val="24"/>
        </w:rPr>
        <w:t>★</w:t>
      </w:r>
      <w:r>
        <w:rPr>
          <w:rFonts w:hint="eastAsia" w:ascii="宋体" w:hAnsi="宋体" w:eastAsia="宋体" w:cs="宋体"/>
          <w:color w:val="auto"/>
          <w:sz w:val="24"/>
          <w:szCs w:val="24"/>
        </w:rPr>
        <w:t xml:space="preserve">5、质保与售后：整机保修 </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年，终身维修。验收时出具原厂售后质保承诺书，质保期内每年巡检一次，并提交巡检记录。质保期内出现故障，1小时响应，响应后24小时上门服务。</w:t>
      </w:r>
    </w:p>
    <w:p w14:paraId="520B5FA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r>
        <w:rPr>
          <w:rFonts w:hint="eastAsia" w:ascii="仿宋" w:hAnsi="仿宋" w:eastAsia="仿宋" w:cs="仿宋"/>
          <w:sz w:val="24"/>
          <w:szCs w:val="24"/>
        </w:rPr>
        <w:t>★</w:t>
      </w:r>
      <w:r>
        <w:rPr>
          <w:rFonts w:hint="eastAsia" w:ascii="宋体" w:hAnsi="宋体" w:eastAsia="宋体" w:cs="宋体"/>
          <w:color w:val="auto"/>
          <w:sz w:val="24"/>
          <w:szCs w:val="24"/>
        </w:rPr>
        <w:t>6、在投标文件中必须提供相关佐证资料(加盖投标人公章的技术参数、技术白皮书、说明书、彩页)，并在响应表中备注该条参数响应或正偏离的佐证资料所在页码。</w:t>
      </w:r>
    </w:p>
    <w:p w14:paraId="112E101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color w:val="auto"/>
          <w:sz w:val="24"/>
          <w:szCs w:val="24"/>
        </w:rPr>
      </w:pPr>
    </w:p>
    <w:p w14:paraId="5FC00F7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560" w:firstLineChars="200"/>
        <w:textAlignment w:val="auto"/>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三、标书要求</w:t>
      </w:r>
    </w:p>
    <w:p w14:paraId="41211BD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1、封面：需注明标的名称、投标文件、单位、时间；</w:t>
      </w:r>
    </w:p>
    <w:p w14:paraId="182DC2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2、“三证合一”或“五证合一”营业执照，医疗器械经营许可证或医疗器械经营备案凭证（按法律规定提供证件）、生产厂家营业执照、生产许可证（如按法律规定需提供）、产品注册证（如按法律规定需提供）；</w:t>
      </w:r>
    </w:p>
    <w:p w14:paraId="7156F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3、投标人身份证复印件；</w:t>
      </w:r>
    </w:p>
    <w:p w14:paraId="37197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4、如投标人不是法定代表人，须持法定代表人亲笔签名的授权委托书,并提供法定代表人身份证明和法定代表人身份证复印件，同时要求法定代表人在身份证复印件上注明用途及签全名。</w:t>
      </w:r>
    </w:p>
    <w:p w14:paraId="172558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5、履行本项目所必需的资质证明；</w:t>
      </w:r>
    </w:p>
    <w:p w14:paraId="2227DD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6、针对此项目的技术、服务方案；</w:t>
      </w:r>
    </w:p>
    <w:p w14:paraId="199AB7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7、投标人认为需提供的其他和评审有关的资料；</w:t>
      </w:r>
    </w:p>
    <w:p w14:paraId="7C82A0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8、投标文件的每一页都必须加盖投标单位的公章；</w:t>
      </w:r>
    </w:p>
    <w:p w14:paraId="5200EC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9、投标文件参数响应表中必须标注响应项佐证材料所对应页面。</w:t>
      </w:r>
    </w:p>
    <w:p w14:paraId="54A479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color w:val="auto"/>
          <w:kern w:val="0"/>
          <w:sz w:val="24"/>
          <w:szCs w:val="24"/>
          <w:lang w:val="en-US" w:eastAsia="zh-CN" w:bidi="ar-SA"/>
        </w:rPr>
      </w:pPr>
      <w:r>
        <w:rPr>
          <w:rFonts w:hint="eastAsia" w:asciiTheme="minorEastAsia" w:hAnsiTheme="minorEastAsia" w:eastAsiaTheme="minorEastAsia" w:cstheme="minorEastAsia"/>
          <w:bCs/>
          <w:color w:val="auto"/>
          <w:kern w:val="0"/>
          <w:sz w:val="24"/>
          <w:szCs w:val="24"/>
          <w:lang w:val="en-US" w:eastAsia="zh-CN" w:bidi="ar-SA"/>
        </w:rPr>
        <w:t>10、所有资料均应编入投标文件，胶装并用纸质文件袋封好（一正一副），标书必须“A4规格纸张胶制（非打孔或夹装）装订成册，并编制总目录”,要求密封，否则视为符合性审查不合格，作无效投标处理，在开标现场验证时打开，采用现场开标的方式。</w:t>
      </w:r>
    </w:p>
    <w:p w14:paraId="381D388A">
      <w:pPr>
        <w:spacing w:line="360" w:lineRule="auto"/>
        <w:ind w:firstLine="560" w:firstLineChars="200"/>
        <w:rPr>
          <w:rFonts w:hint="eastAsia" w:asciiTheme="minorEastAsia" w:hAnsiTheme="minorEastAsia" w:eastAsiaTheme="minorEastAsia" w:cstheme="minorEastAsia"/>
          <w:bCs/>
          <w:color w:val="auto"/>
          <w:kern w:val="0"/>
          <w:sz w:val="28"/>
          <w:szCs w:val="28"/>
          <w:lang w:val="en-US" w:eastAsia="zh-CN" w:bidi="ar-SA"/>
        </w:rPr>
      </w:pPr>
      <w:r>
        <w:rPr>
          <w:rFonts w:hint="eastAsia" w:asciiTheme="minorEastAsia" w:hAnsiTheme="minorEastAsia" w:eastAsiaTheme="minorEastAsia" w:cstheme="minorEastAsia"/>
          <w:bCs/>
          <w:color w:val="auto"/>
          <w:kern w:val="0"/>
          <w:sz w:val="28"/>
          <w:szCs w:val="28"/>
          <w:lang w:val="en-US" w:eastAsia="zh-CN" w:bidi="ar-SA"/>
        </w:rPr>
        <w:t>四、合同</w:t>
      </w:r>
    </w:p>
    <w:p w14:paraId="00F75EB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 xml:space="preserve">                                                合同编号：</w:t>
      </w:r>
    </w:p>
    <w:p w14:paraId="5F5BAF8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黑体" w:hAnsi="黑体" w:eastAsia="黑体" w:cs="黑体"/>
          <w:color w:val="000000" w:themeColor="text1"/>
          <w:sz w:val="44"/>
          <w:szCs w:val="44"/>
          <w:highlight w:val="none"/>
          <w:lang w:val="en-US" w:eastAsia="zh-CN"/>
          <w14:textFill>
            <w14:solidFill>
              <w14:schemeClr w14:val="tx1"/>
            </w14:solidFill>
          </w14:textFill>
        </w:rPr>
        <w:t>医疗设备采购合同</w:t>
      </w:r>
    </w:p>
    <w:p w14:paraId="5CD67D0F">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p>
    <w:p w14:paraId="29F508D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甲方（采购方）：</w:t>
      </w:r>
      <w:r>
        <w:rPr>
          <w:rFonts w:hint="eastAsia" w:ascii="宋体" w:hAnsi="宋体" w:eastAsia="宋体" w:cs="宋体"/>
          <w:color w:val="000000" w:themeColor="text1"/>
          <w:sz w:val="24"/>
          <w:szCs w:val="24"/>
          <w:highlight w:val="none"/>
          <w:lang w:val="en-US" w:eastAsia="zh-CN"/>
          <w14:textFill>
            <w14:solidFill>
              <w14:schemeClr w14:val="tx1"/>
            </w14:solidFill>
          </w14:textFill>
        </w:rPr>
        <w:t>娄底市中心医院</w:t>
      </w:r>
    </w:p>
    <w:p w14:paraId="55778909">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法定代表人：</w:t>
      </w:r>
      <w:r>
        <w:rPr>
          <w:rFonts w:hint="eastAsia" w:ascii="宋体" w:hAnsi="宋体" w:eastAsia="宋体" w:cs="宋体"/>
          <w:color w:val="0000FF"/>
          <w:sz w:val="24"/>
          <w:szCs w:val="24"/>
          <w:highlight w:val="none"/>
          <w:lang w:val="en-US" w:eastAsia="zh-CN"/>
        </w:rPr>
        <w:t>杨吉军</w:t>
      </w:r>
    </w:p>
    <w:p w14:paraId="5083B530">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统一社会信用代码：12431300447162073W</w:t>
      </w:r>
    </w:p>
    <w:p w14:paraId="05B41D4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地址：湖南省娄底市娄星区长青中街51号</w:t>
      </w:r>
    </w:p>
    <w:p w14:paraId="362E0B97">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联系人：朱振宇</w:t>
      </w:r>
    </w:p>
    <w:p w14:paraId="0FC5BB9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联系电话：15673845559</w:t>
      </w:r>
    </w:p>
    <w:p w14:paraId="39A301C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乙方（供货方）：</w:t>
      </w:r>
    </w:p>
    <w:p w14:paraId="4FC697A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法定代表人：</w:t>
      </w:r>
    </w:p>
    <w:p w14:paraId="6B8B7EE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统一社会信用代码：</w:t>
      </w:r>
    </w:p>
    <w:p w14:paraId="53D8418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地址：</w:t>
      </w:r>
    </w:p>
    <w:p w14:paraId="07EEB1DF">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w:t>
      </w:r>
    </w:p>
    <w:p w14:paraId="01482161">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联系电话：</w:t>
      </w:r>
    </w:p>
    <w:p w14:paraId="53236966">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甲方通过</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医院公开挂网</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方式</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气道管理模型等一批</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，乙方为中标/中选供应商。根据《中华人民共和国民法典》《中华人民共和国政府采购法》等相关法律规定，甲乙双方在采购项目确定的基础上，就采购</w:t>
      </w:r>
      <w:r>
        <w:rPr>
          <w:rFonts w:hint="eastAsia" w:ascii="宋体" w:hAnsi="宋体" w:cs="宋体"/>
          <w:color w:val="000000" w:themeColor="text1"/>
          <w:sz w:val="24"/>
          <w:szCs w:val="24"/>
          <w:highlight w:val="none"/>
          <w:u w:val="single"/>
          <w:lang w:val="en-US" w:eastAsia="zh-CN"/>
          <w14:textFill>
            <w14:solidFill>
              <w14:schemeClr w14:val="tx1"/>
            </w14:solidFill>
          </w14:textFill>
        </w:rPr>
        <w:t>气道管理模型等一批</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相关</w:t>
      </w:r>
      <w:r>
        <w:rPr>
          <w:rFonts w:hint="eastAsia" w:ascii="宋体" w:hAnsi="宋体" w:eastAsia="宋体" w:cs="宋体"/>
          <w:color w:val="000000" w:themeColor="text1"/>
          <w:sz w:val="24"/>
          <w:szCs w:val="24"/>
          <w:highlight w:val="none"/>
          <w:lang w:val="en-US" w:eastAsia="zh-CN"/>
          <w14:textFill>
            <w14:solidFill>
              <w14:schemeClr w14:val="tx1"/>
            </w14:solidFill>
          </w14:textFill>
        </w:rPr>
        <w:t>事宜平等、自愿、公平、诚信协商，达成一致，特订立本合同，以资共同遵守。</w:t>
      </w:r>
    </w:p>
    <w:p w14:paraId="06F0EC1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 xml:space="preserve">第一条  </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采购内容</w:t>
      </w:r>
    </w:p>
    <w:p w14:paraId="0981DEDD">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 设备名称、品牌、型号、价格</w:t>
      </w:r>
    </w:p>
    <w:tbl>
      <w:tblPr>
        <w:tblStyle w:val="10"/>
        <w:tblpPr w:leftFromText="180" w:rightFromText="180" w:vertAnchor="text" w:horzAnchor="page" w:tblpX="1965" w:tblpY="148"/>
        <w:tblOverlap w:val="never"/>
        <w:tblW w:w="87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3"/>
        <w:gridCol w:w="852"/>
        <w:gridCol w:w="924"/>
        <w:gridCol w:w="1272"/>
        <w:gridCol w:w="792"/>
        <w:gridCol w:w="1248"/>
      </w:tblGrid>
      <w:tr w14:paraId="3A68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653" w:type="dxa"/>
            <w:vAlign w:val="top"/>
          </w:tcPr>
          <w:p w14:paraId="4A42990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设备</w:t>
            </w:r>
            <w:r>
              <w:rPr>
                <w:rFonts w:hint="eastAsia" w:ascii="宋体" w:hAnsi="宋体" w:eastAsia="宋体" w:cs="宋体"/>
                <w:color w:val="000000" w:themeColor="text1"/>
                <w:kern w:val="0"/>
                <w:sz w:val="24"/>
                <w:szCs w:val="24"/>
                <w:highlight w:val="none"/>
                <w14:textFill>
                  <w14:solidFill>
                    <w14:schemeClr w14:val="tx1"/>
                  </w14:solidFill>
                </w14:textFill>
              </w:rPr>
              <w:t>名称</w:t>
            </w:r>
          </w:p>
        </w:tc>
        <w:tc>
          <w:tcPr>
            <w:tcW w:w="852" w:type="dxa"/>
            <w:vAlign w:val="top"/>
          </w:tcPr>
          <w:p w14:paraId="53D8772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品牌</w:t>
            </w:r>
          </w:p>
        </w:tc>
        <w:tc>
          <w:tcPr>
            <w:tcW w:w="924" w:type="dxa"/>
            <w:vAlign w:val="top"/>
          </w:tcPr>
          <w:p w14:paraId="5B83423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型号</w:t>
            </w:r>
          </w:p>
        </w:tc>
        <w:tc>
          <w:tcPr>
            <w:tcW w:w="1272" w:type="dxa"/>
            <w:vAlign w:val="top"/>
          </w:tcPr>
          <w:p w14:paraId="65BFEE4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单价（元）</w:t>
            </w:r>
          </w:p>
        </w:tc>
        <w:tc>
          <w:tcPr>
            <w:tcW w:w="792" w:type="dxa"/>
            <w:vAlign w:val="top"/>
          </w:tcPr>
          <w:p w14:paraId="71974C7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数量</w:t>
            </w:r>
          </w:p>
        </w:tc>
        <w:tc>
          <w:tcPr>
            <w:tcW w:w="1248" w:type="dxa"/>
            <w:vAlign w:val="top"/>
          </w:tcPr>
          <w:p w14:paraId="1970F13A">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金额（元）</w:t>
            </w:r>
          </w:p>
        </w:tc>
      </w:tr>
      <w:tr w14:paraId="5DCF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3653" w:type="dxa"/>
            <w:vAlign w:val="center"/>
          </w:tcPr>
          <w:p w14:paraId="009223EC">
            <w:pPr>
              <w:keepNext w:val="0"/>
              <w:keepLines w:val="0"/>
              <w:widowControl/>
              <w:suppressLineNumbers w:val="0"/>
              <w:jc w:val="center"/>
              <w:textAlignment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气道管理模型</w:t>
            </w:r>
          </w:p>
        </w:tc>
        <w:tc>
          <w:tcPr>
            <w:tcW w:w="852" w:type="dxa"/>
            <w:vAlign w:val="center"/>
          </w:tcPr>
          <w:p w14:paraId="289B31A3">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p>
        </w:tc>
        <w:tc>
          <w:tcPr>
            <w:tcW w:w="924" w:type="dxa"/>
            <w:vAlign w:val="top"/>
          </w:tcPr>
          <w:p w14:paraId="3027AE4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272" w:type="dxa"/>
            <w:vAlign w:val="top"/>
          </w:tcPr>
          <w:p w14:paraId="5EEB8B3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p>
        </w:tc>
        <w:tc>
          <w:tcPr>
            <w:tcW w:w="792" w:type="dxa"/>
            <w:vAlign w:val="top"/>
          </w:tcPr>
          <w:p w14:paraId="275EF4C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p>
        </w:tc>
        <w:tc>
          <w:tcPr>
            <w:tcW w:w="1248" w:type="dxa"/>
            <w:vAlign w:val="top"/>
          </w:tcPr>
          <w:p w14:paraId="72220FBD">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r>
      <w:tr w14:paraId="4028E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653" w:type="dxa"/>
            <w:vAlign w:val="center"/>
          </w:tcPr>
          <w:p w14:paraId="652C43A8">
            <w:pPr>
              <w:keepNext w:val="0"/>
              <w:keepLines w:val="0"/>
              <w:widowControl/>
              <w:suppressLineNumbers w:val="0"/>
              <w:jc w:val="center"/>
              <w:textAlignment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i w:val="0"/>
                <w:iCs w:val="0"/>
                <w:color w:val="000000"/>
                <w:kern w:val="0"/>
                <w:sz w:val="24"/>
                <w:szCs w:val="24"/>
                <w:u w:val="none"/>
                <w:lang w:val="en-US" w:eastAsia="zh-CN" w:bidi="ar"/>
              </w:rPr>
              <w:t>超声支气管介入培训模型</w:t>
            </w:r>
          </w:p>
        </w:tc>
        <w:tc>
          <w:tcPr>
            <w:tcW w:w="852" w:type="dxa"/>
            <w:vAlign w:val="center"/>
          </w:tcPr>
          <w:p w14:paraId="5C09AE88">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924" w:type="dxa"/>
            <w:vAlign w:val="top"/>
          </w:tcPr>
          <w:p w14:paraId="36A92BD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272" w:type="dxa"/>
            <w:vAlign w:val="top"/>
          </w:tcPr>
          <w:p w14:paraId="7B73575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792" w:type="dxa"/>
            <w:vAlign w:val="top"/>
          </w:tcPr>
          <w:p w14:paraId="3F4C767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p>
        </w:tc>
        <w:tc>
          <w:tcPr>
            <w:tcW w:w="1248" w:type="dxa"/>
            <w:vAlign w:val="top"/>
          </w:tcPr>
          <w:p w14:paraId="3ED9F56C">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r>
      <w:tr w14:paraId="6918C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3653" w:type="dxa"/>
            <w:vAlign w:val="center"/>
          </w:tcPr>
          <w:p w14:paraId="3B740127">
            <w:pPr>
              <w:jc w:val="center"/>
              <w:rPr>
                <w:rFonts w:hint="default" w:eastAsiaTheme="minorEastAsia"/>
                <w:lang w:val="en-US" w:eastAsia="zh-CN"/>
              </w:rPr>
            </w:pPr>
            <w:r>
              <w:rPr>
                <w:rFonts w:hint="default" w:eastAsiaTheme="minorEastAsia"/>
                <w:lang w:val="en-US" w:eastAsia="zh-CN"/>
              </w:rPr>
              <w:t>可视化静脉穿刺置管综合模型</w:t>
            </w:r>
          </w:p>
          <w:p w14:paraId="37C5E35E">
            <w:pPr>
              <w:jc w:val="center"/>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default" w:eastAsiaTheme="minorEastAsia"/>
                <w:lang w:val="en-US" w:eastAsia="zh-CN"/>
              </w:rPr>
              <w:t>（自动循环，透明）</w:t>
            </w:r>
          </w:p>
        </w:tc>
        <w:tc>
          <w:tcPr>
            <w:tcW w:w="852" w:type="dxa"/>
            <w:vAlign w:val="center"/>
          </w:tcPr>
          <w:p w14:paraId="46FDF77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924" w:type="dxa"/>
            <w:vAlign w:val="top"/>
          </w:tcPr>
          <w:p w14:paraId="4D38A25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1272" w:type="dxa"/>
            <w:vAlign w:val="top"/>
          </w:tcPr>
          <w:p w14:paraId="27742924">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p>
        </w:tc>
        <w:tc>
          <w:tcPr>
            <w:tcW w:w="792" w:type="dxa"/>
            <w:vAlign w:val="top"/>
          </w:tcPr>
          <w:p w14:paraId="7015E877">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p>
        </w:tc>
        <w:tc>
          <w:tcPr>
            <w:tcW w:w="1248" w:type="dxa"/>
            <w:vAlign w:val="top"/>
          </w:tcPr>
          <w:p w14:paraId="0CD472A9">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p>
        </w:tc>
      </w:tr>
      <w:tr w14:paraId="0EAC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741" w:type="dxa"/>
            <w:gridSpan w:val="6"/>
            <w:vAlign w:val="top"/>
          </w:tcPr>
          <w:p w14:paraId="2BB61EB9">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合计</w:t>
            </w:r>
            <w:r>
              <w:rPr>
                <w:rFonts w:hint="eastAsia" w:ascii="宋体" w:hAnsi="宋体" w:eastAsia="宋体" w:cs="宋体"/>
                <w:color w:val="000000" w:themeColor="text1"/>
                <w:kern w:val="0"/>
                <w:sz w:val="24"/>
                <w:szCs w:val="24"/>
                <w:highlight w:val="none"/>
                <w:lang w:eastAsia="zh-CN"/>
                <w14:textFill>
                  <w14:solidFill>
                    <w14:schemeClr w14:val="tx1"/>
                  </w14:solidFill>
                </w14:textFill>
              </w:rPr>
              <w:t>价款</w:t>
            </w:r>
            <w:r>
              <w:rPr>
                <w:rFonts w:hint="eastAsia" w:ascii="宋体" w:hAnsi="宋体" w:eastAsia="宋体" w:cs="宋体"/>
                <w:color w:val="000000" w:themeColor="text1"/>
                <w:kern w:val="0"/>
                <w:sz w:val="24"/>
                <w:szCs w:val="24"/>
                <w:highlight w:val="none"/>
                <w14:textFill>
                  <w14:solidFill>
                    <w14:schemeClr w14:val="tx1"/>
                  </w14:solidFill>
                </w14:textFill>
              </w:rPr>
              <w:t>金额人民币（大写）：</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元</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整      </w:t>
            </w:r>
            <w:r>
              <w:rPr>
                <w:rFonts w:hint="eastAsia" w:ascii="宋体" w:hAnsi="宋体" w:eastAsia="宋体" w:cs="宋体"/>
                <w:color w:val="000000" w:themeColor="text1"/>
                <w:kern w:val="0"/>
                <w:sz w:val="24"/>
                <w:szCs w:val="24"/>
                <w:highlight w:val="none"/>
                <w14:textFill>
                  <w14:solidFill>
                    <w14:schemeClr w14:val="tx1"/>
                  </w14:solidFill>
                </w14:textFill>
              </w:rPr>
              <w:t>（小写）：</w:t>
            </w:r>
            <w:r>
              <w:rPr>
                <w:rFonts w:hint="eastAsia" w:ascii="宋体" w:hAnsi="宋体" w:eastAsia="宋体" w:cs="宋体"/>
                <w:color w:val="000000" w:themeColor="text1"/>
                <w:kern w:val="0"/>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元</w:t>
            </w:r>
          </w:p>
        </w:tc>
      </w:tr>
    </w:tbl>
    <w:p w14:paraId="1D02AE86">
      <w:pPr>
        <w:pStyle w:val="9"/>
        <w:rPr>
          <w:rFonts w:hint="default"/>
          <w:lang w:val="en-US" w:eastAsia="zh-CN"/>
        </w:rPr>
      </w:pPr>
    </w:p>
    <w:p w14:paraId="08A4D62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548F1BB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279206E">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145C247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27D55F6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3F644F12">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p>
    <w:p w14:paraId="011B13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1.2 本合同约定价格为固定总价，不因物价、市场波动变更，约定价格包括且不限于设计费、材料费、人工费、安装费、包装费、运输费、装卸费、调试费、接口费、检测费、检验费、税费、保险费、售后服务费、附随服务费等在内所有费用。 </w:t>
      </w:r>
    </w:p>
    <w:p w14:paraId="59AE944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1.3 </w:t>
      </w:r>
      <w:r>
        <w:rPr>
          <w:rFonts w:hint="eastAsia" w:ascii="宋体" w:hAnsi="宋体" w:cs="宋体"/>
          <w:color w:val="000000" w:themeColor="text1"/>
          <w:sz w:val="24"/>
          <w:szCs w:val="24"/>
          <w:highlight w:val="none"/>
          <w14:textFill>
            <w14:solidFill>
              <w14:schemeClr w14:val="tx1"/>
            </w14:solidFill>
          </w14:textFill>
        </w:rPr>
        <w:t>本合同设备</w:t>
      </w:r>
      <w:r>
        <w:rPr>
          <w:rFonts w:hint="eastAsia" w:ascii="宋体" w:hAnsi="宋体" w:cs="宋体"/>
          <w:color w:val="000000" w:themeColor="text1"/>
          <w:sz w:val="24"/>
          <w:szCs w:val="24"/>
          <w:highlight w:val="none"/>
          <w:lang w:eastAsia="zh-CN"/>
          <w14:textFill>
            <w14:solidFill>
              <w14:schemeClr w14:val="tx1"/>
            </w14:solidFill>
          </w14:textFill>
        </w:rPr>
        <w:t>无需</w:t>
      </w:r>
      <w:r>
        <w:rPr>
          <w:rFonts w:hint="eastAsia" w:ascii="宋体" w:hAnsi="宋体" w:cs="宋体"/>
          <w:color w:val="000000" w:themeColor="text1"/>
          <w:sz w:val="24"/>
          <w:szCs w:val="24"/>
          <w:highlight w:val="none"/>
          <w14:textFill>
            <w14:solidFill>
              <w14:schemeClr w14:val="tx1"/>
            </w14:solidFill>
          </w14:textFill>
        </w:rPr>
        <w:t>与甲方</w:t>
      </w:r>
      <w:r>
        <w:rPr>
          <w:rFonts w:hint="eastAsia" w:ascii="宋体" w:hAnsi="宋体" w:cs="宋体"/>
          <w:color w:val="000000" w:themeColor="text1"/>
          <w:sz w:val="24"/>
          <w:szCs w:val="24"/>
          <w:highlight w:val="none"/>
          <w:lang w:eastAsia="zh-CN"/>
          <w14:textFill>
            <w14:solidFill>
              <w14:schemeClr w14:val="tx1"/>
            </w14:solidFill>
          </w14:textFill>
        </w:rPr>
        <w:t>使用的</w:t>
      </w:r>
      <w:r>
        <w:rPr>
          <w:rFonts w:hint="eastAsia" w:ascii="宋体" w:hAnsi="宋体" w:cs="宋体"/>
          <w:color w:val="000000" w:themeColor="text1"/>
          <w:sz w:val="24"/>
          <w:szCs w:val="24"/>
          <w:highlight w:val="none"/>
          <w14:textFill>
            <w14:solidFill>
              <w14:schemeClr w14:val="tx1"/>
            </w14:solidFill>
          </w14:textFill>
        </w:rPr>
        <w:t>信息系统</w:t>
      </w:r>
      <w:r>
        <w:rPr>
          <w:rFonts w:hint="eastAsia" w:ascii="宋体" w:hAnsi="宋体" w:cs="宋体"/>
          <w:color w:val="000000" w:themeColor="text1"/>
          <w:sz w:val="24"/>
          <w:szCs w:val="24"/>
          <w:highlight w:val="none"/>
          <w:lang w:eastAsia="zh-CN"/>
          <w14:textFill>
            <w14:solidFill>
              <w14:schemeClr w14:val="tx1"/>
            </w14:solidFill>
          </w14:textFill>
        </w:rPr>
        <w:t>对接。</w:t>
      </w:r>
    </w:p>
    <w:p w14:paraId="1CC3299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firstLine="482" w:firstLineChars="200"/>
        <w:jc w:val="both"/>
        <w:textAlignment w:val="auto"/>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 xml:space="preserve">第二条  </w:t>
      </w:r>
      <w:r>
        <w:rPr>
          <w:rFonts w:hint="default" w:ascii="宋体" w:hAnsi="宋体" w:eastAsia="宋体" w:cs="宋体"/>
          <w:b/>
          <w:bCs/>
          <w:color w:val="000000" w:themeColor="text1"/>
          <w:sz w:val="24"/>
          <w:szCs w:val="24"/>
          <w:highlight w:val="none"/>
          <w:lang w:val="en-US" w:eastAsia="zh-CN"/>
          <w14:textFill>
            <w14:solidFill>
              <w14:schemeClr w14:val="tx1"/>
            </w14:solidFill>
          </w14:textFill>
        </w:rPr>
        <w:t>交货时间、地点、运输</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default" w:ascii="宋体" w:hAnsi="宋体" w:eastAsia="宋体" w:cs="宋体"/>
          <w:b/>
          <w:bCs/>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、搬运</w:t>
      </w:r>
    </w:p>
    <w:p w14:paraId="063814F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2.1 </w:t>
      </w:r>
      <w:r>
        <w:rPr>
          <w:rFonts w:hint="default" w:ascii="宋体" w:hAnsi="宋体" w:eastAsia="宋体" w:cs="宋体"/>
          <w:color w:val="000000" w:themeColor="text1"/>
          <w:sz w:val="24"/>
          <w:szCs w:val="24"/>
          <w:highlight w:val="none"/>
          <w:lang w:val="en-US" w:eastAsia="zh-CN"/>
          <w14:textFill>
            <w14:solidFill>
              <w14:schemeClr w14:val="tx1"/>
            </w14:solidFill>
          </w14:textFill>
        </w:rPr>
        <w:t>交货时间：乙方应在</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自接到甲方通知之日起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60</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日内</w:t>
      </w:r>
      <w:r>
        <w:rPr>
          <w:rFonts w:hint="default" w:ascii="宋体" w:hAnsi="宋体" w:eastAsia="宋体" w:cs="宋体"/>
          <w:color w:val="000000" w:themeColor="text1"/>
          <w:sz w:val="24"/>
          <w:szCs w:val="24"/>
          <w:highlight w:val="none"/>
          <w:lang w:val="en-US" w:eastAsia="zh-CN"/>
          <w14:textFill>
            <w14:solidFill>
              <w14:schemeClr w14:val="tx1"/>
            </w14:solidFill>
          </w14:textFill>
        </w:rPr>
        <w:t>将设备运至</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甲方指定交货</w:t>
      </w:r>
      <w:r>
        <w:rPr>
          <w:rFonts w:hint="default" w:ascii="宋体" w:hAnsi="宋体" w:eastAsia="宋体" w:cs="宋体"/>
          <w:color w:val="000000" w:themeColor="text1"/>
          <w:sz w:val="24"/>
          <w:szCs w:val="24"/>
          <w:highlight w:val="none"/>
          <w:lang w:val="en-US" w:eastAsia="zh-CN"/>
          <w14:textFill>
            <w14:solidFill>
              <w14:schemeClr w14:val="tx1"/>
            </w14:solidFill>
          </w14:textFill>
        </w:rPr>
        <w:t>地点，并</w:t>
      </w:r>
      <w:r>
        <w:rPr>
          <w:rFonts w:hint="eastAsia" w:ascii="宋体" w:hAnsi="宋体" w:eastAsia="宋体" w:cs="宋体"/>
          <w:color w:val="000000" w:themeColor="text1"/>
          <w:sz w:val="24"/>
          <w:szCs w:val="24"/>
          <w:highlight w:val="none"/>
          <w:lang w:val="en-US" w:eastAsia="zh-CN"/>
          <w14:textFill>
            <w14:solidFill>
              <w14:schemeClr w14:val="tx1"/>
            </w14:solidFill>
          </w14:textFill>
        </w:rPr>
        <w:t>在</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到货后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日内</w:t>
      </w:r>
      <w:r>
        <w:rPr>
          <w:rFonts w:hint="default" w:ascii="宋体" w:hAnsi="宋体" w:eastAsia="宋体" w:cs="宋体"/>
          <w:color w:val="000000" w:themeColor="text1"/>
          <w:sz w:val="24"/>
          <w:szCs w:val="24"/>
          <w:highlight w:val="none"/>
          <w:lang w:val="en-US" w:eastAsia="zh-CN"/>
          <w14:textFill>
            <w14:solidFill>
              <w14:schemeClr w14:val="tx1"/>
            </w14:solidFill>
          </w14:textFill>
        </w:rPr>
        <w:t>完成安装、调试，办理验收手续并交付甲方使用。</w:t>
      </w:r>
    </w:p>
    <w:p w14:paraId="6F612A4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.2 甲方指定</w:t>
      </w:r>
      <w:r>
        <w:rPr>
          <w:rFonts w:hint="default" w:ascii="宋体" w:hAnsi="宋体" w:eastAsia="宋体" w:cs="宋体"/>
          <w:color w:val="000000" w:themeColor="text1"/>
          <w:sz w:val="24"/>
          <w:szCs w:val="24"/>
          <w:highlight w:val="none"/>
          <w:lang w:val="en-US" w:eastAsia="zh-CN"/>
          <w14:textFill>
            <w14:solidFill>
              <w14:schemeClr w14:val="tx1"/>
            </w14:solidFill>
          </w14:textFill>
        </w:rPr>
        <w:t>交货地点：湖南省娄底市</w:t>
      </w:r>
      <w:r>
        <w:rPr>
          <w:rFonts w:hint="eastAsia" w:ascii="宋体" w:hAnsi="宋体" w:eastAsia="宋体" w:cs="宋体"/>
          <w:color w:val="000000" w:themeColor="text1"/>
          <w:sz w:val="24"/>
          <w:szCs w:val="24"/>
          <w:highlight w:val="none"/>
          <w:lang w:val="en-US" w:eastAsia="zh-CN"/>
          <w14:textFill>
            <w14:solidFill>
              <w14:schemeClr w14:val="tx1"/>
            </w14:solidFill>
          </w14:textFill>
        </w:rPr>
        <w:t>娄星区</w:t>
      </w:r>
      <w:r>
        <w:rPr>
          <w:rFonts w:hint="default" w:ascii="宋体" w:hAnsi="宋体" w:eastAsia="宋体" w:cs="宋体"/>
          <w:color w:val="000000" w:themeColor="text1"/>
          <w:sz w:val="24"/>
          <w:szCs w:val="24"/>
          <w:highlight w:val="none"/>
          <w:lang w:val="en-US" w:eastAsia="zh-CN"/>
          <w14:textFill>
            <w14:solidFill>
              <w14:schemeClr w14:val="tx1"/>
            </w14:solidFill>
          </w14:textFill>
        </w:rPr>
        <w:t>长青中街51号</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lang w:val="en-US" w:eastAsia="zh-CN"/>
          <w14:textFill>
            <w14:solidFill>
              <w14:schemeClr w14:val="tx1"/>
            </w14:solidFill>
          </w14:textFill>
        </w:rPr>
        <w:t>娄底市中心医院</w:t>
      </w:r>
      <w:r>
        <w:rPr>
          <w:rFonts w:hint="eastAsia" w:ascii="宋体" w:hAnsi="宋体" w:eastAsia="宋体" w:cs="宋体"/>
          <w:color w:val="000000" w:themeColor="text1"/>
          <w:sz w:val="24"/>
          <w:szCs w:val="24"/>
          <w:highlight w:val="none"/>
          <w:lang w:val="en-US" w:eastAsia="zh-CN"/>
          <w14:textFill>
            <w14:solidFill>
              <w14:schemeClr w14:val="tx1"/>
            </w14:solidFill>
          </w14:textFill>
        </w:rPr>
        <w:t>设备科</w:t>
      </w:r>
      <w:r>
        <w:rPr>
          <w:rFonts w:hint="default" w:ascii="宋体" w:hAnsi="宋体" w:eastAsia="宋体" w:cs="宋体"/>
          <w:color w:val="000000" w:themeColor="text1"/>
          <w:sz w:val="24"/>
          <w:szCs w:val="24"/>
          <w:highlight w:val="none"/>
          <w:lang w:val="en-US" w:eastAsia="zh-CN"/>
          <w14:textFill>
            <w14:solidFill>
              <w14:schemeClr w14:val="tx1"/>
            </w14:solidFill>
          </w14:textFill>
        </w:rPr>
        <w:t xml:space="preserve">。 </w:t>
      </w:r>
    </w:p>
    <w:p w14:paraId="3546F41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default"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default" w:ascii="宋体" w:hAnsi="宋体" w:eastAsia="宋体" w:cs="宋体"/>
          <w:color w:val="000000" w:themeColor="text1"/>
          <w:sz w:val="24"/>
          <w:szCs w:val="24"/>
          <w:highlight w:val="none"/>
          <w:lang w:val="en-US" w:eastAsia="zh-CN"/>
          <w14:textFill>
            <w14:solidFill>
              <w14:schemeClr w14:val="tx1"/>
            </w14:solidFill>
          </w14:textFill>
        </w:rPr>
        <w:t>运输</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default" w:ascii="宋体" w:hAnsi="宋体" w:eastAsia="宋体" w:cs="宋体"/>
          <w:color w:val="000000" w:themeColor="text1"/>
          <w:sz w:val="24"/>
          <w:szCs w:val="24"/>
          <w:highlight w:val="none"/>
          <w:lang w:val="en-US" w:eastAsia="zh-CN"/>
          <w14:textFill>
            <w14:solidFill>
              <w14:schemeClr w14:val="tx1"/>
            </w14:solidFill>
          </w14:textFill>
        </w:rPr>
        <w:t>装卸</w:t>
      </w:r>
      <w:r>
        <w:rPr>
          <w:rFonts w:hint="eastAsia" w:ascii="宋体" w:hAnsi="宋体" w:eastAsia="宋体" w:cs="宋体"/>
          <w:color w:val="000000" w:themeColor="text1"/>
          <w:sz w:val="24"/>
          <w:szCs w:val="24"/>
          <w:highlight w:val="none"/>
          <w:lang w:val="en-US" w:eastAsia="zh-CN"/>
          <w14:textFill>
            <w14:solidFill>
              <w14:schemeClr w14:val="tx1"/>
            </w14:solidFill>
          </w14:textFill>
        </w:rPr>
        <w:t>、搬运</w:t>
      </w:r>
      <w:r>
        <w:rPr>
          <w:rFonts w:hint="default" w:ascii="宋体" w:hAnsi="宋体" w:eastAsia="宋体" w:cs="宋体"/>
          <w:color w:val="000000" w:themeColor="text1"/>
          <w:sz w:val="24"/>
          <w:szCs w:val="24"/>
          <w:highlight w:val="none"/>
          <w:lang w:val="en-US" w:eastAsia="zh-CN"/>
          <w14:textFill>
            <w14:solidFill>
              <w14:schemeClr w14:val="tx1"/>
            </w14:solidFill>
          </w14:textFill>
        </w:rPr>
        <w:t>：由乙方自备交通运输工具将设备运至合同约定地点，并负责设备装卸</w:t>
      </w:r>
      <w:r>
        <w:rPr>
          <w:rFonts w:hint="eastAsia" w:ascii="宋体" w:hAnsi="宋体" w:eastAsia="宋体" w:cs="宋体"/>
          <w:color w:val="000000" w:themeColor="text1"/>
          <w:sz w:val="24"/>
          <w:szCs w:val="24"/>
          <w:highlight w:val="none"/>
          <w:lang w:val="en-US" w:eastAsia="zh-CN"/>
          <w14:textFill>
            <w14:solidFill>
              <w14:schemeClr w14:val="tx1"/>
            </w14:solidFill>
          </w14:textFill>
        </w:rPr>
        <w:t>、搬运的人工及费用</w:t>
      </w:r>
      <w:r>
        <w:rPr>
          <w:rFonts w:hint="default" w:ascii="宋体" w:hAnsi="宋体" w:eastAsia="宋体" w:cs="宋体"/>
          <w:color w:val="000000" w:themeColor="text1"/>
          <w:sz w:val="24"/>
          <w:szCs w:val="24"/>
          <w:highlight w:val="none"/>
          <w:lang w:val="en-US" w:eastAsia="zh-CN"/>
          <w14:textFill>
            <w14:solidFill>
              <w14:schemeClr w14:val="tx1"/>
            </w14:solidFill>
          </w14:textFill>
        </w:rPr>
        <w:t>。</w:t>
      </w:r>
    </w:p>
    <w:p w14:paraId="60F5434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第三条 质量标准、质量验收、包装要求</w:t>
      </w:r>
    </w:p>
    <w:p w14:paraId="0DBC8AD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FF0000"/>
          <w:sz w:val="24"/>
          <w:szCs w:val="24"/>
          <w:highlight w:val="none"/>
          <w:lang w:val="en-US" w:eastAsia="zh-CN"/>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3.1 质量标准：乙方提供设备的质量、安装应符合或优于国家标准；如投标文件/响应文件中的技术参数和质量标准高于国家标准，则设备的技术参数和质量标准以投标文件/响应文件为准；</w:t>
      </w:r>
      <w:r>
        <w:rPr>
          <w:rFonts w:hint="eastAsia" w:ascii="宋体" w:hAnsi="宋体" w:eastAsia="宋体" w:cs="宋体"/>
          <w:color w:val="FF0000"/>
          <w:sz w:val="24"/>
          <w:szCs w:val="24"/>
          <w:highlight w:val="none"/>
          <w:lang w:val="en-US" w:eastAsia="zh-CN"/>
        </w:rPr>
        <w:t>如乙方应交付的设备属于国产</w:t>
      </w:r>
      <w:r>
        <w:rPr>
          <w:rFonts w:hint="eastAsia" w:ascii="宋体" w:hAnsi="宋体" w:cs="宋体"/>
          <w:color w:val="FF0000"/>
          <w:sz w:val="24"/>
          <w:szCs w:val="24"/>
          <w:highlight w:val="none"/>
          <w:lang w:val="en-US" w:eastAsia="zh-CN"/>
        </w:rPr>
        <w:t>设备，则应保证该设备为交付时起近</w:t>
      </w:r>
      <w:r>
        <w:rPr>
          <w:rFonts w:hint="eastAsia" w:ascii="宋体" w:hAnsi="宋体" w:cs="宋体"/>
          <w:color w:val="FF0000"/>
          <w:sz w:val="24"/>
          <w:szCs w:val="24"/>
          <w:highlight w:val="none"/>
          <w:lang w:eastAsia="zh-CN"/>
        </w:rPr>
        <w:t>6个月内生产的产品；</w:t>
      </w:r>
      <w:r>
        <w:rPr>
          <w:rFonts w:hint="eastAsia" w:ascii="宋体" w:hAnsi="宋体" w:cs="宋体"/>
          <w:color w:val="FF0000"/>
          <w:sz w:val="24"/>
          <w:szCs w:val="24"/>
          <w:highlight w:val="none"/>
          <w:lang w:val="en-US" w:eastAsia="zh-CN"/>
        </w:rPr>
        <w:t>如乙方</w:t>
      </w:r>
      <w:r>
        <w:rPr>
          <w:rFonts w:hint="eastAsia" w:ascii="宋体" w:hAnsi="宋体" w:eastAsia="宋体" w:cs="宋体"/>
          <w:color w:val="FF0000"/>
          <w:sz w:val="24"/>
          <w:szCs w:val="24"/>
          <w:highlight w:val="none"/>
          <w:lang w:val="en-US" w:eastAsia="zh-CN"/>
        </w:rPr>
        <w:t>应</w:t>
      </w:r>
      <w:r>
        <w:rPr>
          <w:rFonts w:hint="eastAsia" w:ascii="宋体" w:hAnsi="宋体" w:cs="宋体"/>
          <w:color w:val="FF0000"/>
          <w:sz w:val="24"/>
          <w:szCs w:val="24"/>
          <w:highlight w:val="none"/>
          <w:lang w:val="en-US" w:eastAsia="zh-CN"/>
        </w:rPr>
        <w:t>交付的设备属于</w:t>
      </w:r>
      <w:r>
        <w:rPr>
          <w:rFonts w:hint="eastAsia" w:ascii="宋体" w:hAnsi="宋体" w:eastAsia="宋体" w:cs="宋体"/>
          <w:color w:val="FF0000"/>
          <w:sz w:val="24"/>
          <w:szCs w:val="24"/>
          <w:highlight w:val="none"/>
          <w:lang w:val="en-US" w:eastAsia="zh-CN"/>
        </w:rPr>
        <w:t>进口设备</w:t>
      </w:r>
      <w:r>
        <w:rPr>
          <w:rFonts w:hint="eastAsia" w:ascii="宋体" w:hAnsi="宋体" w:cs="宋体"/>
          <w:color w:val="FF0000"/>
          <w:sz w:val="24"/>
          <w:szCs w:val="24"/>
          <w:highlight w:val="none"/>
          <w:lang w:val="en-US" w:eastAsia="zh-CN"/>
        </w:rPr>
        <w:t>，则应保证该设备</w:t>
      </w:r>
      <w:r>
        <w:rPr>
          <w:rFonts w:hint="eastAsia" w:ascii="宋体" w:hAnsi="宋体" w:cs="宋体"/>
          <w:color w:val="FF0000"/>
          <w:sz w:val="24"/>
          <w:szCs w:val="24"/>
          <w:highlight w:val="none"/>
          <w:lang w:eastAsia="zh-CN"/>
        </w:rPr>
        <w:t>为</w:t>
      </w:r>
      <w:r>
        <w:rPr>
          <w:rFonts w:hint="eastAsia" w:ascii="宋体" w:hAnsi="宋体" w:cs="宋体"/>
          <w:color w:val="FF0000"/>
          <w:sz w:val="24"/>
          <w:szCs w:val="24"/>
          <w:highlight w:val="none"/>
          <w:lang w:val="en-US" w:eastAsia="zh-CN"/>
        </w:rPr>
        <w:t>交付时起近一年</w:t>
      </w:r>
      <w:r>
        <w:rPr>
          <w:rFonts w:hint="eastAsia" w:ascii="宋体" w:hAnsi="宋体" w:cs="宋体"/>
          <w:color w:val="FF0000"/>
          <w:sz w:val="24"/>
          <w:szCs w:val="24"/>
          <w:highlight w:val="none"/>
          <w:lang w:eastAsia="zh-CN"/>
        </w:rPr>
        <w:t>内生产的产品</w:t>
      </w:r>
      <w:r>
        <w:rPr>
          <w:rFonts w:hint="eastAsia" w:ascii="宋体" w:hAnsi="宋体" w:eastAsia="宋体" w:cs="宋体"/>
          <w:color w:val="FF0000"/>
          <w:sz w:val="24"/>
          <w:szCs w:val="24"/>
          <w:highlight w:val="none"/>
          <w:lang w:val="en-US" w:eastAsia="zh-CN"/>
        </w:rPr>
        <w:t>。</w:t>
      </w:r>
    </w:p>
    <w:p w14:paraId="619DD7D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3.2 质量验收：以本合同约定标准按以下方式进行验收： </w:t>
      </w:r>
    </w:p>
    <w:p w14:paraId="1F6499C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3.2.1 到货验收：乙方将设备运至指定交货地点后，应通知甲方，并向甲方提供厂家标准资料文件（进口设备需提供真实有效的海关报关单，其他设备需提供产品合格证）和原厂售后质保承诺书。甲方自接到乙方通知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日内组织人员对设备按合同约定及厂家出厂装箱单进行到货验收，经甲方验收合格后签署验收报告单，乙方方可进行现场拆包、安装、调试、培训。如经甲方验收不合格，乙方应在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日内无条件予以更换。</w:t>
      </w:r>
    </w:p>
    <w:p w14:paraId="202D954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3.2.2 总体验收：乙方将设备全部拆包、安装、调试、培训后应及时通知甲方，甲方自接到乙方通知之日起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日内自行组织或委托第三方进行总体验收，验收合格后签署总体验收报告单。如经甲方或第三方验收不合格，乙方应在</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w:t>
      </w:r>
      <w:r>
        <w:rPr>
          <w:rFonts w:hint="eastAsia" w:ascii="宋体" w:hAnsi="宋体" w:eastAsia="宋体" w:cs="宋体"/>
          <w:color w:val="000000" w:themeColor="text1"/>
          <w:sz w:val="24"/>
          <w:szCs w:val="24"/>
          <w:highlight w:val="none"/>
          <w:lang w:val="en-US" w:eastAsia="zh-CN"/>
          <w14:textFill>
            <w14:solidFill>
              <w14:schemeClr w14:val="tx1"/>
            </w14:solidFill>
          </w14:textFill>
        </w:rPr>
        <w:t>日内无条件予以返工并承担所有费用。</w:t>
      </w:r>
    </w:p>
    <w:p w14:paraId="4A32F1A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3.2.3 甲方验收时如发现乙方所交付、安装的设备不符合本合同约定，甲方应做出详尽的现场记录，由甲乙双方签署备忘录，该现场记录和备忘录作为乙方补交缺少部件、更换不符标准部件的有效依据，由此产生的一切经济损失由乙方承担。</w:t>
      </w:r>
    </w:p>
    <w:p w14:paraId="01D9946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3.3 包装要求：乙方提供的设备必须为原厂包装，外包装到货时应保证完好无损，否则甲方有权拒绝收货，由此造成的延期交货违约责任和一切经济损失全部由乙方承担。</w:t>
      </w:r>
    </w:p>
    <w:p w14:paraId="1918CC53">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第四条 安装、培训等事项</w:t>
      </w:r>
    </w:p>
    <w:p w14:paraId="7E62223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4.1 甲方负责协调、处理与安装、调试有关事宜，为乙方创造良好的安装、调试环境。</w:t>
      </w:r>
    </w:p>
    <w:p w14:paraId="19E3ECC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4.2 甲方委派</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邓时敏  </w:t>
      </w:r>
      <w:r>
        <w:rPr>
          <w:rFonts w:hint="eastAsia" w:ascii="宋体" w:hAnsi="宋体" w:eastAsia="宋体" w:cs="宋体"/>
          <w:color w:val="000000" w:themeColor="text1"/>
          <w:sz w:val="24"/>
          <w:szCs w:val="24"/>
          <w:highlight w:val="none"/>
          <w:lang w:val="en-US" w:eastAsia="zh-CN"/>
          <w14:textFill>
            <w14:solidFill>
              <w14:schemeClr w14:val="tx1"/>
            </w14:solidFill>
          </w14:textFill>
        </w:rPr>
        <w:t>作为代表，跟踪、检查安装、调试现场。</w:t>
      </w:r>
    </w:p>
    <w:p w14:paraId="46A6EF7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4.3 乙方负责对甲方的操作人员进行免费培训。</w:t>
      </w:r>
    </w:p>
    <w:p w14:paraId="7C41042A">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4.4 乙方在安装、调试过程中应加强操作人员的安全教育，杜绝安全事故的发生。 </w:t>
      </w:r>
    </w:p>
    <w:p w14:paraId="4974DD8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第五条 售后服务</w:t>
      </w:r>
    </w:p>
    <w:p w14:paraId="4B7290F8">
      <w:pPr>
        <w:keepNext w:val="0"/>
        <w:keepLines w:val="0"/>
        <w:pageBreakBefore w:val="0"/>
        <w:widowControl w:val="0"/>
        <w:numPr>
          <w:ilvl w:val="-1"/>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5.1 本合同设备质保期为</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年，自甲方在总体验收报告单上签字确认合格之日起开始计算。</w:t>
      </w:r>
    </w:p>
    <w:p w14:paraId="2437620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5.2 </w:t>
      </w:r>
      <w:r>
        <w:rPr>
          <w:rFonts w:hint="eastAsia" w:ascii="宋体" w:hAnsi="宋体" w:eastAsia="宋体" w:cs="宋体"/>
          <w:color w:val="000000" w:themeColor="text1"/>
          <w:sz w:val="24"/>
          <w:highlight w:val="none"/>
          <w14:textFill>
            <w14:solidFill>
              <w14:schemeClr w14:val="tx1"/>
            </w14:solidFill>
          </w14:textFill>
        </w:rPr>
        <w:t>乙方在质保期内免费提供维修、更换、保养、咨询等服务。</w:t>
      </w:r>
      <w:r>
        <w:rPr>
          <w:rFonts w:hint="eastAsia" w:ascii="宋体" w:hAnsi="宋体" w:eastAsia="宋体" w:cs="宋体"/>
          <w:color w:val="000000" w:themeColor="text1"/>
          <w:sz w:val="24"/>
          <w:szCs w:val="24"/>
          <w:highlight w:val="none"/>
          <w:lang w:val="en-US" w:eastAsia="zh-CN"/>
          <w14:textFill>
            <w14:solidFill>
              <w14:schemeClr w14:val="tx1"/>
            </w14:solidFill>
          </w14:textFill>
        </w:rPr>
        <w:t>如设备在</w:t>
      </w:r>
      <w:r>
        <w:rPr>
          <w:rFonts w:hint="eastAsia" w:ascii="宋体" w:hAnsi="宋体" w:eastAsia="宋体" w:cs="宋体"/>
          <w:color w:val="000000" w:themeColor="text1"/>
          <w:sz w:val="24"/>
          <w:highlight w:val="none"/>
          <w14:textFill>
            <w14:solidFill>
              <w14:schemeClr w14:val="tx1"/>
            </w14:solidFill>
          </w14:textFill>
        </w:rPr>
        <w:t>质</w:t>
      </w:r>
      <w:r>
        <w:rPr>
          <w:rFonts w:hint="eastAsia" w:ascii="宋体" w:hAnsi="宋体" w:eastAsia="宋体" w:cs="宋体"/>
          <w:color w:val="000000" w:themeColor="text1"/>
          <w:sz w:val="24"/>
          <w:szCs w:val="24"/>
          <w:highlight w:val="none"/>
          <w:lang w:val="en-US" w:eastAsia="zh-CN"/>
          <w14:textFill>
            <w14:solidFill>
              <w14:schemeClr w14:val="tx1"/>
            </w14:solidFill>
          </w14:textFill>
        </w:rPr>
        <w:t>保期内出现质量问题，乙方应在接到甲方通知（包括电话通知）后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小时内响应，响应后</w:t>
      </w:r>
    </w:p>
    <w:p w14:paraId="1B4B460C">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24</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小时内赶到甲方提供服务，相关费用由乙方承担。如乙方不及时提供服务，甲方有权委托第三方提供</w:t>
      </w:r>
      <w:r>
        <w:rPr>
          <w:rFonts w:hint="eastAsia" w:ascii="宋体" w:hAnsi="宋体" w:eastAsia="宋体" w:cs="宋体"/>
          <w:color w:val="000000" w:themeColor="text1"/>
          <w:sz w:val="24"/>
          <w:highlight w:val="none"/>
          <w14:textFill>
            <w14:solidFill>
              <w14:schemeClr w14:val="tx1"/>
            </w14:solidFill>
          </w14:textFill>
        </w:rPr>
        <w:t>维修、更换、保养、咨询等服务</w:t>
      </w:r>
      <w:r>
        <w:rPr>
          <w:rFonts w:hint="eastAsia" w:ascii="宋体" w:hAnsi="宋体" w:eastAsia="宋体" w:cs="宋体"/>
          <w:color w:val="000000" w:themeColor="text1"/>
          <w:sz w:val="24"/>
          <w:szCs w:val="24"/>
          <w:highlight w:val="none"/>
          <w:lang w:val="en-US" w:eastAsia="zh-CN"/>
          <w14:textFill>
            <w14:solidFill>
              <w14:schemeClr w14:val="tx1"/>
            </w14:solidFill>
          </w14:textFill>
        </w:rPr>
        <w:t>，由此产生的相关费用，甲方有权在应付款中扣除、不足部分由乙方另行补足，或要求乙方将第三方提供服务产生的相关费用直接支付给甲方。</w:t>
      </w:r>
    </w:p>
    <w:p w14:paraId="40C63A7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479" w:leftChars="228" w:firstLine="0" w:firstLineChars="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5.3 质保期内，乙方每年至少对设备进行一次巡检并向甲方提交巡检记录。</w:t>
      </w:r>
    </w:p>
    <w:p w14:paraId="1079FCC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5.4 质保期届满后，如设备出现问题，乙方应在接到甲方通知（包括电话通知）后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 </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小时内响应，响应后</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24</w:t>
      </w:r>
      <w:r>
        <w:rPr>
          <w:rFonts w:hint="eastAsia" w:ascii="宋体" w:hAnsi="宋体" w:eastAsia="宋体" w:cs="宋体"/>
          <w:color w:val="000000" w:themeColor="text1"/>
          <w:sz w:val="24"/>
          <w:szCs w:val="24"/>
          <w:highlight w:val="none"/>
          <w:lang w:val="en-US" w:eastAsia="zh-CN"/>
          <w14:textFill>
            <w14:solidFill>
              <w14:schemeClr w14:val="tx1"/>
            </w14:solidFill>
          </w14:textFill>
        </w:rPr>
        <w:t>小时上门服务，相关费用由甲方承担。</w:t>
      </w:r>
    </w:p>
    <w:p w14:paraId="6838A21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5 </w:t>
      </w:r>
      <w:r>
        <w:rPr>
          <w:rFonts w:hint="eastAsia" w:ascii="宋体" w:hAnsi="宋体" w:eastAsia="宋体" w:cs="宋体"/>
          <w:color w:val="000000" w:themeColor="text1"/>
          <w:sz w:val="24"/>
          <w:szCs w:val="24"/>
          <w:highlight w:val="none"/>
          <w14:textFill>
            <w14:solidFill>
              <w14:schemeClr w14:val="tx1"/>
            </w14:solidFill>
          </w14:textFill>
        </w:rPr>
        <w:t>乙方须指派</w:t>
      </w:r>
      <w:r>
        <w:rPr>
          <w:rFonts w:hint="eastAsia" w:ascii="宋体" w:hAnsi="宋体" w:eastAsia="宋体" w:cs="宋体"/>
          <w:color w:val="000000" w:themeColor="text1"/>
          <w:sz w:val="24"/>
          <w:szCs w:val="24"/>
          <w:highlight w:val="none"/>
          <w:u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电话：</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专门负责与甲方联系售后服务事宜，如人员发生变动，应及时通知甲方。</w:t>
      </w:r>
    </w:p>
    <w:p w14:paraId="12855BE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第六条 付款时间、方式</w:t>
      </w:r>
    </w:p>
    <w:p w14:paraId="3A77BC60">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6.1 甲方通过银行转账方式向乙方指定银行账户支付款项；甲方在总体验收报告单上签字确认合格之日起4个月内，向乙方支付</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合同约定总价款</w:t>
      </w:r>
      <w:r>
        <w:rPr>
          <w:rFonts w:hint="eastAsia" w:ascii="宋体" w:hAnsi="宋体" w:eastAsia="宋体" w:cs="宋体"/>
          <w:color w:val="000000" w:themeColor="text1"/>
          <w:sz w:val="24"/>
          <w:szCs w:val="24"/>
          <w:highlight w:val="none"/>
          <w:lang w:val="en-US" w:eastAsia="zh-CN"/>
          <w14:textFill>
            <w14:solidFill>
              <w14:schemeClr w14:val="tx1"/>
            </w14:solidFill>
          </w14:textFill>
        </w:rPr>
        <w:t>的90%；余款10%，甲方在质保期届满且不存在需被扣除情形之日起10个工作日内，免息支付给乙方。</w:t>
      </w:r>
    </w:p>
    <w:p w14:paraId="618A994C">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color w:val="000000" w:themeColor="text1"/>
          <w:sz w:val="28"/>
          <w:szCs w:val="28"/>
          <w:highlight w:val="none"/>
          <w:u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6.2 乙方指定收款银行账户的开户名：</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开户银行：</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账号：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w:t>
      </w:r>
      <w:r>
        <w:rPr>
          <w:rFonts w:hint="eastAsia" w:ascii="宋体" w:hAnsi="宋体"/>
          <w:color w:val="000000" w:themeColor="text1"/>
          <w:sz w:val="28"/>
          <w:szCs w:val="28"/>
          <w:highlight w:val="none"/>
          <w:u w:val="none"/>
          <w:lang w:val="en-US" w:eastAsia="zh-CN"/>
          <w14:textFill>
            <w14:solidFill>
              <w14:schemeClr w14:val="tx1"/>
            </w14:solidFill>
          </w14:textFill>
        </w:rPr>
        <w:t xml:space="preserve">  </w:t>
      </w:r>
    </w:p>
    <w:p w14:paraId="4B0EE2C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6.3 乙方应在甲方首次付款前，向甲方提供以乙方自己名义开具的与本合同总价等额的增值税普通发票；如乙方未及时提供发票，甲方有权顺延付款，由此产生的责任均由乙方自行承担。</w:t>
      </w:r>
    </w:p>
    <w:p w14:paraId="33034488">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第七条 风险承担</w:t>
      </w:r>
    </w:p>
    <w:p w14:paraId="4971572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7.1 乙方履行本合同过程中发生事故，包括但不限于在运输、装卸、安装及调试过程中发生事故，给甲方、乙方或第三方人身、财产造成的所有损失，均由乙方负责处理和承担全部法律责任、经济赔偿。</w:t>
      </w:r>
    </w:p>
    <w:p w14:paraId="424D897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7.2 本合同设备毁损、丢失的风险自甲方在总体验收报告单上签字确认合格后转移给甲方，此前设备的一切风险均由乙方承担。</w:t>
      </w:r>
    </w:p>
    <w:p w14:paraId="0B8D87B4">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7.3 如甲方因乙方设备、质保服务等原因涉及纠纷、诉讼或被处以行政处罚，由乙方承担甲方因纠纷、诉讼、罚款等造成的全部经济损失。</w:t>
      </w:r>
    </w:p>
    <w:p w14:paraId="20B631C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第八条 廉洁条款</w:t>
      </w:r>
    </w:p>
    <w:p w14:paraId="47366FA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jc w:val="both"/>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default" w:ascii="宋体" w:hAnsi="宋体" w:eastAsia="宋体" w:cs="宋体"/>
          <w:color w:val="000000" w:themeColor="text1"/>
          <w:sz w:val="24"/>
          <w:szCs w:val="24"/>
          <w:highlight w:val="none"/>
          <w:lang w:val="en-US" w:eastAsia="zh-CN"/>
          <w14:textFill>
            <w14:solidFill>
              <w14:schemeClr w14:val="tx1"/>
            </w14:solidFill>
          </w14:textFill>
        </w:rPr>
        <w:t>8.1 乙方应严格遵守国家相关法律法规，涉及合同的有关业务活动必须坚持公开、公平、公正、诚信原则，不得为获取不正当利益，损害国家、集体和甲方利益。</w:t>
      </w:r>
    </w:p>
    <w:p w14:paraId="2ED975A9">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default" w:ascii="宋体" w:hAnsi="宋体" w:eastAsia="宋体" w:cs="宋体"/>
          <w:b/>
          <w:bCs/>
          <w:color w:val="000000" w:themeColor="text1"/>
          <w:sz w:val="24"/>
          <w:szCs w:val="24"/>
          <w:highlight w:val="none"/>
          <w:lang w:val="en-US" w:eastAsia="zh-CN"/>
          <w14:textFill>
            <w14:solidFill>
              <w14:schemeClr w14:val="tx1"/>
            </w14:solidFill>
          </w14:textFill>
        </w:rPr>
        <w:t xml:space="preserve">8.2 </w:t>
      </w:r>
      <w:r>
        <w:rPr>
          <w:rFonts w:hint="default" w:ascii="宋体" w:hAnsi="宋体" w:eastAsia="宋体" w:cs="宋体"/>
          <w:b/>
          <w:bCs/>
          <w:color w:val="000000" w:themeColor="text1"/>
          <w:sz w:val="24"/>
          <w:szCs w:val="24"/>
          <w:highlight w:val="none"/>
          <w:u w:val="single"/>
          <w:lang w:val="en-US" w:eastAsia="zh-CN"/>
          <w14:textFill>
            <w14:solidFill>
              <w14:schemeClr w14:val="tx1"/>
            </w14:solidFill>
          </w14:textFill>
        </w:rPr>
        <w:t>乙方的任何人员（包括股东、管理人员、普通员工等）及与乙方本业务有关的任何人员（包括与乙方不存在劳动、劳务关系的人员），均不得对甲方工作人员或其亲友、关系人请客、送礼或赠送礼金、有价证券、贵重物品及给予回扣、好处费、感谢费等其他形式的好处，否则甲方有权要求乙方按本合同约定向甲方支付违反廉洁条款的惩罚性违约金。</w:t>
      </w:r>
    </w:p>
    <w:p w14:paraId="2F4FD1A1">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第九条 保密条款</w:t>
      </w:r>
    </w:p>
    <w:p w14:paraId="1B9CDB3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9.1 本合同订立、履行、变更等产生的研究、商讨、交流等信息，履行本合同获悉的甲方商业秘密、运营信息、工作人员信息、患陪个人信息等，均属保密信息。</w:t>
      </w:r>
    </w:p>
    <w:p w14:paraId="611085F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9.2 乙方应对保密信息采取有效手段严格保密，不得用于非本合同之目的或向第三方泄露。如政府部门、法院或其他有权部门要求乙方提供保密信息，乙方应当立即向甲方通报。</w:t>
      </w:r>
    </w:p>
    <w:p w14:paraId="67DC81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9.3 因乙方未履行本合同保密义务造成甲方或第三方损失的，由乙方承担全部赔偿责任。</w:t>
      </w:r>
    </w:p>
    <w:p w14:paraId="7360AD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9.4 本合同保密条款在合同被认定无效、被撤销或终止、解除后仍然有效。</w:t>
      </w:r>
    </w:p>
    <w:p w14:paraId="29704BDB">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第十条 </w:t>
      </w:r>
      <w:r>
        <w:rPr>
          <w:rFonts w:hint="default" w:ascii="宋体" w:hAnsi="宋体" w:eastAsia="宋体" w:cs="宋体"/>
          <w:b/>
          <w:bCs/>
          <w:color w:val="000000" w:themeColor="text1"/>
          <w:sz w:val="24"/>
          <w:highlight w:val="none"/>
          <w:lang w:val="en-US" w:eastAsia="zh-CN"/>
          <w14:textFill>
            <w14:solidFill>
              <w14:schemeClr w14:val="tx1"/>
            </w14:solidFill>
          </w14:textFill>
        </w:rPr>
        <w:t>通知</w:t>
      </w:r>
      <w:r>
        <w:rPr>
          <w:rFonts w:hint="eastAsia" w:ascii="宋体" w:hAnsi="宋体" w:eastAsia="宋体" w:cs="宋体"/>
          <w:b/>
          <w:bCs/>
          <w:color w:val="000000" w:themeColor="text1"/>
          <w:sz w:val="24"/>
          <w:highlight w:val="none"/>
          <w:lang w:val="en-US" w:eastAsia="zh-CN"/>
          <w14:textFill>
            <w14:solidFill>
              <w14:schemeClr w14:val="tx1"/>
            </w14:solidFill>
          </w14:textFill>
        </w:rPr>
        <w:t>与送达</w:t>
      </w:r>
    </w:p>
    <w:p w14:paraId="6FB6B62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10.1 甲乙双方同意，与本合同有关的任何文书，应以书面方式按照本合同约定发送，书面方式包括手机短信、微信、书面函件、电子邮件等形式。</w:t>
      </w:r>
    </w:p>
    <w:p w14:paraId="32A9A16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10.2 双方确认的文书（包括未来可能发生的诉讼或仲裁活动中法院或仲裁机构的送达法律文书）送达地址：</w:t>
      </w:r>
    </w:p>
    <w:p w14:paraId="1B16A4E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 xml:space="preserve">10.2.1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甲方的联系地址：</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娄底市娄星区</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长青中街51号</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娄底市中心医院设备科</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，联系人：</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朱振宇</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，联系电话：</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15673845559</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，邮箱地址</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7248283@qq.com</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或微信号</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15673845559</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w:t>
      </w:r>
    </w:p>
    <w:p w14:paraId="6CD2A5B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 xml:space="preserve">10.2.2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乙方的联系地址：</w:t>
      </w:r>
      <w:r>
        <w:rPr>
          <w:rFonts w:hint="default"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xml:space="preserve"> ，联系人：</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联系电话：</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，邮箱地址</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或微信号</w:t>
      </w:r>
      <w:r>
        <w:rPr>
          <w:rFonts w:hint="eastAsia" w:ascii="宋体" w:hAnsi="宋体" w:eastAsia="宋体" w:cs="宋体"/>
          <w:b w:val="0"/>
          <w:bCs w:val="0"/>
          <w:color w:val="000000" w:themeColor="text1"/>
          <w:sz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highlight w:val="none"/>
          <w:u w:val="single"/>
          <w:lang w:val="en-US" w:eastAsia="zh-CN"/>
          <w14:textFill>
            <w14:solidFill>
              <w14:schemeClr w14:val="tx1"/>
            </w14:solidFill>
          </w14:textFill>
        </w:rPr>
        <w:t xml:space="preserve">          </w:t>
      </w:r>
      <w:r>
        <w:rPr>
          <w:rFonts w:hint="default" w:ascii="宋体" w:hAnsi="宋体" w:eastAsia="宋体" w:cs="宋体"/>
          <w:b w:val="0"/>
          <w:bCs w:val="0"/>
          <w:color w:val="000000" w:themeColor="text1"/>
          <w:sz w:val="24"/>
          <w:highlight w:val="none"/>
          <w:lang w:val="en-US" w:eastAsia="zh-CN"/>
          <w14:textFill>
            <w14:solidFill>
              <w14:schemeClr w14:val="tx1"/>
            </w14:solidFill>
          </w14:textFill>
        </w:rPr>
        <w:t>。</w:t>
      </w:r>
    </w:p>
    <w:p w14:paraId="55FD3E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10.3 上述通知应被视为在下列时间送达：以快递或专人发送的，在收件人签收之日或拒收之日；以挂号邮件发出的，在发出之日起7个工作日；以电子邮件发出的，在电子邮件进入收件方电子邮箱服务器之日。</w:t>
      </w:r>
    </w:p>
    <w:p w14:paraId="663E7D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b w:val="0"/>
          <w:bCs w:val="0"/>
          <w:color w:val="000000" w:themeColor="text1"/>
          <w:sz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highlight w:val="none"/>
          <w:lang w:val="en-US" w:eastAsia="zh-CN"/>
          <w14:textFill>
            <w14:solidFill>
              <w14:schemeClr w14:val="tx1"/>
            </w14:solidFill>
          </w14:textFill>
        </w:rPr>
        <w:t>10.4 以上地址和联系方式，任何一方发生变更应在变更之日起3日内通知对方。如未通知，一方按原地址送达的书面资料被退回的，退回之日视为送达之日。任何一方按照确认地址送到另一方的书面资料被拒绝签收导致邮件被退回的，退回之日视为送达之日。</w:t>
      </w:r>
    </w:p>
    <w:p w14:paraId="332909F9">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eastAsia="zh-CN"/>
          <w14:textFill>
            <w14:solidFill>
              <w14:schemeClr w14:val="tx1"/>
            </w14:solidFill>
          </w14:textFill>
        </w:rPr>
        <w:t>第十</w:t>
      </w:r>
      <w:r>
        <w:rPr>
          <w:rFonts w:hint="eastAsia" w:ascii="宋体" w:hAnsi="宋体" w:eastAsia="宋体" w:cs="宋体"/>
          <w:b/>
          <w:bCs/>
          <w:color w:val="000000" w:themeColor="text1"/>
          <w:sz w:val="24"/>
          <w:highlight w:val="none"/>
          <w:lang w:val="en-US" w:eastAsia="zh-CN"/>
          <w14:textFill>
            <w14:solidFill>
              <w14:schemeClr w14:val="tx1"/>
            </w14:solidFill>
          </w14:textFill>
        </w:rPr>
        <w:t>一</w:t>
      </w:r>
      <w:r>
        <w:rPr>
          <w:rFonts w:hint="eastAsia" w:ascii="宋体" w:hAnsi="宋体" w:eastAsia="宋体" w:cs="宋体"/>
          <w:b/>
          <w:bCs/>
          <w:color w:val="000000" w:themeColor="text1"/>
          <w:sz w:val="24"/>
          <w:highlight w:val="none"/>
          <w:lang w:eastAsia="zh-CN"/>
          <w14:textFill>
            <w14:solidFill>
              <w14:schemeClr w14:val="tx1"/>
            </w14:solidFill>
          </w14:textFill>
        </w:rPr>
        <w:t>条</w:t>
      </w:r>
      <w:r>
        <w:rPr>
          <w:rFonts w:hint="eastAsia" w:ascii="宋体" w:hAnsi="宋体" w:eastAsia="宋体" w:cs="宋体"/>
          <w:b/>
          <w:bCs/>
          <w:color w:val="000000" w:themeColor="text1"/>
          <w:sz w:val="24"/>
          <w:highlight w:val="none"/>
          <w:lang w:val="en-US" w:eastAsia="zh-CN"/>
          <w14:textFill>
            <w14:solidFill>
              <w14:schemeClr w14:val="tx1"/>
            </w14:solidFill>
          </w14:textFill>
        </w:rPr>
        <w:t xml:space="preserve"> 合同的变更、解除</w:t>
      </w:r>
    </w:p>
    <w:p w14:paraId="704300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11.1 本合同经双方协商一致后可以变更，双方应另行签订补充协议。</w:t>
      </w:r>
    </w:p>
    <w:p w14:paraId="5B80C46E">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11.2 如甲方因政策变化等非自身主观原因不需要购买本合同全部设备，经书面通知乙方后可以提前终止本合同；如甲方因运营需要等原因不需要购买本合同部分设备，不需要购买的部分自动从采购内容中剔除。</w:t>
      </w:r>
    </w:p>
    <w:p w14:paraId="49412B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11.3 </w:t>
      </w:r>
      <w:r>
        <w:rPr>
          <w:rFonts w:hint="eastAsia" w:ascii="宋体" w:hAnsi="宋体" w:eastAsia="宋体" w:cs="宋体"/>
          <w:color w:val="000000" w:themeColor="text1"/>
          <w:sz w:val="24"/>
          <w:highlight w:val="none"/>
          <w14:textFill>
            <w14:solidFill>
              <w14:schemeClr w14:val="tx1"/>
            </w14:solidFill>
          </w14:textFill>
        </w:rPr>
        <w:t>乙方出现以下违约情形之一的，甲方有权拒绝支付任何价款并解除合同：</w:t>
      </w:r>
    </w:p>
    <w:p w14:paraId="5679FD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.1 乙方逾期</w:t>
      </w:r>
      <w:r>
        <w:rPr>
          <w:rFonts w:hint="eastAsia" w:ascii="宋体" w:hAnsi="宋体" w:eastAsia="宋体" w:cs="宋体"/>
          <w:color w:val="000000" w:themeColor="text1"/>
          <w:sz w:val="24"/>
          <w:highlight w:val="none"/>
          <w:u w:val="single"/>
          <w14:textFill>
            <w14:solidFill>
              <w14:schemeClr w14:val="tx1"/>
            </w14:solidFill>
          </w14:textFill>
        </w:rPr>
        <w:t>30</w:t>
      </w:r>
      <w:r>
        <w:rPr>
          <w:rFonts w:hint="eastAsia" w:ascii="宋体" w:hAnsi="宋体" w:eastAsia="宋体" w:cs="宋体"/>
          <w:color w:val="000000" w:themeColor="text1"/>
          <w:sz w:val="24"/>
          <w:highlight w:val="none"/>
          <w14:textFill>
            <w14:solidFill>
              <w14:schemeClr w14:val="tx1"/>
            </w14:solidFill>
          </w14:textFill>
        </w:rPr>
        <w:t>日仍不能供货；</w:t>
      </w:r>
    </w:p>
    <w:p w14:paraId="37C5BC5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.2 乙方提供的设备质量不符合国家标准、本合同标准或</w:t>
      </w:r>
      <w:r>
        <w:rPr>
          <w:rFonts w:hint="eastAsia" w:ascii="宋体" w:hAnsi="宋体" w:eastAsia="宋体" w:cs="宋体"/>
          <w:color w:val="000000" w:themeColor="text1"/>
          <w:sz w:val="24"/>
          <w:highlight w:val="none"/>
          <w:lang w:eastAsia="zh-CN"/>
          <w14:textFill>
            <w14:solidFill>
              <w14:schemeClr w14:val="tx1"/>
            </w14:solidFill>
          </w14:textFill>
        </w:rPr>
        <w:t>投标文件</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响应文件约定标准；</w:t>
      </w:r>
    </w:p>
    <w:p w14:paraId="4E910DA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.3 乙方将</w:t>
      </w:r>
      <w:r>
        <w:rPr>
          <w:rFonts w:hint="eastAsia" w:ascii="宋体" w:hAnsi="宋体" w:eastAsia="宋体" w:cs="宋体"/>
          <w:color w:val="000000" w:themeColor="text1"/>
          <w:sz w:val="24"/>
          <w:highlight w:val="none"/>
          <w:lang w:val="en-US" w:eastAsia="zh-CN"/>
          <w14:textFill>
            <w14:solidFill>
              <w14:schemeClr w14:val="tx1"/>
            </w14:solidFill>
          </w14:textFill>
        </w:rPr>
        <w:t>本合同权利义务全部或部分转让给</w:t>
      </w:r>
      <w:r>
        <w:rPr>
          <w:rFonts w:hint="eastAsia" w:ascii="宋体" w:hAnsi="宋体" w:eastAsia="宋体" w:cs="宋体"/>
          <w:color w:val="000000" w:themeColor="text1"/>
          <w:sz w:val="24"/>
          <w:highlight w:val="none"/>
          <w14:textFill>
            <w14:solidFill>
              <w14:schemeClr w14:val="tx1"/>
            </w14:solidFill>
          </w14:textFill>
        </w:rPr>
        <w:t>第三方；</w:t>
      </w:r>
    </w:p>
    <w:p w14:paraId="1CA49F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11</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3</w:t>
      </w:r>
      <w:r>
        <w:rPr>
          <w:rFonts w:hint="eastAsia" w:ascii="宋体" w:hAnsi="宋体" w:eastAsia="宋体" w:cs="宋体"/>
          <w:color w:val="000000" w:themeColor="text1"/>
          <w:sz w:val="24"/>
          <w:highlight w:val="none"/>
          <w14:textFill>
            <w14:solidFill>
              <w14:schemeClr w14:val="tx1"/>
            </w14:solidFill>
          </w14:textFill>
        </w:rPr>
        <w:t>.4 其他根本违约的情形。</w:t>
      </w:r>
    </w:p>
    <w:p w14:paraId="1C9CCADE">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w:t>
      </w:r>
      <w:r>
        <w:rPr>
          <w:rFonts w:hint="eastAsia" w:ascii="宋体" w:hAnsi="宋体" w:eastAsia="宋体" w:cs="宋体"/>
          <w:b/>
          <w:bCs/>
          <w:color w:val="000000" w:themeColor="text1"/>
          <w:sz w:val="24"/>
          <w:highlight w:val="none"/>
          <w:lang w:eastAsia="zh-CN"/>
          <w14:textFill>
            <w14:solidFill>
              <w14:schemeClr w14:val="tx1"/>
            </w14:solidFill>
          </w14:textFill>
        </w:rPr>
        <w:t>十</w:t>
      </w:r>
      <w:r>
        <w:rPr>
          <w:rFonts w:hint="eastAsia" w:ascii="宋体" w:hAnsi="宋体" w:eastAsia="宋体" w:cs="宋体"/>
          <w:b/>
          <w:bCs/>
          <w:color w:val="000000" w:themeColor="text1"/>
          <w:sz w:val="24"/>
          <w:highlight w:val="none"/>
          <w:lang w:val="en-US" w:eastAsia="zh-CN"/>
          <w14:textFill>
            <w14:solidFill>
              <w14:schemeClr w14:val="tx1"/>
            </w14:solidFill>
          </w14:textFill>
        </w:rPr>
        <w:t>二</w:t>
      </w:r>
      <w:r>
        <w:rPr>
          <w:rFonts w:hint="eastAsia" w:ascii="宋体" w:hAnsi="宋体" w:eastAsia="宋体" w:cs="宋体"/>
          <w:b/>
          <w:bCs/>
          <w:color w:val="000000" w:themeColor="text1"/>
          <w:sz w:val="24"/>
          <w:highlight w:val="none"/>
          <w14:textFill>
            <w14:solidFill>
              <w14:schemeClr w14:val="tx1"/>
            </w14:solidFill>
          </w14:textFill>
        </w:rPr>
        <w:t>条 违约责任</w:t>
      </w:r>
    </w:p>
    <w:p w14:paraId="12BED93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 xml:space="preserve">.1 </w:t>
      </w:r>
      <w:r>
        <w:rPr>
          <w:rFonts w:hint="eastAsia" w:ascii="宋体" w:hAnsi="宋体" w:eastAsia="宋体" w:cs="宋体"/>
          <w:color w:val="000000" w:themeColor="text1"/>
          <w:sz w:val="24"/>
          <w:highlight w:val="none"/>
          <w:lang w:eastAsia="zh-CN"/>
          <w14:textFill>
            <w14:solidFill>
              <w14:schemeClr w14:val="tx1"/>
            </w14:solidFill>
          </w14:textFill>
        </w:rPr>
        <w:t>甲方因</w:t>
      </w:r>
      <w:r>
        <w:rPr>
          <w:rFonts w:hint="eastAsia" w:ascii="宋体" w:hAnsi="宋体" w:eastAsia="宋体" w:cs="宋体"/>
          <w:color w:val="000000" w:themeColor="text1"/>
          <w:sz w:val="24"/>
          <w:highlight w:val="none"/>
          <w:lang w:val="en-US" w:eastAsia="zh-CN"/>
          <w14:textFill>
            <w14:solidFill>
              <w14:schemeClr w14:val="tx1"/>
            </w14:solidFill>
          </w14:textFill>
        </w:rPr>
        <w:t>11.2情形提前终止本合同或剔除部分采购内容均无须承担违约责任，乙方不得因此要求甲方予以任何经济赔偿或补偿。</w:t>
      </w:r>
    </w:p>
    <w:p w14:paraId="56C5AC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.2 如乙方未在本合同约定时间内将验收合格的</w:t>
      </w:r>
      <w:r>
        <w:rPr>
          <w:rFonts w:hint="eastAsia" w:ascii="宋体" w:hAnsi="宋体" w:eastAsia="宋体" w:cs="宋体"/>
          <w:color w:val="000000" w:themeColor="text1"/>
          <w:sz w:val="24"/>
          <w:highlight w:val="none"/>
          <w:lang w:val="en-US" w:eastAsia="zh-CN"/>
          <w14:textFill>
            <w14:solidFill>
              <w14:schemeClr w14:val="tx1"/>
            </w14:solidFill>
          </w14:textFill>
        </w:rPr>
        <w:t>设备</w:t>
      </w:r>
      <w:r>
        <w:rPr>
          <w:rFonts w:hint="eastAsia" w:ascii="宋体" w:hAnsi="宋体" w:eastAsia="宋体" w:cs="宋体"/>
          <w:color w:val="000000" w:themeColor="text1"/>
          <w:sz w:val="24"/>
          <w:highlight w:val="none"/>
          <w14:textFill>
            <w14:solidFill>
              <w14:schemeClr w14:val="tx1"/>
            </w14:solidFill>
          </w14:textFill>
        </w:rPr>
        <w:t>交付给甲方使用，除应赔偿甲方因此造成的损失外，每逾期一日，按</w:t>
      </w:r>
      <w:r>
        <w:rPr>
          <w:rFonts w:hint="eastAsia" w:ascii="宋体" w:hAnsi="宋体" w:eastAsia="宋体" w:cs="宋体"/>
          <w:color w:val="000000" w:themeColor="text1"/>
          <w:sz w:val="24"/>
          <w:highlight w:val="none"/>
          <w:u w:val="none"/>
          <w14:textFill>
            <w14:solidFill>
              <w14:schemeClr w14:val="tx1"/>
            </w14:solidFill>
          </w14:textFill>
        </w:rPr>
        <w:t>本合同约定总价款的</w:t>
      </w:r>
      <w:r>
        <w:rPr>
          <w:rFonts w:hint="eastAsia" w:ascii="宋体" w:hAnsi="宋体" w:eastAsia="宋体" w:cs="宋体"/>
          <w:color w:val="000000" w:themeColor="text1"/>
          <w:sz w:val="24"/>
          <w:highlight w:val="none"/>
          <w:u w:val="none"/>
          <w:lang w:eastAsia="zh-CN"/>
          <w14:textFill>
            <w14:solidFill>
              <w14:schemeClr w14:val="tx1"/>
            </w14:solidFill>
          </w14:textFill>
        </w:rPr>
        <w:t>千分之一</w:t>
      </w:r>
      <w:r>
        <w:rPr>
          <w:rFonts w:hint="eastAsia" w:ascii="宋体" w:hAnsi="宋体" w:eastAsia="宋体" w:cs="宋体"/>
          <w:color w:val="000000" w:themeColor="text1"/>
          <w:sz w:val="24"/>
          <w:highlight w:val="none"/>
          <w:lang w:eastAsia="zh-CN"/>
          <w14:textFill>
            <w14:solidFill>
              <w14:schemeClr w14:val="tx1"/>
            </w14:solidFill>
          </w14:textFill>
        </w:rPr>
        <w:t>标准</w:t>
      </w:r>
      <w:r>
        <w:rPr>
          <w:rFonts w:hint="eastAsia" w:ascii="宋体" w:hAnsi="宋体" w:eastAsia="宋体" w:cs="宋体"/>
          <w:color w:val="000000" w:themeColor="text1"/>
          <w:sz w:val="24"/>
          <w:highlight w:val="none"/>
          <w14:textFill>
            <w14:solidFill>
              <w14:schemeClr w14:val="tx1"/>
            </w14:solidFill>
          </w14:textFill>
        </w:rPr>
        <w:t>向甲方支付违约金。</w:t>
      </w:r>
    </w:p>
    <w:p w14:paraId="732D9B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eastAsia="宋体" w:cs="宋体"/>
          <w:color w:val="000000" w:themeColor="text1"/>
          <w:sz w:val="24"/>
          <w:highlight w:val="none"/>
          <w14:textFill>
            <w14:solidFill>
              <w14:schemeClr w14:val="tx1"/>
            </w14:solidFill>
          </w14:textFill>
        </w:rPr>
        <w:t>.3 如乙方单方解除合同或甲方因</w:t>
      </w:r>
      <w:r>
        <w:rPr>
          <w:rFonts w:hint="eastAsia" w:ascii="宋体" w:hAnsi="宋体" w:eastAsia="宋体" w:cs="宋体"/>
          <w:color w:val="000000" w:themeColor="text1"/>
          <w:sz w:val="24"/>
          <w:highlight w:val="none"/>
          <w:lang w:val="en-US" w:eastAsia="zh-CN"/>
          <w14:textFill>
            <w14:solidFill>
              <w14:schemeClr w14:val="tx1"/>
            </w14:solidFill>
          </w14:textFill>
        </w:rPr>
        <w:t>11.3情形</w:t>
      </w:r>
      <w:r>
        <w:rPr>
          <w:rFonts w:hint="eastAsia" w:ascii="宋体" w:hAnsi="宋体" w:eastAsia="宋体" w:cs="宋体"/>
          <w:color w:val="000000" w:themeColor="text1"/>
          <w:sz w:val="24"/>
          <w:highlight w:val="none"/>
          <w14:textFill>
            <w14:solidFill>
              <w14:schemeClr w14:val="tx1"/>
            </w14:solidFill>
          </w14:textFill>
        </w:rPr>
        <w:t>解除合同，乙方应赔偿给甲方造成的全部经济损失，并按</w:t>
      </w:r>
      <w:r>
        <w:rPr>
          <w:rFonts w:hint="eastAsia" w:ascii="宋体" w:hAnsi="宋体" w:eastAsia="宋体" w:cs="宋体"/>
          <w:color w:val="000000" w:themeColor="text1"/>
          <w:sz w:val="24"/>
          <w:highlight w:val="none"/>
          <w:u w:val="none"/>
          <w14:textFill>
            <w14:solidFill>
              <w14:schemeClr w14:val="tx1"/>
            </w14:solidFill>
          </w14:textFill>
        </w:rPr>
        <w:t>本合同总价款30%</w:t>
      </w:r>
      <w:r>
        <w:rPr>
          <w:rFonts w:hint="eastAsia" w:ascii="宋体" w:hAnsi="宋体" w:eastAsia="宋体" w:cs="宋体"/>
          <w:color w:val="000000" w:themeColor="text1"/>
          <w:sz w:val="24"/>
          <w:highlight w:val="none"/>
          <w14:textFill>
            <w14:solidFill>
              <w14:schemeClr w14:val="tx1"/>
            </w14:solidFill>
          </w14:textFill>
        </w:rPr>
        <w:t>标准</w:t>
      </w:r>
      <w:r>
        <w:rPr>
          <w:rFonts w:hint="eastAsia" w:ascii="宋体" w:hAnsi="宋体" w:eastAsia="宋体" w:cs="宋体"/>
          <w:color w:val="000000" w:themeColor="text1"/>
          <w:sz w:val="24"/>
          <w:highlight w:val="none"/>
          <w:lang w:val="en-US" w:eastAsia="zh-CN"/>
          <w14:textFill>
            <w14:solidFill>
              <w14:schemeClr w14:val="tx1"/>
            </w14:solidFill>
          </w14:textFill>
        </w:rPr>
        <w:t>向</w:t>
      </w:r>
      <w:r>
        <w:rPr>
          <w:rFonts w:hint="eastAsia" w:ascii="宋体" w:hAnsi="宋体" w:eastAsia="宋体" w:cs="宋体"/>
          <w:color w:val="000000" w:themeColor="text1"/>
          <w:sz w:val="24"/>
          <w:highlight w:val="none"/>
          <w14:textFill>
            <w14:solidFill>
              <w14:schemeClr w14:val="tx1"/>
            </w14:solidFill>
          </w14:textFill>
        </w:rPr>
        <w:t>甲方支付违约金。</w:t>
      </w:r>
    </w:p>
    <w:p w14:paraId="1FFC330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2" w:firstLineChars="200"/>
        <w:jc w:val="both"/>
        <w:textAlignment w:val="auto"/>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12.4 无论甲方在任意时候（不限于本合同履行期间）发现存在违反本合同廉洁条款及供应商考核管理制度约定的行为，乙方均须向甲方支付一次性惩罚性违约金，</w:t>
      </w:r>
      <w:r>
        <w:rPr>
          <w:rFonts w:hint="eastAsia" w:ascii="宋体" w:hAnsi="宋体" w:eastAsia="宋体" w:cs="宋体"/>
          <w:b/>
          <w:bCs/>
          <w:color w:val="FF0000"/>
          <w:sz w:val="24"/>
          <w:szCs w:val="24"/>
          <w:highlight w:val="none"/>
          <w:u w:val="single"/>
          <w:lang w:val="en-US" w:eastAsia="zh-CN"/>
        </w:rPr>
        <w:t>该违约金金额按以下较高者确定：（1）本合同总费用的10%；（2）根据《娄底市中心医院医疗器械供应商考核管理制度》规定计算的廉政违约金金额。</w:t>
      </w:r>
      <w:r>
        <w:rPr>
          <w:rFonts w:hint="eastAsia" w:ascii="宋体" w:hAnsi="宋体" w:eastAsia="宋体" w:cs="宋体"/>
          <w:b/>
          <w:bCs/>
          <w:color w:val="000000" w:themeColor="text1"/>
          <w:sz w:val="24"/>
          <w:szCs w:val="24"/>
          <w:highlight w:val="none"/>
          <w:u w:val="single"/>
          <w:lang w:val="en-US" w:eastAsia="zh-CN"/>
          <w14:textFill>
            <w14:solidFill>
              <w14:schemeClr w14:val="tx1"/>
            </w14:solidFill>
          </w14:textFill>
        </w:rPr>
        <w:t>如乙方除需承担违反廉洁条款及供应商考核管理制度的违约责任外，同时存在其他违约行为，乙方仍须就其他违约行为承担相应违约责任。</w:t>
      </w:r>
    </w:p>
    <w:p w14:paraId="593381C7">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宋体" w:hAnsi="宋体" w:eastAsia="宋体" w:cs="宋体"/>
          <w:b/>
          <w:bCs/>
          <w:color w:val="000000" w:themeColor="text1"/>
          <w:sz w:val="24"/>
          <w:highlight w:val="none"/>
          <w:u w:val="single"/>
          <w:lang w:val="en-US" w:eastAsia="zh-CN"/>
          <w14:textFill>
            <w14:solidFill>
              <w14:schemeClr w14:val="tx1"/>
            </w14:solidFill>
          </w14:textFill>
        </w:rPr>
      </w:pPr>
      <w:r>
        <w:rPr>
          <w:rFonts w:hint="eastAsia" w:ascii="宋体" w:hAnsi="宋体" w:eastAsia="宋体" w:cs="宋体"/>
          <w:b/>
          <w:bCs/>
          <w:color w:val="000000" w:themeColor="text1"/>
          <w:sz w:val="24"/>
          <w:highlight w:val="none"/>
          <w:u w:val="single"/>
          <w:lang w:val="en-US" w:eastAsia="zh-CN"/>
          <w14:textFill>
            <w14:solidFill>
              <w14:schemeClr w14:val="tx1"/>
            </w14:solidFill>
          </w14:textFill>
        </w:rPr>
        <w:t>12.5 依据本合同约定乙方应支付给甲方的违约金，甲方有权在应支付给乙方的任意价款中直接予以扣除，如扣除部分不足，乙方应在接到甲方通知后3日内补足。</w:t>
      </w:r>
    </w:p>
    <w:p w14:paraId="60F16F2D">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w:t>
      </w:r>
      <w:r>
        <w:rPr>
          <w:rFonts w:hint="eastAsia" w:ascii="宋体" w:hAnsi="宋体" w:cs="宋体"/>
          <w:b/>
          <w:bCs/>
          <w:color w:val="000000" w:themeColor="text1"/>
          <w:sz w:val="24"/>
          <w:highlight w:val="none"/>
          <w:lang w:val="en-US" w:eastAsia="zh-CN"/>
          <w14:textFill>
            <w14:solidFill>
              <w14:schemeClr w14:val="tx1"/>
            </w14:solidFill>
          </w14:textFill>
        </w:rPr>
        <w:t>十三</w:t>
      </w:r>
      <w:r>
        <w:rPr>
          <w:rFonts w:hint="eastAsia" w:ascii="宋体" w:hAnsi="宋体" w:eastAsia="宋体" w:cs="宋体"/>
          <w:b/>
          <w:bCs/>
          <w:color w:val="000000" w:themeColor="text1"/>
          <w:sz w:val="24"/>
          <w:highlight w:val="none"/>
          <w14:textFill>
            <w14:solidFill>
              <w14:schemeClr w14:val="tx1"/>
            </w14:solidFill>
          </w14:textFill>
        </w:rPr>
        <w:t>条 争议解决</w:t>
      </w:r>
    </w:p>
    <w:p w14:paraId="5921723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13.1 本合同适用中华人民共和国法律，并按其解释。</w:t>
      </w:r>
    </w:p>
    <w:p w14:paraId="3DCB19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 xml:space="preserve">13.2 </w:t>
      </w:r>
      <w:r>
        <w:rPr>
          <w:rFonts w:hint="eastAsia" w:ascii="宋体" w:hAnsi="宋体" w:eastAsia="宋体" w:cs="宋体"/>
          <w:color w:val="000000" w:themeColor="text1"/>
          <w:sz w:val="24"/>
          <w:highlight w:val="none"/>
          <w14:textFill>
            <w14:solidFill>
              <w14:schemeClr w14:val="tx1"/>
            </w14:solidFill>
          </w14:textFill>
        </w:rPr>
        <w:t>如双方在履行本合同过程中发生争议，双方应先协商解决，协商解决不成的，任一方均可向甲方所在地有管辖权的人民法院提起诉讼解决。</w:t>
      </w:r>
    </w:p>
    <w:p w14:paraId="3E8F58B1">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第十</w:t>
      </w:r>
      <w:r>
        <w:rPr>
          <w:rFonts w:hint="eastAsia" w:ascii="宋体" w:hAnsi="宋体" w:cs="宋体"/>
          <w:b/>
          <w:bCs/>
          <w:color w:val="000000" w:themeColor="text1"/>
          <w:sz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highlight w:val="none"/>
          <w14:textFill>
            <w14:solidFill>
              <w14:schemeClr w14:val="tx1"/>
            </w14:solidFill>
          </w14:textFill>
        </w:rPr>
        <w:t>条 附则</w:t>
      </w:r>
    </w:p>
    <w:p w14:paraId="00CB60E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FF0000"/>
          <w:sz w:val="24"/>
          <w:highlight w:val="none"/>
        </w:rPr>
        <w:t>1</w:t>
      </w:r>
      <w:r>
        <w:rPr>
          <w:rFonts w:hint="eastAsia" w:ascii="宋体" w:hAnsi="宋体" w:eastAsia="宋体" w:cs="宋体"/>
          <w:color w:val="FF0000"/>
          <w:sz w:val="24"/>
          <w:highlight w:val="none"/>
          <w:lang w:val="en-US" w:eastAsia="zh-CN"/>
        </w:rPr>
        <w:t>4</w:t>
      </w:r>
      <w:r>
        <w:rPr>
          <w:rFonts w:hint="eastAsia" w:ascii="宋体" w:hAnsi="宋体" w:eastAsia="宋体" w:cs="宋体"/>
          <w:color w:val="FF0000"/>
          <w:sz w:val="24"/>
          <w:highlight w:val="none"/>
        </w:rPr>
        <w:t>.</w:t>
      </w:r>
      <w:r>
        <w:rPr>
          <w:rFonts w:hint="eastAsia" w:ascii="宋体" w:hAnsi="宋体" w:eastAsia="宋体" w:cs="宋体"/>
          <w:color w:val="FF0000"/>
          <w:sz w:val="24"/>
          <w:highlight w:val="none"/>
          <w:lang w:val="en-US" w:eastAsia="zh-CN"/>
        </w:rPr>
        <w:t>1 甲方《娄底市中心医院医疗器械供应商考核管理制度》、</w:t>
      </w:r>
      <w:r>
        <w:rPr>
          <w:rFonts w:hint="eastAsia" w:ascii="宋体" w:hAnsi="宋体" w:eastAsia="宋体" w:cs="宋体"/>
          <w:color w:val="FF0000"/>
          <w:sz w:val="24"/>
          <w:highlight w:val="none"/>
          <w:lang w:eastAsia="zh-CN"/>
        </w:rPr>
        <w:t>乙方加盖公章的资质复印件、售后承诺等作为本合同附件。</w:t>
      </w:r>
    </w:p>
    <w:p w14:paraId="14CD2E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eastAsia="zh-CN"/>
          <w14:textFill>
            <w14:solidFill>
              <w14:schemeClr w14:val="tx1"/>
            </w14:solidFill>
          </w14:textFill>
        </w:rPr>
        <w:t xml:space="preserve">14.2 </w:t>
      </w:r>
      <w:r>
        <w:rPr>
          <w:rFonts w:hint="eastAsia" w:ascii="宋体" w:hAnsi="宋体" w:eastAsia="宋体" w:cs="宋体"/>
          <w:color w:val="000000" w:themeColor="text1"/>
          <w:sz w:val="24"/>
          <w:highlight w:val="none"/>
          <w14:textFill>
            <w14:solidFill>
              <w14:schemeClr w14:val="tx1"/>
            </w14:solidFill>
          </w14:textFill>
        </w:rPr>
        <w:t>本合同组成文件和优先解释顺序：</w:t>
      </w:r>
      <w:r>
        <w:rPr>
          <w:rFonts w:hint="eastAsia" w:ascii="宋体" w:hAnsi="宋体" w:eastAsia="宋体" w:cs="宋体"/>
          <w:color w:val="000000" w:themeColor="text1"/>
          <w:sz w:val="24"/>
          <w:highlight w:val="none"/>
          <w:lang w:eastAsia="zh-CN"/>
          <w14:textFill>
            <w14:solidFill>
              <w14:schemeClr w14:val="tx1"/>
            </w14:solidFill>
          </w14:textFill>
        </w:rPr>
        <w:t>乙方在履行本合同中作出的书面承诺；</w:t>
      </w:r>
      <w:r>
        <w:rPr>
          <w:rFonts w:hint="eastAsia" w:ascii="宋体" w:hAnsi="宋体" w:eastAsia="宋体" w:cs="宋体"/>
          <w:color w:val="000000" w:themeColor="text1"/>
          <w:sz w:val="24"/>
          <w:highlight w:val="none"/>
          <w14:textFill>
            <w14:solidFill>
              <w14:schemeClr w14:val="tx1"/>
            </w14:solidFill>
          </w14:textFill>
        </w:rPr>
        <w:t>本合同补充协议；本合同及附件；</w:t>
      </w:r>
      <w:r>
        <w:rPr>
          <w:rFonts w:hint="eastAsia" w:ascii="宋体" w:hAnsi="宋体" w:eastAsia="宋体" w:cs="宋体"/>
          <w:color w:val="000000" w:themeColor="text1"/>
          <w:sz w:val="24"/>
          <w:highlight w:val="none"/>
          <w:lang w:eastAsia="zh-CN"/>
          <w14:textFill>
            <w14:solidFill>
              <w14:schemeClr w14:val="tx1"/>
            </w14:solidFill>
          </w14:textFill>
        </w:rPr>
        <w:t>中标通知书</w:t>
      </w:r>
      <w:r>
        <w:rPr>
          <w:rFonts w:hint="eastAsia" w:ascii="宋体" w:hAnsi="宋体" w:eastAsia="宋体" w:cs="宋体"/>
          <w:color w:val="000000" w:themeColor="text1"/>
          <w:sz w:val="24"/>
          <w:highlight w:val="none"/>
          <w:lang w:val="en-US" w:eastAsia="zh-CN"/>
          <w14:textFill>
            <w14:solidFill>
              <w14:schemeClr w14:val="tx1"/>
            </w14:solidFill>
          </w14:textFill>
        </w:rPr>
        <w:t>/成交通知书/</w:t>
      </w:r>
      <w:r>
        <w:rPr>
          <w:rFonts w:hint="eastAsia" w:ascii="宋体" w:hAnsi="宋体" w:eastAsia="宋体" w:cs="宋体"/>
          <w:color w:val="000000" w:themeColor="text1"/>
          <w:sz w:val="24"/>
          <w:highlight w:val="none"/>
          <w14:textFill>
            <w14:solidFill>
              <w14:schemeClr w14:val="tx1"/>
            </w14:solidFill>
          </w14:textFill>
        </w:rPr>
        <w:t>议价结果公示</w:t>
      </w:r>
      <w:r>
        <w:rPr>
          <w:rFonts w:hint="eastAsia" w:ascii="宋体" w:hAnsi="宋体" w:eastAsia="宋体" w:cs="宋体"/>
          <w:color w:val="000000" w:themeColor="text1"/>
          <w:sz w:val="24"/>
          <w:highlight w:val="none"/>
          <w:lang w:val="en-US" w:eastAsia="zh-CN"/>
          <w14:textFill>
            <w14:solidFill>
              <w14:schemeClr w14:val="tx1"/>
            </w14:solidFill>
          </w14:textFill>
        </w:rPr>
        <w:t>/成交公告</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投标文件</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响应文件；</w:t>
      </w:r>
      <w:r>
        <w:rPr>
          <w:rFonts w:hint="eastAsia" w:ascii="宋体" w:hAnsi="宋体" w:eastAsia="宋体" w:cs="宋体"/>
          <w:color w:val="000000" w:themeColor="text1"/>
          <w:sz w:val="24"/>
          <w:highlight w:val="none"/>
          <w:lang w:eastAsia="zh-CN"/>
          <w14:textFill>
            <w14:solidFill>
              <w14:schemeClr w14:val="tx1"/>
            </w14:solidFill>
          </w14:textFill>
        </w:rPr>
        <w:t>招标文件</w:t>
      </w:r>
      <w:r>
        <w:rPr>
          <w:rFonts w:hint="eastAsia" w:ascii="宋体" w:hAnsi="宋体" w:eastAsia="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采购文件</w:t>
      </w:r>
      <w:r>
        <w:rPr>
          <w:rFonts w:hint="eastAsia" w:ascii="宋体" w:hAnsi="宋体" w:eastAsia="宋体" w:cs="宋体"/>
          <w:color w:val="000000" w:themeColor="text1"/>
          <w:sz w:val="24"/>
          <w:highlight w:val="none"/>
          <w:lang w:val="en-US" w:eastAsia="zh-CN"/>
          <w14:textFill>
            <w14:solidFill>
              <w14:schemeClr w14:val="tx1"/>
            </w14:solidFill>
          </w14:textFill>
        </w:rPr>
        <w:t>/采购需求</w:t>
      </w:r>
      <w:r>
        <w:rPr>
          <w:rFonts w:hint="eastAsia" w:ascii="宋体" w:hAnsi="宋体" w:eastAsia="宋体" w:cs="宋体"/>
          <w:color w:val="000000" w:themeColor="text1"/>
          <w:sz w:val="24"/>
          <w:highlight w:val="none"/>
          <w14:textFill>
            <w14:solidFill>
              <w14:schemeClr w14:val="tx1"/>
            </w14:solidFill>
          </w14:textFill>
        </w:rPr>
        <w:t>；其他与本合同有关的资料。</w:t>
      </w:r>
    </w:p>
    <w:p w14:paraId="157BF3A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4</w:t>
      </w:r>
      <w:r>
        <w:rPr>
          <w:rFonts w:hint="eastAsia" w:ascii="宋体" w:hAnsi="宋体" w:eastAsia="宋体" w:cs="宋体"/>
          <w:color w:val="000000" w:themeColor="text1"/>
          <w:sz w:val="24"/>
          <w:highlight w:val="none"/>
          <w14:textFill>
            <w14:solidFill>
              <w14:schemeClr w14:val="tx1"/>
            </w14:solidFill>
          </w14:textFill>
        </w:rPr>
        <w:t>.</w:t>
      </w:r>
      <w:r>
        <w:rPr>
          <w:rFonts w:hint="eastAsia" w:ascii="宋体" w:hAnsi="宋体" w:eastAsia="宋体" w:cs="宋体"/>
          <w:color w:val="000000" w:themeColor="text1"/>
          <w:sz w:val="24"/>
          <w:highlight w:val="none"/>
          <w:lang w:eastAsia="zh-CN"/>
          <w14:textFill>
            <w14:solidFill>
              <w14:schemeClr w14:val="tx1"/>
            </w14:solidFill>
          </w14:textFill>
        </w:rPr>
        <w:t xml:space="preserve">3 </w:t>
      </w:r>
      <w:r>
        <w:rPr>
          <w:rFonts w:hint="eastAsia" w:ascii="宋体" w:hAnsi="宋体" w:eastAsia="宋体" w:cs="宋体"/>
          <w:color w:val="000000" w:themeColor="text1"/>
          <w:sz w:val="24"/>
          <w:highlight w:val="none"/>
          <w14:textFill>
            <w14:solidFill>
              <w14:schemeClr w14:val="tx1"/>
            </w14:solidFill>
          </w14:textFill>
        </w:rPr>
        <w:t>本合同一式伍份，甲方执肆份、乙方执壹份，自双方签字并盖章</w:t>
      </w:r>
      <w:r>
        <w:rPr>
          <w:rFonts w:hint="eastAsia" w:ascii="宋体" w:hAnsi="宋体" w:eastAsia="宋体" w:cs="宋体"/>
          <w:color w:val="000000" w:themeColor="text1"/>
          <w:sz w:val="24"/>
          <w:highlight w:val="none"/>
          <w:lang w:eastAsia="zh-CN"/>
          <w14:textFill>
            <w14:solidFill>
              <w14:schemeClr w14:val="tx1"/>
            </w14:solidFill>
          </w14:textFill>
        </w:rPr>
        <w:t>后</w:t>
      </w:r>
      <w:r>
        <w:rPr>
          <w:rFonts w:hint="eastAsia" w:ascii="宋体" w:hAnsi="宋体" w:eastAsia="宋体" w:cs="宋体"/>
          <w:color w:val="000000" w:themeColor="text1"/>
          <w:sz w:val="24"/>
          <w:highlight w:val="none"/>
          <w14:textFill>
            <w14:solidFill>
              <w14:schemeClr w14:val="tx1"/>
            </w14:solidFill>
          </w14:textFill>
        </w:rPr>
        <w:t>生效。</w:t>
      </w:r>
    </w:p>
    <w:p w14:paraId="47CB3A15">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宋体" w:cs="宋体"/>
          <w:color w:val="000000" w:themeColor="text1"/>
          <w:sz w:val="24"/>
          <w:highlight w:val="none"/>
          <w14:textFill>
            <w14:solidFill>
              <w14:schemeClr w14:val="tx1"/>
            </w14:solidFill>
          </w14:textFill>
        </w:rPr>
      </w:pPr>
    </w:p>
    <w:p w14:paraId="770591C8">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甲方（盖章）：</w:t>
      </w:r>
      <w:r>
        <w:rPr>
          <w:rFonts w:hint="eastAsia" w:ascii="宋体" w:hAnsi="宋体" w:eastAsia="宋体" w:cs="宋体"/>
          <w:color w:val="000000" w:themeColor="text1"/>
          <w:sz w:val="24"/>
          <w:highlight w:val="none"/>
          <w14:textFill>
            <w14:solidFill>
              <w14:schemeClr w14:val="tx1"/>
            </w14:solidFill>
          </w14:textFill>
        </w:rPr>
        <w:t>娄底市中心医院</w:t>
      </w:r>
      <w:r>
        <w:rPr>
          <w:rFonts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乙方（盖章）</w:t>
      </w:r>
      <w:r>
        <w:rPr>
          <w:rFonts w:hint="eastAsia" w:ascii="宋体" w:hAnsi="宋体" w:eastAsia="宋体" w:cs="宋体"/>
          <w:color w:val="000000" w:themeColor="text1"/>
          <w:sz w:val="24"/>
          <w:highlight w:val="none"/>
          <w14:textFill>
            <w14:solidFill>
              <w14:schemeClr w14:val="tx1"/>
            </w14:solidFill>
          </w14:textFill>
        </w:rPr>
        <w:t>：</w:t>
      </w:r>
    </w:p>
    <w:p w14:paraId="1D3B306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 xml:space="preserve">法定代表人（签字）：        </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 xml:space="preserve">法定代表人（签字）：  </w:t>
      </w:r>
    </w:p>
    <w:p w14:paraId="22DB96AF">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或</w:t>
      </w:r>
      <w:r>
        <w:rPr>
          <w:rFonts w:ascii="宋体" w:hAnsi="宋体" w:eastAsia="宋体" w:cs="宋体"/>
          <w:color w:val="000000" w:themeColor="text1"/>
          <w:sz w:val="24"/>
          <w:highlight w:val="none"/>
          <w14:textFill>
            <w14:solidFill>
              <w14:schemeClr w14:val="tx1"/>
            </w14:solidFill>
          </w14:textFill>
        </w:rPr>
        <w:t xml:space="preserve">委托代理人（签字）：        </w:t>
      </w:r>
      <w:r>
        <w:rPr>
          <w:rFonts w:hint="eastAsia" w:ascii="宋体" w:hAnsi="宋体" w:eastAsia="宋体" w:cs="宋体"/>
          <w:color w:val="000000" w:themeColor="text1"/>
          <w:sz w:val="24"/>
          <w:highlight w:val="none"/>
          <w14:textFill>
            <w14:solidFill>
              <w14:schemeClr w14:val="tx1"/>
            </w14:solidFill>
          </w14:textFill>
        </w:rPr>
        <w:t xml:space="preserve">      或</w:t>
      </w:r>
      <w:r>
        <w:rPr>
          <w:rFonts w:ascii="宋体" w:hAnsi="宋体" w:eastAsia="宋体" w:cs="宋体"/>
          <w:color w:val="000000" w:themeColor="text1"/>
          <w:sz w:val="24"/>
          <w:highlight w:val="none"/>
          <w14:textFill>
            <w14:solidFill>
              <w14:schemeClr w14:val="tx1"/>
            </w14:solidFill>
          </w14:textFill>
        </w:rPr>
        <w:t>委托代理人（签字）：</w:t>
      </w:r>
    </w:p>
    <w:p w14:paraId="1DEABAEF">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宋体" w:cs="宋体"/>
          <w:color w:val="000000" w:themeColor="text1"/>
          <w:sz w:val="24"/>
          <w:highlight w:val="none"/>
          <w14:textFill>
            <w14:solidFill>
              <w14:schemeClr w14:val="tx1"/>
            </w14:solidFill>
          </w14:textFill>
        </w:rPr>
      </w:pPr>
      <w:r>
        <w:rPr>
          <w:rFonts w:ascii="宋体" w:hAnsi="宋体" w:eastAsia="宋体" w:cs="宋体"/>
          <w:color w:val="000000" w:themeColor="text1"/>
          <w:sz w:val="24"/>
          <w:highlight w:val="none"/>
          <w14:textFill>
            <w14:solidFill>
              <w14:schemeClr w14:val="tx1"/>
            </w14:solidFill>
          </w14:textFill>
        </w:rPr>
        <w:t>合同签订地</w:t>
      </w:r>
      <w:r>
        <w:rPr>
          <w:rFonts w:hint="eastAsia" w:ascii="宋体" w:hAnsi="宋体" w:eastAsia="宋体" w:cs="宋体"/>
          <w:color w:val="000000" w:themeColor="text1"/>
          <w:sz w:val="24"/>
          <w:highlight w:val="none"/>
          <w14:textFill>
            <w14:solidFill>
              <w14:schemeClr w14:val="tx1"/>
            </w14:solidFill>
          </w14:textFill>
        </w:rPr>
        <w:t>履行地</w:t>
      </w:r>
      <w:r>
        <w:rPr>
          <w:rFonts w:ascii="宋体" w:hAnsi="宋体" w:eastAsia="宋体" w:cs="宋体"/>
          <w:color w:val="000000" w:themeColor="text1"/>
          <w:sz w:val="24"/>
          <w:highlight w:val="none"/>
          <w14:textFill>
            <w14:solidFill>
              <w14:schemeClr w14:val="tx1"/>
            </w14:solidFill>
          </w14:textFill>
        </w:rPr>
        <w:t xml:space="preserve">：娄底市娄星区 </w:t>
      </w:r>
      <w:r>
        <w:rPr>
          <w:rFonts w:hint="eastAsia" w:ascii="宋体" w:hAnsi="宋体" w:eastAsia="宋体" w:cs="宋体"/>
          <w:color w:val="000000" w:themeColor="text1"/>
          <w:sz w:val="24"/>
          <w:highlight w:val="none"/>
          <w14:textFill>
            <w14:solidFill>
              <w14:schemeClr w14:val="tx1"/>
            </w14:solidFill>
          </w14:textFill>
        </w:rPr>
        <w:t xml:space="preserve">    </w:t>
      </w:r>
      <w:r>
        <w:rPr>
          <w:rFonts w:hint="eastAsia" w:ascii="宋体" w:hAnsi="宋体" w:eastAsia="宋体" w:cs="宋体"/>
          <w:color w:val="000000" w:themeColor="text1"/>
          <w:sz w:val="24"/>
          <w:highlight w:val="none"/>
          <w:lang w:val="en-US" w:eastAsia="zh-CN"/>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签订时间：</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年</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月</w:t>
      </w:r>
      <w:r>
        <w:rPr>
          <w:rFonts w:hint="eastAsia" w:ascii="宋体" w:hAnsi="宋体" w:eastAsia="宋体" w:cs="宋体"/>
          <w:color w:val="000000" w:themeColor="text1"/>
          <w:sz w:val="24"/>
          <w:highlight w:val="none"/>
          <w14:textFill>
            <w14:solidFill>
              <w14:schemeClr w14:val="tx1"/>
            </w14:solidFill>
          </w14:textFill>
        </w:rPr>
        <w:t xml:space="preserve">     </w:t>
      </w:r>
      <w:r>
        <w:rPr>
          <w:rFonts w:ascii="宋体" w:hAnsi="宋体" w:eastAsia="宋体" w:cs="宋体"/>
          <w:color w:val="000000" w:themeColor="text1"/>
          <w:sz w:val="24"/>
          <w:highlight w:val="none"/>
          <w14:textFill>
            <w14:solidFill>
              <w14:schemeClr w14:val="tx1"/>
            </w14:solidFill>
          </w14:textFill>
        </w:rPr>
        <w:t>日</w:t>
      </w:r>
    </w:p>
    <w:p w14:paraId="0FE050D1">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宋体" w:cs="宋体"/>
          <w:color w:val="000000" w:themeColor="text1"/>
          <w:sz w:val="24"/>
          <w:highlight w:val="none"/>
          <w14:textFill>
            <w14:solidFill>
              <w14:schemeClr w14:val="tx1"/>
            </w14:solidFill>
          </w14:textFill>
        </w:rPr>
      </w:pPr>
    </w:p>
    <w:p w14:paraId="5A29BD3B">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宋体" w:cs="宋体"/>
          <w:color w:val="000000" w:themeColor="text1"/>
          <w:sz w:val="24"/>
          <w:highlight w:val="none"/>
          <w14:textFill>
            <w14:solidFill>
              <w14:schemeClr w14:val="tx1"/>
            </w14:solidFill>
          </w14:textFill>
        </w:rPr>
      </w:pPr>
    </w:p>
    <w:p w14:paraId="212286B3">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p>
    <w:p w14:paraId="74B5D8D8">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3B3F229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drawing>
          <wp:inline distT="0" distB="0" distL="114300" distR="114300">
            <wp:extent cx="5682615" cy="8084185"/>
            <wp:effectExtent l="0" t="0" r="13335" b="1206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8"/>
                    <a:stretch>
                      <a:fillRect/>
                    </a:stretch>
                  </pic:blipFill>
                  <pic:spPr>
                    <a:xfrm>
                      <a:off x="0" y="0"/>
                      <a:ext cx="5682615" cy="8084185"/>
                    </a:xfrm>
                    <a:prstGeom prst="rect">
                      <a:avLst/>
                    </a:prstGeom>
                  </pic:spPr>
                </pic:pic>
              </a:graphicData>
            </a:graphic>
          </wp:inline>
        </w:drawing>
      </w:r>
      <w:r>
        <w:rPr>
          <w:rFonts w:hint="default" w:ascii="宋体" w:hAnsi="宋体" w:eastAsia="宋体" w:cs="宋体"/>
          <w:color w:val="auto"/>
          <w:sz w:val="24"/>
          <w:szCs w:val="24"/>
          <w:lang w:val="en-US" w:eastAsia="zh-CN"/>
        </w:rPr>
        <w:drawing>
          <wp:inline distT="0" distB="0" distL="114300" distR="114300">
            <wp:extent cx="5906135" cy="8448675"/>
            <wp:effectExtent l="0" t="0" r="18415" b="9525"/>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9"/>
                    <a:stretch>
                      <a:fillRect/>
                    </a:stretch>
                  </pic:blipFill>
                  <pic:spPr>
                    <a:xfrm>
                      <a:off x="0" y="0"/>
                      <a:ext cx="5906135" cy="8448675"/>
                    </a:xfrm>
                    <a:prstGeom prst="rect">
                      <a:avLst/>
                    </a:prstGeom>
                  </pic:spPr>
                </pic:pic>
              </a:graphicData>
            </a:graphic>
          </wp:inline>
        </w:drawing>
      </w:r>
      <w:r>
        <w:rPr>
          <w:rFonts w:hint="default" w:ascii="宋体" w:hAnsi="宋体" w:eastAsia="宋体" w:cs="宋体"/>
          <w:color w:val="auto"/>
          <w:sz w:val="24"/>
          <w:szCs w:val="24"/>
          <w:lang w:val="en-US" w:eastAsia="zh-CN"/>
        </w:rPr>
        <w:drawing>
          <wp:inline distT="0" distB="0" distL="114300" distR="114300">
            <wp:extent cx="5897880" cy="8319135"/>
            <wp:effectExtent l="0" t="0" r="7620" b="5715"/>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0"/>
                    <a:stretch>
                      <a:fillRect/>
                    </a:stretch>
                  </pic:blipFill>
                  <pic:spPr>
                    <a:xfrm>
                      <a:off x="0" y="0"/>
                      <a:ext cx="5897880" cy="8319135"/>
                    </a:xfrm>
                    <a:prstGeom prst="rect">
                      <a:avLst/>
                    </a:prstGeom>
                  </pic:spPr>
                </pic:pic>
              </a:graphicData>
            </a:graphic>
          </wp:inline>
        </w:drawing>
      </w:r>
      <w:r>
        <w:rPr>
          <w:rFonts w:hint="default" w:ascii="宋体" w:hAnsi="宋体" w:eastAsia="宋体" w:cs="宋体"/>
          <w:color w:val="auto"/>
          <w:sz w:val="24"/>
          <w:szCs w:val="24"/>
          <w:lang w:val="en-US" w:eastAsia="zh-CN"/>
        </w:rPr>
        <w:drawing>
          <wp:inline distT="0" distB="0" distL="114300" distR="114300">
            <wp:extent cx="5936615" cy="8377555"/>
            <wp:effectExtent l="0" t="0" r="6985" b="4445"/>
            <wp:docPr id="9" name="图片 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
                    <pic:cNvPicPr>
                      <a:picLocks noChangeAspect="1"/>
                    </pic:cNvPicPr>
                  </pic:nvPicPr>
                  <pic:blipFill>
                    <a:blip r:embed="rId11"/>
                    <a:stretch>
                      <a:fillRect/>
                    </a:stretch>
                  </pic:blipFill>
                  <pic:spPr>
                    <a:xfrm>
                      <a:off x="0" y="0"/>
                      <a:ext cx="5936615" cy="8377555"/>
                    </a:xfrm>
                    <a:prstGeom prst="rect">
                      <a:avLst/>
                    </a:prstGeom>
                  </pic:spPr>
                </pic:pic>
              </a:graphicData>
            </a:graphic>
          </wp:inline>
        </w:drawing>
      </w:r>
    </w:p>
    <w:p w14:paraId="71A45D00">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14:paraId="3C23EC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cs="宋体"/>
          <w:color w:val="auto"/>
          <w:sz w:val="44"/>
          <w:szCs w:val="44"/>
          <w:lang w:val="en-US" w:eastAsia="zh-CN"/>
        </w:rPr>
      </w:pPr>
      <w:r>
        <w:rPr>
          <w:rFonts w:hint="eastAsia" w:ascii="宋体" w:hAnsi="宋体" w:cs="宋体"/>
          <w:color w:val="auto"/>
          <w:sz w:val="44"/>
          <w:szCs w:val="44"/>
          <w:lang w:val="en-US" w:eastAsia="zh-CN"/>
        </w:rPr>
        <w:t>第三章</w:t>
      </w:r>
      <w:bookmarkStart w:id="1" w:name="_Toc16523573"/>
      <w:r>
        <w:rPr>
          <w:rFonts w:hint="eastAsia" w:ascii="宋体" w:hAnsi="宋体" w:cs="宋体"/>
          <w:color w:val="auto"/>
          <w:sz w:val="44"/>
          <w:szCs w:val="44"/>
          <w:lang w:val="en-US" w:eastAsia="zh-CN"/>
        </w:rPr>
        <w:t>评标方法及标准</w:t>
      </w:r>
      <w:bookmarkEnd w:id="1"/>
    </w:p>
    <w:p w14:paraId="418C8329">
      <w:pPr>
        <w:jc w:val="center"/>
        <w:rPr>
          <w:rFonts w:hint="eastAsia" w:ascii="仿宋" w:hAnsi="仿宋" w:eastAsia="仿宋" w:cs="仿宋"/>
          <w:sz w:val="24"/>
          <w:szCs w:val="24"/>
        </w:rPr>
      </w:pPr>
      <w:r>
        <w:rPr>
          <w:rFonts w:hint="eastAsia" w:ascii="仿宋" w:hAnsi="仿宋" w:eastAsia="仿宋" w:cs="仿宋"/>
          <w:sz w:val="24"/>
          <w:szCs w:val="24"/>
        </w:rPr>
        <w:t>本采购项目的权值见下表</w:t>
      </w:r>
    </w:p>
    <w:tbl>
      <w:tblPr>
        <w:tblStyle w:val="10"/>
        <w:tblW w:w="886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4"/>
        <w:gridCol w:w="4705"/>
        <w:gridCol w:w="3439"/>
      </w:tblGrid>
      <w:tr w14:paraId="0EA25A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9" w:hRule="exact"/>
          <w:jc w:val="center"/>
        </w:trPr>
        <w:tc>
          <w:tcPr>
            <w:tcW w:w="724" w:type="dxa"/>
            <w:tcBorders>
              <w:top w:val="double" w:color="auto" w:sz="4" w:space="0"/>
              <w:left w:val="double" w:color="auto" w:sz="4" w:space="0"/>
              <w:bottom w:val="single" w:color="auto" w:sz="6" w:space="0"/>
              <w:right w:val="single" w:color="auto" w:sz="6" w:space="0"/>
            </w:tcBorders>
            <w:noWrap w:val="0"/>
            <w:vAlign w:val="center"/>
          </w:tcPr>
          <w:p w14:paraId="0E14E99C">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序号</w:t>
            </w:r>
          </w:p>
        </w:tc>
        <w:tc>
          <w:tcPr>
            <w:tcW w:w="4705" w:type="dxa"/>
            <w:tcBorders>
              <w:top w:val="double" w:color="auto" w:sz="4" w:space="0"/>
              <w:left w:val="single" w:color="auto" w:sz="6" w:space="0"/>
              <w:bottom w:val="single" w:color="auto" w:sz="6" w:space="0"/>
              <w:right w:val="single" w:color="auto" w:sz="6" w:space="0"/>
            </w:tcBorders>
            <w:noWrap w:val="0"/>
            <w:vAlign w:val="center"/>
          </w:tcPr>
          <w:p w14:paraId="05A29BD8">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项     目</w:t>
            </w:r>
          </w:p>
        </w:tc>
        <w:tc>
          <w:tcPr>
            <w:tcW w:w="3439" w:type="dxa"/>
            <w:tcBorders>
              <w:top w:val="double" w:color="auto" w:sz="4" w:space="0"/>
              <w:left w:val="single" w:color="auto" w:sz="6" w:space="0"/>
              <w:bottom w:val="single" w:color="auto" w:sz="6" w:space="0"/>
              <w:right w:val="double" w:color="auto" w:sz="4" w:space="0"/>
            </w:tcBorders>
            <w:noWrap w:val="0"/>
            <w:vAlign w:val="center"/>
          </w:tcPr>
          <w:p w14:paraId="0ED45F08">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权值的取值</w:t>
            </w:r>
          </w:p>
        </w:tc>
      </w:tr>
      <w:tr w14:paraId="117852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724" w:type="dxa"/>
            <w:tcBorders>
              <w:top w:val="single" w:color="auto" w:sz="6" w:space="0"/>
              <w:left w:val="double" w:color="auto" w:sz="4" w:space="0"/>
              <w:bottom w:val="single" w:color="auto" w:sz="6" w:space="0"/>
              <w:right w:val="single" w:color="auto" w:sz="6" w:space="0"/>
            </w:tcBorders>
            <w:noWrap w:val="0"/>
            <w:vAlign w:val="center"/>
          </w:tcPr>
          <w:p w14:paraId="4412CD0E">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1</w:t>
            </w:r>
          </w:p>
        </w:tc>
        <w:tc>
          <w:tcPr>
            <w:tcW w:w="4705" w:type="dxa"/>
            <w:tcBorders>
              <w:top w:val="single" w:color="auto" w:sz="6" w:space="0"/>
              <w:left w:val="single" w:color="auto" w:sz="6" w:space="0"/>
              <w:bottom w:val="single" w:color="auto" w:sz="6" w:space="0"/>
              <w:right w:val="single" w:color="auto" w:sz="6" w:space="0"/>
            </w:tcBorders>
            <w:noWrap w:val="0"/>
            <w:vAlign w:val="center"/>
          </w:tcPr>
          <w:p w14:paraId="3BEA03D7">
            <w:pPr>
              <w:jc w:val="center"/>
              <w:rPr>
                <w:rFonts w:hint="eastAsia" w:ascii="仿宋" w:hAnsi="仿宋" w:eastAsia="仿宋" w:cs="仿宋"/>
                <w:sz w:val="24"/>
                <w:szCs w:val="24"/>
                <w:lang w:val="ru-RU"/>
              </w:rPr>
            </w:pPr>
            <w:r>
              <w:rPr>
                <w:rFonts w:hint="eastAsia" w:ascii="仿宋" w:hAnsi="仿宋" w:eastAsia="仿宋" w:cs="仿宋"/>
                <w:sz w:val="24"/>
                <w:szCs w:val="24"/>
                <w:lang w:val="ru-RU" w:eastAsia="ru-RU"/>
              </w:rPr>
              <w:t>报价</w:t>
            </w:r>
            <w:r>
              <w:rPr>
                <w:rFonts w:hint="eastAsia" w:ascii="仿宋" w:hAnsi="仿宋" w:eastAsia="仿宋" w:cs="仿宋"/>
                <w:sz w:val="24"/>
                <w:szCs w:val="24"/>
                <w:lang w:val="ru-RU"/>
              </w:rPr>
              <w:t>（A1）</w:t>
            </w:r>
          </w:p>
        </w:tc>
        <w:tc>
          <w:tcPr>
            <w:tcW w:w="3439" w:type="dxa"/>
            <w:tcBorders>
              <w:top w:val="single" w:color="auto" w:sz="6" w:space="0"/>
              <w:left w:val="single" w:color="auto" w:sz="6" w:space="0"/>
              <w:bottom w:val="single" w:color="auto" w:sz="6" w:space="0"/>
              <w:right w:val="double" w:color="auto" w:sz="4" w:space="0"/>
            </w:tcBorders>
            <w:noWrap w:val="0"/>
            <w:vAlign w:val="center"/>
          </w:tcPr>
          <w:p w14:paraId="38429E02">
            <w:pPr>
              <w:jc w:val="center"/>
              <w:rPr>
                <w:rFonts w:hint="eastAsia" w:ascii="仿宋" w:hAnsi="仿宋" w:eastAsia="仿宋" w:cs="仿宋"/>
                <w:sz w:val="24"/>
                <w:szCs w:val="24"/>
              </w:rPr>
            </w:pPr>
            <w:r>
              <w:rPr>
                <w:rFonts w:hint="eastAsia" w:ascii="仿宋" w:hAnsi="仿宋" w:eastAsia="仿宋" w:cs="仿宋"/>
                <w:sz w:val="24"/>
                <w:szCs w:val="24"/>
              </w:rPr>
              <w:t>50%</w:t>
            </w:r>
          </w:p>
        </w:tc>
      </w:tr>
      <w:tr w14:paraId="5FE69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24" w:type="dxa"/>
            <w:tcBorders>
              <w:top w:val="single" w:color="auto" w:sz="6" w:space="0"/>
              <w:left w:val="double" w:color="auto" w:sz="4" w:space="0"/>
              <w:bottom w:val="single" w:color="auto" w:sz="6" w:space="0"/>
              <w:right w:val="single" w:color="auto" w:sz="6" w:space="0"/>
            </w:tcBorders>
            <w:noWrap w:val="0"/>
            <w:vAlign w:val="center"/>
          </w:tcPr>
          <w:p w14:paraId="3013483A">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2</w:t>
            </w:r>
          </w:p>
        </w:tc>
        <w:tc>
          <w:tcPr>
            <w:tcW w:w="4705" w:type="dxa"/>
            <w:tcBorders>
              <w:top w:val="single" w:color="auto" w:sz="6" w:space="0"/>
              <w:left w:val="single" w:color="auto" w:sz="6" w:space="0"/>
              <w:bottom w:val="single" w:color="auto" w:sz="6" w:space="0"/>
              <w:right w:val="single" w:color="auto" w:sz="6" w:space="0"/>
            </w:tcBorders>
            <w:noWrap w:val="0"/>
            <w:vAlign w:val="center"/>
          </w:tcPr>
          <w:p w14:paraId="05036993">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技术</w:t>
            </w:r>
            <w:r>
              <w:rPr>
                <w:rFonts w:hint="eastAsia" w:ascii="仿宋" w:hAnsi="仿宋" w:eastAsia="仿宋" w:cs="仿宋"/>
                <w:sz w:val="24"/>
                <w:szCs w:val="24"/>
                <w:lang w:val="ru-RU"/>
              </w:rPr>
              <w:t>（A2）</w:t>
            </w:r>
          </w:p>
        </w:tc>
        <w:tc>
          <w:tcPr>
            <w:tcW w:w="3439" w:type="dxa"/>
            <w:tcBorders>
              <w:top w:val="single" w:color="auto" w:sz="6" w:space="0"/>
              <w:left w:val="single" w:color="auto" w:sz="6" w:space="0"/>
              <w:bottom w:val="single" w:color="auto" w:sz="6" w:space="0"/>
              <w:right w:val="double" w:color="auto" w:sz="4" w:space="0"/>
            </w:tcBorders>
            <w:noWrap w:val="0"/>
            <w:vAlign w:val="center"/>
          </w:tcPr>
          <w:p w14:paraId="314324F9">
            <w:pPr>
              <w:jc w:val="center"/>
              <w:rPr>
                <w:rFonts w:hint="eastAsia" w:ascii="仿宋" w:hAnsi="仿宋" w:eastAsia="仿宋" w:cs="仿宋"/>
                <w:sz w:val="24"/>
                <w:szCs w:val="24"/>
              </w:rPr>
            </w:pPr>
            <w:r>
              <w:rPr>
                <w:rFonts w:hint="eastAsia" w:ascii="仿宋" w:hAnsi="仿宋" w:eastAsia="仿宋" w:cs="仿宋"/>
                <w:sz w:val="24"/>
                <w:szCs w:val="24"/>
              </w:rPr>
              <w:t>40%</w:t>
            </w:r>
          </w:p>
        </w:tc>
      </w:tr>
      <w:tr w14:paraId="283CC3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724" w:type="dxa"/>
            <w:tcBorders>
              <w:top w:val="single" w:color="auto" w:sz="6" w:space="0"/>
              <w:left w:val="double" w:color="auto" w:sz="4" w:space="0"/>
              <w:bottom w:val="single" w:color="auto" w:sz="6" w:space="0"/>
              <w:right w:val="single" w:color="auto" w:sz="6" w:space="0"/>
            </w:tcBorders>
            <w:noWrap w:val="0"/>
            <w:vAlign w:val="center"/>
          </w:tcPr>
          <w:p w14:paraId="3A99A676">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eastAsia="ru-RU"/>
              </w:rPr>
              <w:t>3</w:t>
            </w:r>
          </w:p>
        </w:tc>
        <w:tc>
          <w:tcPr>
            <w:tcW w:w="4705" w:type="dxa"/>
            <w:tcBorders>
              <w:top w:val="single" w:color="auto" w:sz="6" w:space="0"/>
              <w:left w:val="single" w:color="auto" w:sz="6" w:space="0"/>
              <w:bottom w:val="single" w:color="auto" w:sz="6" w:space="0"/>
              <w:right w:val="single" w:color="auto" w:sz="6" w:space="0"/>
            </w:tcBorders>
            <w:noWrap w:val="0"/>
            <w:vAlign w:val="center"/>
          </w:tcPr>
          <w:p w14:paraId="10F05707">
            <w:pPr>
              <w:jc w:val="center"/>
              <w:rPr>
                <w:rFonts w:hint="eastAsia" w:ascii="仿宋" w:hAnsi="仿宋" w:eastAsia="仿宋" w:cs="仿宋"/>
                <w:sz w:val="24"/>
                <w:szCs w:val="24"/>
                <w:lang w:val="ru-RU"/>
              </w:rPr>
            </w:pPr>
            <w:r>
              <w:rPr>
                <w:rFonts w:hint="eastAsia" w:ascii="仿宋" w:hAnsi="仿宋" w:eastAsia="仿宋" w:cs="仿宋"/>
                <w:sz w:val="24"/>
                <w:szCs w:val="24"/>
                <w:lang w:val="ru-RU"/>
              </w:rPr>
              <w:t>商务（A3）</w:t>
            </w:r>
          </w:p>
        </w:tc>
        <w:tc>
          <w:tcPr>
            <w:tcW w:w="3439" w:type="dxa"/>
            <w:tcBorders>
              <w:top w:val="single" w:color="auto" w:sz="6" w:space="0"/>
              <w:left w:val="single" w:color="auto" w:sz="6" w:space="0"/>
              <w:bottom w:val="single" w:color="auto" w:sz="6" w:space="0"/>
              <w:right w:val="double" w:color="auto" w:sz="4" w:space="0"/>
            </w:tcBorders>
            <w:noWrap w:val="0"/>
            <w:vAlign w:val="center"/>
          </w:tcPr>
          <w:p w14:paraId="0779B7C0">
            <w:pPr>
              <w:jc w:val="center"/>
              <w:rPr>
                <w:rFonts w:hint="eastAsia" w:ascii="仿宋" w:hAnsi="仿宋" w:eastAsia="仿宋" w:cs="仿宋"/>
                <w:sz w:val="24"/>
                <w:szCs w:val="24"/>
              </w:rPr>
            </w:pPr>
            <w:r>
              <w:rPr>
                <w:rFonts w:hint="eastAsia" w:ascii="仿宋" w:hAnsi="仿宋" w:eastAsia="仿宋" w:cs="仿宋"/>
                <w:sz w:val="24"/>
                <w:szCs w:val="24"/>
              </w:rPr>
              <w:t>10%</w:t>
            </w:r>
          </w:p>
        </w:tc>
      </w:tr>
      <w:tr w14:paraId="744CD1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8" w:hRule="atLeast"/>
          <w:jc w:val="center"/>
        </w:trPr>
        <w:tc>
          <w:tcPr>
            <w:tcW w:w="5429" w:type="dxa"/>
            <w:gridSpan w:val="2"/>
            <w:tcBorders>
              <w:top w:val="single" w:color="auto" w:sz="6" w:space="0"/>
              <w:left w:val="double" w:color="auto" w:sz="4" w:space="0"/>
              <w:bottom w:val="double" w:color="auto" w:sz="4" w:space="0"/>
              <w:right w:val="single" w:color="auto" w:sz="6" w:space="0"/>
            </w:tcBorders>
            <w:noWrap w:val="0"/>
            <w:vAlign w:val="center"/>
          </w:tcPr>
          <w:p w14:paraId="7E4687BD">
            <w:pPr>
              <w:jc w:val="center"/>
              <w:rPr>
                <w:rFonts w:hint="eastAsia" w:ascii="仿宋" w:hAnsi="仿宋" w:eastAsia="仿宋" w:cs="仿宋"/>
                <w:sz w:val="24"/>
                <w:szCs w:val="24"/>
                <w:lang w:val="ru-RU" w:eastAsia="ru-RU"/>
              </w:rPr>
            </w:pPr>
            <w:r>
              <w:rPr>
                <w:rFonts w:hint="eastAsia" w:ascii="仿宋" w:hAnsi="仿宋" w:eastAsia="仿宋" w:cs="仿宋"/>
                <w:sz w:val="24"/>
                <w:szCs w:val="24"/>
                <w:lang w:val="ru-RU"/>
              </w:rPr>
              <w:t>合计</w:t>
            </w:r>
          </w:p>
        </w:tc>
        <w:tc>
          <w:tcPr>
            <w:tcW w:w="3439" w:type="dxa"/>
            <w:tcBorders>
              <w:top w:val="single" w:color="auto" w:sz="6" w:space="0"/>
              <w:left w:val="single" w:color="auto" w:sz="6" w:space="0"/>
              <w:bottom w:val="double" w:color="auto" w:sz="4" w:space="0"/>
              <w:right w:val="double" w:color="auto" w:sz="4" w:space="0"/>
            </w:tcBorders>
            <w:noWrap w:val="0"/>
            <w:vAlign w:val="center"/>
          </w:tcPr>
          <w:p w14:paraId="20694CF8">
            <w:pPr>
              <w:jc w:val="center"/>
              <w:rPr>
                <w:rFonts w:hint="eastAsia" w:ascii="仿宋" w:hAnsi="仿宋" w:eastAsia="仿宋" w:cs="仿宋"/>
                <w:sz w:val="24"/>
                <w:szCs w:val="24"/>
              </w:rPr>
            </w:pPr>
            <w:r>
              <w:rPr>
                <w:rFonts w:hint="eastAsia" w:ascii="仿宋" w:hAnsi="仿宋" w:eastAsia="仿宋" w:cs="仿宋"/>
                <w:sz w:val="24"/>
                <w:szCs w:val="24"/>
              </w:rPr>
              <w:t>1</w:t>
            </w:r>
          </w:p>
        </w:tc>
      </w:tr>
    </w:tbl>
    <w:p w14:paraId="4FE72B7E">
      <w:pPr>
        <w:jc w:val="center"/>
        <w:rPr>
          <w:rFonts w:hint="eastAsia" w:ascii="仿宋" w:hAnsi="仿宋" w:eastAsia="仿宋" w:cs="仿宋"/>
          <w:sz w:val="24"/>
          <w:szCs w:val="24"/>
        </w:rPr>
      </w:pPr>
      <w:r>
        <w:rPr>
          <w:rFonts w:hint="eastAsia" w:ascii="仿宋" w:hAnsi="仿宋" w:eastAsia="仿宋" w:cs="仿宋"/>
          <w:sz w:val="24"/>
          <w:szCs w:val="24"/>
        </w:rPr>
        <w:t>附表1.1投标报价评审标准表</w:t>
      </w:r>
    </w:p>
    <w:tbl>
      <w:tblPr>
        <w:tblStyle w:val="10"/>
        <w:tblW w:w="891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02"/>
        <w:gridCol w:w="2159"/>
        <w:gridCol w:w="6249"/>
      </w:tblGrid>
      <w:tr w14:paraId="2E5BAB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502" w:type="dxa"/>
            <w:tcBorders>
              <w:top w:val="double" w:color="auto" w:sz="4" w:space="0"/>
              <w:left w:val="double" w:color="auto" w:sz="4" w:space="0"/>
              <w:bottom w:val="single" w:color="auto" w:sz="6" w:space="0"/>
              <w:right w:val="single" w:color="auto" w:sz="4" w:space="0"/>
            </w:tcBorders>
            <w:noWrap w:val="0"/>
            <w:vAlign w:val="center"/>
          </w:tcPr>
          <w:p w14:paraId="03302265">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2159" w:type="dxa"/>
            <w:tcBorders>
              <w:top w:val="double" w:color="auto" w:sz="4" w:space="0"/>
              <w:left w:val="single" w:color="auto" w:sz="4" w:space="0"/>
              <w:bottom w:val="single" w:color="auto" w:sz="6" w:space="0"/>
              <w:right w:val="single" w:color="auto" w:sz="4" w:space="0"/>
            </w:tcBorders>
            <w:noWrap w:val="0"/>
            <w:vAlign w:val="center"/>
          </w:tcPr>
          <w:p w14:paraId="256288D0">
            <w:pPr>
              <w:jc w:val="center"/>
              <w:rPr>
                <w:rFonts w:hint="eastAsia" w:ascii="仿宋" w:hAnsi="仿宋" w:eastAsia="仿宋" w:cs="仿宋"/>
                <w:sz w:val="24"/>
                <w:szCs w:val="24"/>
              </w:rPr>
            </w:pPr>
            <w:r>
              <w:rPr>
                <w:rFonts w:hint="eastAsia" w:ascii="仿宋" w:hAnsi="仿宋" w:eastAsia="仿宋" w:cs="仿宋"/>
                <w:sz w:val="24"/>
                <w:szCs w:val="24"/>
              </w:rPr>
              <w:t>评标因素（分值）</w:t>
            </w:r>
          </w:p>
        </w:tc>
        <w:tc>
          <w:tcPr>
            <w:tcW w:w="6249" w:type="dxa"/>
            <w:tcBorders>
              <w:top w:val="double" w:color="auto" w:sz="4" w:space="0"/>
              <w:left w:val="single" w:color="auto" w:sz="4" w:space="0"/>
              <w:bottom w:val="single" w:color="auto" w:sz="6" w:space="0"/>
              <w:right w:val="double" w:color="auto" w:sz="4" w:space="0"/>
            </w:tcBorders>
            <w:noWrap w:val="0"/>
            <w:vAlign w:val="center"/>
          </w:tcPr>
          <w:p w14:paraId="5F43CEEF">
            <w:pPr>
              <w:jc w:val="center"/>
              <w:rPr>
                <w:rFonts w:hint="eastAsia" w:ascii="仿宋" w:hAnsi="仿宋" w:eastAsia="仿宋" w:cs="仿宋"/>
                <w:sz w:val="24"/>
                <w:szCs w:val="24"/>
              </w:rPr>
            </w:pPr>
            <w:r>
              <w:rPr>
                <w:rFonts w:hint="eastAsia" w:ascii="仿宋" w:hAnsi="仿宋" w:eastAsia="仿宋" w:cs="仿宋"/>
                <w:sz w:val="24"/>
                <w:szCs w:val="24"/>
              </w:rPr>
              <w:t>评标标准</w:t>
            </w:r>
          </w:p>
        </w:tc>
      </w:tr>
      <w:tr w14:paraId="3CB0A2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502" w:type="dxa"/>
            <w:tcBorders>
              <w:top w:val="single" w:color="auto" w:sz="6" w:space="0"/>
              <w:left w:val="double" w:color="auto" w:sz="4" w:space="0"/>
              <w:bottom w:val="single" w:color="auto" w:sz="6" w:space="0"/>
              <w:right w:val="single" w:color="auto" w:sz="4" w:space="0"/>
            </w:tcBorders>
            <w:noWrap w:val="0"/>
            <w:vAlign w:val="center"/>
          </w:tcPr>
          <w:p w14:paraId="22A35888">
            <w:pPr>
              <w:jc w:val="center"/>
              <w:rPr>
                <w:rFonts w:hint="eastAsia" w:ascii="仿宋" w:hAnsi="仿宋" w:eastAsia="仿宋" w:cs="仿宋"/>
                <w:sz w:val="24"/>
                <w:szCs w:val="24"/>
              </w:rPr>
            </w:pPr>
            <w:r>
              <w:rPr>
                <w:rFonts w:hint="eastAsia" w:ascii="仿宋" w:hAnsi="仿宋" w:eastAsia="仿宋" w:cs="仿宋"/>
                <w:sz w:val="24"/>
                <w:szCs w:val="24"/>
              </w:rPr>
              <w:t>1</w:t>
            </w:r>
          </w:p>
        </w:tc>
        <w:tc>
          <w:tcPr>
            <w:tcW w:w="2159" w:type="dxa"/>
            <w:tcBorders>
              <w:top w:val="single" w:color="auto" w:sz="6" w:space="0"/>
              <w:left w:val="single" w:color="auto" w:sz="4" w:space="0"/>
              <w:bottom w:val="single" w:color="auto" w:sz="6" w:space="0"/>
              <w:right w:val="single" w:color="auto" w:sz="4" w:space="0"/>
            </w:tcBorders>
            <w:noWrap w:val="0"/>
            <w:vAlign w:val="center"/>
          </w:tcPr>
          <w:p w14:paraId="6A284B07">
            <w:pPr>
              <w:jc w:val="center"/>
              <w:rPr>
                <w:rFonts w:hint="eastAsia" w:ascii="仿宋" w:hAnsi="仿宋" w:eastAsia="仿宋" w:cs="仿宋"/>
                <w:sz w:val="24"/>
                <w:szCs w:val="24"/>
              </w:rPr>
            </w:pPr>
            <w:r>
              <w:rPr>
                <w:rFonts w:hint="eastAsia" w:ascii="仿宋" w:hAnsi="仿宋" w:eastAsia="仿宋" w:cs="仿宋"/>
                <w:sz w:val="24"/>
                <w:szCs w:val="24"/>
              </w:rPr>
              <w:t>价格评价项</w:t>
            </w:r>
          </w:p>
          <w:p w14:paraId="17A7F1D4">
            <w:pPr>
              <w:jc w:val="center"/>
              <w:rPr>
                <w:rFonts w:hint="eastAsia" w:ascii="仿宋" w:hAnsi="仿宋" w:eastAsia="仿宋" w:cs="仿宋"/>
                <w:sz w:val="24"/>
                <w:szCs w:val="24"/>
              </w:rPr>
            </w:pPr>
            <w:r>
              <w:rPr>
                <w:rFonts w:hint="eastAsia" w:ascii="仿宋" w:hAnsi="仿宋" w:eastAsia="仿宋" w:cs="仿宋"/>
                <w:sz w:val="24"/>
                <w:szCs w:val="24"/>
              </w:rPr>
              <w:t>（F=100分）</w:t>
            </w:r>
          </w:p>
        </w:tc>
        <w:tc>
          <w:tcPr>
            <w:tcW w:w="6249" w:type="dxa"/>
            <w:tcBorders>
              <w:top w:val="single" w:color="auto" w:sz="6" w:space="0"/>
              <w:left w:val="single" w:color="auto" w:sz="4" w:space="0"/>
              <w:bottom w:val="single" w:color="auto" w:sz="6" w:space="0"/>
              <w:right w:val="double" w:color="auto" w:sz="4" w:space="0"/>
            </w:tcBorders>
            <w:noWrap w:val="0"/>
            <w:vAlign w:val="center"/>
          </w:tcPr>
          <w:p w14:paraId="7CE9EB6E">
            <w:pPr>
              <w:jc w:val="left"/>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、满足招标文件要求且投标报价中最低的投标报价为评标基准价其价格分为满分；其他投标人的价格分统一按照以下公式计算：</w:t>
            </w:r>
          </w:p>
          <w:p w14:paraId="37E2DBA0">
            <w:pPr>
              <w:jc w:val="left"/>
              <w:rPr>
                <w:rFonts w:hint="eastAsia" w:ascii="仿宋" w:hAnsi="仿宋" w:eastAsia="仿宋" w:cs="仿宋"/>
                <w:sz w:val="24"/>
                <w:szCs w:val="24"/>
              </w:rPr>
            </w:pPr>
            <w:r>
              <w:rPr>
                <w:rFonts w:hint="eastAsia" w:ascii="仿宋" w:hAnsi="仿宋" w:eastAsia="仿宋" w:cs="仿宋"/>
                <w:sz w:val="24"/>
                <w:szCs w:val="24"/>
              </w:rPr>
              <w:t>投标报价得分=（评标基准价/投标报价）×价格权值×100</w:t>
            </w:r>
          </w:p>
          <w:p w14:paraId="33A29A7D">
            <w:pPr>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7E20A07">
            <w:pPr>
              <w:jc w:val="left"/>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、最终投标价以人民币元为单位，计算保留至小数点后2位（百分比亦然），小数点后第3位采取4舍5入</w:t>
            </w:r>
          </w:p>
        </w:tc>
      </w:tr>
    </w:tbl>
    <w:p w14:paraId="3B5C4888">
      <w:pPr>
        <w:jc w:val="center"/>
        <w:rPr>
          <w:rFonts w:hint="eastAsia" w:ascii="仿宋" w:hAnsi="仿宋" w:eastAsia="仿宋" w:cs="仿宋"/>
          <w:sz w:val="24"/>
          <w:szCs w:val="24"/>
        </w:rPr>
      </w:pPr>
    </w:p>
    <w:p w14:paraId="7F5B6356">
      <w:pPr>
        <w:jc w:val="center"/>
        <w:rPr>
          <w:rFonts w:hint="eastAsia" w:ascii="仿宋" w:hAnsi="仿宋" w:eastAsia="仿宋" w:cs="仿宋"/>
          <w:sz w:val="24"/>
          <w:szCs w:val="24"/>
        </w:rPr>
      </w:pPr>
    </w:p>
    <w:p w14:paraId="1FF95089">
      <w:pPr>
        <w:jc w:val="center"/>
        <w:rPr>
          <w:rFonts w:hint="eastAsia" w:ascii="仿宋" w:hAnsi="仿宋" w:eastAsia="仿宋" w:cs="仿宋"/>
          <w:sz w:val="24"/>
          <w:szCs w:val="24"/>
        </w:rPr>
      </w:pPr>
    </w:p>
    <w:p w14:paraId="48DCF75E">
      <w:pPr>
        <w:jc w:val="center"/>
        <w:rPr>
          <w:rFonts w:hint="eastAsia" w:ascii="仿宋" w:hAnsi="仿宋" w:eastAsia="仿宋" w:cs="仿宋"/>
          <w:sz w:val="24"/>
          <w:szCs w:val="24"/>
        </w:rPr>
      </w:pPr>
    </w:p>
    <w:p w14:paraId="7974162D">
      <w:pPr>
        <w:jc w:val="center"/>
        <w:rPr>
          <w:rFonts w:hint="eastAsia" w:ascii="仿宋" w:hAnsi="仿宋" w:eastAsia="仿宋" w:cs="仿宋"/>
          <w:sz w:val="24"/>
          <w:szCs w:val="24"/>
        </w:rPr>
      </w:pPr>
      <w:r>
        <w:rPr>
          <w:rFonts w:hint="eastAsia" w:ascii="仿宋" w:hAnsi="仿宋" w:eastAsia="仿宋" w:cs="仿宋"/>
          <w:sz w:val="24"/>
          <w:szCs w:val="24"/>
        </w:rPr>
        <w:br w:type="page"/>
      </w:r>
    </w:p>
    <w:p w14:paraId="13A54B08">
      <w:pPr>
        <w:jc w:val="center"/>
        <w:rPr>
          <w:rFonts w:hint="eastAsia" w:ascii="仿宋" w:hAnsi="仿宋" w:eastAsia="仿宋" w:cs="仿宋"/>
          <w:sz w:val="24"/>
          <w:szCs w:val="24"/>
        </w:rPr>
      </w:pPr>
      <w:r>
        <w:rPr>
          <w:rFonts w:hint="eastAsia" w:ascii="仿宋" w:hAnsi="仿宋" w:eastAsia="仿宋" w:cs="仿宋"/>
          <w:sz w:val="24"/>
          <w:szCs w:val="24"/>
        </w:rPr>
        <w:t>附表1.2技术部分评审标准表</w:t>
      </w:r>
    </w:p>
    <w:tbl>
      <w:tblPr>
        <w:tblStyle w:val="10"/>
        <w:tblW w:w="89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03"/>
        <w:gridCol w:w="2160"/>
        <w:gridCol w:w="773"/>
        <w:gridCol w:w="772"/>
        <w:gridCol w:w="4732"/>
      </w:tblGrid>
      <w:tr w14:paraId="25E611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503" w:type="dxa"/>
            <w:tcBorders>
              <w:top w:val="double" w:color="auto" w:sz="4" w:space="0"/>
              <w:left w:val="double" w:color="auto" w:sz="4" w:space="0"/>
              <w:bottom w:val="single" w:color="auto" w:sz="6" w:space="0"/>
              <w:right w:val="single" w:color="auto" w:sz="4" w:space="0"/>
            </w:tcBorders>
            <w:noWrap w:val="0"/>
            <w:vAlign w:val="center"/>
          </w:tcPr>
          <w:p w14:paraId="72ADBDF5">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2160" w:type="dxa"/>
            <w:tcBorders>
              <w:top w:val="double" w:color="auto" w:sz="4" w:space="0"/>
              <w:left w:val="single" w:color="auto" w:sz="4" w:space="0"/>
              <w:bottom w:val="single" w:color="auto" w:sz="6" w:space="0"/>
              <w:right w:val="single" w:color="auto" w:sz="4" w:space="0"/>
            </w:tcBorders>
            <w:noWrap w:val="0"/>
            <w:vAlign w:val="center"/>
          </w:tcPr>
          <w:p w14:paraId="5A86A9F4">
            <w:pPr>
              <w:jc w:val="center"/>
              <w:rPr>
                <w:rFonts w:hint="eastAsia" w:ascii="仿宋" w:hAnsi="仿宋" w:eastAsia="仿宋" w:cs="仿宋"/>
                <w:sz w:val="24"/>
                <w:szCs w:val="24"/>
              </w:rPr>
            </w:pPr>
            <w:r>
              <w:rPr>
                <w:rFonts w:hint="eastAsia" w:ascii="仿宋" w:hAnsi="仿宋" w:eastAsia="仿宋" w:cs="仿宋"/>
                <w:sz w:val="24"/>
                <w:szCs w:val="24"/>
              </w:rPr>
              <w:t>评标因素（分值）</w:t>
            </w:r>
          </w:p>
        </w:tc>
        <w:tc>
          <w:tcPr>
            <w:tcW w:w="6277" w:type="dxa"/>
            <w:gridSpan w:val="3"/>
            <w:tcBorders>
              <w:top w:val="double" w:color="auto" w:sz="4" w:space="0"/>
              <w:left w:val="single" w:color="auto" w:sz="4" w:space="0"/>
              <w:bottom w:val="single" w:color="auto" w:sz="6" w:space="0"/>
              <w:right w:val="double" w:color="auto" w:sz="4" w:space="0"/>
            </w:tcBorders>
            <w:noWrap w:val="0"/>
            <w:vAlign w:val="center"/>
          </w:tcPr>
          <w:p w14:paraId="56C8154D">
            <w:pPr>
              <w:jc w:val="center"/>
              <w:rPr>
                <w:rFonts w:hint="eastAsia" w:ascii="仿宋" w:hAnsi="仿宋" w:eastAsia="仿宋" w:cs="仿宋"/>
                <w:sz w:val="24"/>
                <w:szCs w:val="24"/>
              </w:rPr>
            </w:pPr>
            <w:r>
              <w:rPr>
                <w:rFonts w:hint="eastAsia" w:ascii="仿宋" w:hAnsi="仿宋" w:eastAsia="仿宋" w:cs="仿宋"/>
                <w:sz w:val="24"/>
                <w:szCs w:val="24"/>
              </w:rPr>
              <w:t>评标标准</w:t>
            </w:r>
          </w:p>
        </w:tc>
      </w:tr>
      <w:tr w14:paraId="147B2F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503" w:type="dxa"/>
            <w:tcBorders>
              <w:top w:val="single" w:color="auto" w:sz="6" w:space="0"/>
              <w:left w:val="double" w:color="auto" w:sz="4" w:space="0"/>
              <w:bottom w:val="single" w:color="auto" w:sz="6" w:space="0"/>
              <w:right w:val="single" w:color="auto" w:sz="4" w:space="0"/>
            </w:tcBorders>
            <w:noWrap w:val="0"/>
            <w:vAlign w:val="center"/>
          </w:tcPr>
          <w:p w14:paraId="52D32982">
            <w:pPr>
              <w:jc w:val="center"/>
              <w:rPr>
                <w:rFonts w:hint="eastAsia" w:ascii="仿宋" w:hAnsi="仿宋" w:eastAsia="仿宋" w:cs="仿宋"/>
                <w:sz w:val="24"/>
                <w:szCs w:val="24"/>
              </w:rPr>
            </w:pPr>
            <w:r>
              <w:rPr>
                <w:rFonts w:hint="eastAsia" w:ascii="仿宋" w:hAnsi="仿宋" w:eastAsia="仿宋" w:cs="仿宋"/>
                <w:sz w:val="24"/>
                <w:szCs w:val="24"/>
              </w:rPr>
              <w:t>1</w:t>
            </w:r>
          </w:p>
        </w:tc>
        <w:tc>
          <w:tcPr>
            <w:tcW w:w="2160" w:type="dxa"/>
            <w:tcBorders>
              <w:top w:val="single" w:color="auto" w:sz="6" w:space="0"/>
              <w:left w:val="single" w:color="auto" w:sz="4" w:space="0"/>
              <w:bottom w:val="single" w:color="auto" w:sz="6" w:space="0"/>
              <w:right w:val="single" w:color="auto" w:sz="6" w:space="0"/>
            </w:tcBorders>
            <w:noWrap w:val="0"/>
            <w:vAlign w:val="center"/>
          </w:tcPr>
          <w:p w14:paraId="5B939C53">
            <w:pPr>
              <w:jc w:val="center"/>
              <w:rPr>
                <w:rFonts w:hint="eastAsia" w:ascii="仿宋" w:hAnsi="仿宋" w:eastAsia="仿宋" w:cs="仿宋"/>
                <w:sz w:val="24"/>
                <w:szCs w:val="24"/>
              </w:rPr>
            </w:pPr>
            <w:r>
              <w:rPr>
                <w:rFonts w:hint="eastAsia" w:ascii="仿宋" w:hAnsi="仿宋" w:eastAsia="仿宋" w:cs="仿宋"/>
                <w:sz w:val="24"/>
                <w:szCs w:val="24"/>
              </w:rPr>
              <w:t>技术评价项</w:t>
            </w:r>
          </w:p>
          <w:p w14:paraId="1AAB31A8">
            <w:pPr>
              <w:jc w:val="center"/>
              <w:rPr>
                <w:rFonts w:hint="eastAsia" w:ascii="仿宋" w:hAnsi="仿宋" w:eastAsia="仿宋" w:cs="仿宋"/>
                <w:sz w:val="24"/>
                <w:szCs w:val="24"/>
              </w:rPr>
            </w:pPr>
            <w:r>
              <w:rPr>
                <w:rFonts w:hint="eastAsia" w:ascii="仿宋" w:hAnsi="仿宋" w:eastAsia="仿宋" w:cs="仿宋"/>
                <w:sz w:val="24"/>
                <w:szCs w:val="24"/>
              </w:rPr>
              <w:t>（F=100分）</w:t>
            </w:r>
          </w:p>
        </w:tc>
        <w:tc>
          <w:tcPr>
            <w:tcW w:w="773" w:type="dxa"/>
            <w:tcBorders>
              <w:top w:val="single" w:color="auto" w:sz="6" w:space="0"/>
              <w:left w:val="single" w:color="auto" w:sz="6" w:space="0"/>
              <w:bottom w:val="single" w:color="auto" w:sz="6" w:space="0"/>
              <w:right w:val="single" w:color="auto" w:sz="4" w:space="0"/>
            </w:tcBorders>
            <w:noWrap w:val="0"/>
            <w:vAlign w:val="center"/>
          </w:tcPr>
          <w:p w14:paraId="7EB723E0">
            <w:pPr>
              <w:jc w:val="center"/>
              <w:rPr>
                <w:rFonts w:hint="eastAsia" w:ascii="仿宋" w:hAnsi="仿宋" w:eastAsia="仿宋" w:cs="仿宋"/>
                <w:sz w:val="24"/>
                <w:szCs w:val="24"/>
              </w:rPr>
            </w:pPr>
            <w:r>
              <w:rPr>
                <w:rFonts w:hint="eastAsia" w:ascii="仿宋" w:hAnsi="仿宋" w:eastAsia="仿宋" w:cs="仿宋"/>
                <w:sz w:val="24"/>
                <w:szCs w:val="24"/>
              </w:rPr>
              <w:t>技术参数</w:t>
            </w:r>
          </w:p>
        </w:tc>
        <w:tc>
          <w:tcPr>
            <w:tcW w:w="772" w:type="dxa"/>
            <w:tcBorders>
              <w:top w:val="single" w:color="auto" w:sz="6" w:space="0"/>
              <w:left w:val="single" w:color="auto" w:sz="4" w:space="0"/>
              <w:bottom w:val="single" w:color="auto" w:sz="6" w:space="0"/>
              <w:right w:val="single" w:color="auto" w:sz="6" w:space="0"/>
            </w:tcBorders>
            <w:noWrap w:val="0"/>
            <w:vAlign w:val="center"/>
          </w:tcPr>
          <w:p w14:paraId="1391048C">
            <w:pPr>
              <w:jc w:val="center"/>
              <w:rPr>
                <w:rFonts w:hint="eastAsia" w:ascii="仿宋" w:hAnsi="仿宋" w:eastAsia="仿宋" w:cs="仿宋"/>
                <w:sz w:val="24"/>
                <w:szCs w:val="24"/>
              </w:rPr>
            </w:pPr>
            <w:r>
              <w:rPr>
                <w:rFonts w:hint="eastAsia" w:ascii="仿宋" w:hAnsi="仿宋" w:eastAsia="仿宋" w:cs="仿宋"/>
                <w:sz w:val="24"/>
                <w:szCs w:val="24"/>
              </w:rPr>
              <w:t>100</w:t>
            </w:r>
          </w:p>
        </w:tc>
        <w:tc>
          <w:tcPr>
            <w:tcW w:w="4732" w:type="dxa"/>
            <w:tcBorders>
              <w:top w:val="single" w:color="auto" w:sz="6" w:space="0"/>
              <w:left w:val="single" w:color="auto" w:sz="6" w:space="0"/>
              <w:bottom w:val="single" w:color="auto" w:sz="6" w:space="0"/>
              <w:right w:val="double" w:color="auto" w:sz="4" w:space="0"/>
            </w:tcBorders>
            <w:noWrap w:val="0"/>
            <w:vAlign w:val="center"/>
          </w:tcPr>
          <w:p w14:paraId="0E688C5A">
            <w:pPr>
              <w:jc w:val="left"/>
              <w:rPr>
                <w:rFonts w:hint="eastAsia" w:ascii="仿宋" w:hAnsi="仿宋" w:eastAsia="仿宋" w:cs="仿宋"/>
                <w:sz w:val="24"/>
                <w:szCs w:val="24"/>
              </w:rPr>
            </w:pPr>
            <w:r>
              <w:rPr>
                <w:rFonts w:hint="eastAsia" w:ascii="仿宋" w:hAnsi="仿宋" w:eastAsia="仿宋" w:cs="仿宋"/>
                <w:sz w:val="24"/>
                <w:szCs w:val="24"/>
              </w:rPr>
              <w:t>投标文件无技术条款响应/偏离表的本项计0分；</w:t>
            </w:r>
          </w:p>
          <w:p w14:paraId="1184F738">
            <w:pPr>
              <w:jc w:val="left"/>
              <w:rPr>
                <w:rFonts w:hint="eastAsia" w:ascii="仿宋" w:hAnsi="仿宋" w:eastAsia="仿宋" w:cs="仿宋"/>
                <w:sz w:val="24"/>
                <w:szCs w:val="24"/>
              </w:rPr>
            </w:pPr>
            <w:r>
              <w:rPr>
                <w:rFonts w:hint="eastAsia" w:ascii="仿宋" w:hAnsi="仿宋" w:eastAsia="仿宋" w:cs="仿宋"/>
                <w:sz w:val="24"/>
                <w:szCs w:val="24"/>
              </w:rPr>
              <w:t>1、技术参数满足招标文件要求无负偏离的本项计100分；</w:t>
            </w:r>
          </w:p>
          <w:p w14:paraId="1EFBD485">
            <w:pPr>
              <w:jc w:val="left"/>
              <w:rPr>
                <w:rFonts w:hint="eastAsia" w:ascii="仿宋" w:hAnsi="仿宋" w:eastAsia="仿宋" w:cs="仿宋"/>
                <w:sz w:val="24"/>
                <w:szCs w:val="24"/>
              </w:rPr>
            </w:pPr>
            <w:r>
              <w:rPr>
                <w:rFonts w:hint="eastAsia" w:ascii="仿宋" w:hAnsi="仿宋" w:eastAsia="仿宋" w:cs="仿宋"/>
                <w:sz w:val="24"/>
                <w:szCs w:val="24"/>
              </w:rPr>
              <w:t>2、标注“▲”的参数为重要参数，每一项负偏离或缺漏扣10分；</w:t>
            </w:r>
          </w:p>
          <w:p w14:paraId="4669E978">
            <w:pPr>
              <w:jc w:val="left"/>
              <w:rPr>
                <w:rFonts w:hint="eastAsia" w:ascii="仿宋" w:hAnsi="仿宋" w:eastAsia="仿宋" w:cs="仿宋"/>
                <w:sz w:val="24"/>
                <w:szCs w:val="24"/>
              </w:rPr>
            </w:pPr>
            <w:r>
              <w:rPr>
                <w:rFonts w:hint="eastAsia" w:ascii="仿宋" w:hAnsi="仿宋" w:eastAsia="仿宋" w:cs="仿宋"/>
                <w:sz w:val="24"/>
                <w:szCs w:val="24"/>
              </w:rPr>
              <w:t>3、一般技术参数（即非“★”非“▲”号参数）存在负偏离，每条负偏离扣6分。</w:t>
            </w:r>
          </w:p>
          <w:p w14:paraId="01970AF9">
            <w:pPr>
              <w:jc w:val="left"/>
              <w:rPr>
                <w:rFonts w:hint="eastAsia" w:ascii="仿宋" w:hAnsi="仿宋" w:eastAsia="仿宋" w:cs="仿宋"/>
                <w:sz w:val="24"/>
                <w:szCs w:val="24"/>
              </w:rPr>
            </w:pPr>
            <w:r>
              <w:rPr>
                <w:rFonts w:hint="eastAsia" w:ascii="仿宋" w:hAnsi="仿宋" w:eastAsia="仿宋" w:cs="仿宋"/>
                <w:sz w:val="24"/>
                <w:szCs w:val="24"/>
              </w:rPr>
              <w:t>（注：标注“▲”技术参数以及技术规格中要求该项参数提供有关证明文件的一般参数，投标人应提供证明材料，包括但不限于技术白皮书、产品彩页、检测报告等形式。如无相关证明文件或相关证明文件不完整，则按相应负偏离计算；此项只做评分因素，不做废标条件</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eastAsia="zh-CN"/>
              </w:rPr>
              <w:t>为实质性条款，任何一条负偏离视为无效投标</w:t>
            </w:r>
            <w:r>
              <w:rPr>
                <w:rFonts w:hint="eastAsia" w:ascii="仿宋" w:hAnsi="仿宋" w:eastAsia="仿宋" w:cs="仿宋"/>
                <w:sz w:val="24"/>
                <w:szCs w:val="24"/>
              </w:rPr>
              <w:t>）</w:t>
            </w:r>
          </w:p>
        </w:tc>
      </w:tr>
    </w:tbl>
    <w:p w14:paraId="02AEE61F">
      <w:pPr>
        <w:jc w:val="center"/>
        <w:rPr>
          <w:rFonts w:hint="eastAsia" w:ascii="仿宋" w:hAnsi="仿宋" w:eastAsia="仿宋" w:cs="仿宋"/>
          <w:sz w:val="24"/>
          <w:szCs w:val="24"/>
        </w:rPr>
      </w:pPr>
    </w:p>
    <w:p w14:paraId="61ED0FE1">
      <w:pPr>
        <w:jc w:val="center"/>
        <w:rPr>
          <w:rFonts w:hint="eastAsia" w:ascii="仿宋" w:hAnsi="仿宋" w:eastAsia="仿宋" w:cs="仿宋"/>
          <w:sz w:val="24"/>
          <w:szCs w:val="24"/>
        </w:rPr>
      </w:pPr>
      <w:r>
        <w:rPr>
          <w:rFonts w:hint="eastAsia" w:ascii="仿宋" w:hAnsi="仿宋" w:eastAsia="仿宋" w:cs="仿宋"/>
          <w:sz w:val="24"/>
          <w:szCs w:val="24"/>
        </w:rPr>
        <w:br w:type="page"/>
      </w:r>
      <w:r>
        <w:rPr>
          <w:rFonts w:hint="eastAsia" w:ascii="仿宋" w:hAnsi="仿宋" w:eastAsia="仿宋" w:cs="仿宋"/>
          <w:sz w:val="24"/>
          <w:szCs w:val="24"/>
        </w:rPr>
        <w:t>附表1.3商务部分评审标准表</w:t>
      </w:r>
    </w:p>
    <w:tbl>
      <w:tblPr>
        <w:tblStyle w:val="10"/>
        <w:tblW w:w="8985"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877"/>
        <w:gridCol w:w="1377"/>
        <w:gridCol w:w="709"/>
        <w:gridCol w:w="4519"/>
      </w:tblGrid>
      <w:tr w14:paraId="2238398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03" w:type="dxa"/>
            <w:tcBorders>
              <w:tl2br w:val="nil"/>
              <w:tr2bl w:val="nil"/>
            </w:tcBorders>
            <w:noWrap w:val="0"/>
            <w:vAlign w:val="center"/>
          </w:tcPr>
          <w:p w14:paraId="43C85B9E">
            <w:pPr>
              <w:jc w:val="center"/>
              <w:rPr>
                <w:rFonts w:hint="eastAsia" w:ascii="仿宋" w:hAnsi="仿宋" w:eastAsia="仿宋" w:cs="仿宋"/>
                <w:sz w:val="24"/>
                <w:szCs w:val="24"/>
              </w:rPr>
            </w:pPr>
            <w:r>
              <w:rPr>
                <w:rFonts w:hint="eastAsia" w:ascii="仿宋" w:hAnsi="仿宋" w:eastAsia="仿宋" w:cs="仿宋"/>
                <w:sz w:val="24"/>
                <w:szCs w:val="24"/>
              </w:rPr>
              <w:t>序号</w:t>
            </w:r>
          </w:p>
        </w:tc>
        <w:tc>
          <w:tcPr>
            <w:tcW w:w="1877" w:type="dxa"/>
            <w:tcBorders>
              <w:tl2br w:val="nil"/>
              <w:tr2bl w:val="nil"/>
            </w:tcBorders>
            <w:noWrap w:val="0"/>
            <w:vAlign w:val="center"/>
          </w:tcPr>
          <w:p w14:paraId="32B8937C">
            <w:pPr>
              <w:jc w:val="center"/>
              <w:rPr>
                <w:rFonts w:hint="eastAsia" w:ascii="仿宋" w:hAnsi="仿宋" w:eastAsia="仿宋" w:cs="仿宋"/>
                <w:sz w:val="24"/>
                <w:szCs w:val="24"/>
              </w:rPr>
            </w:pPr>
            <w:r>
              <w:rPr>
                <w:rFonts w:hint="eastAsia" w:ascii="仿宋" w:hAnsi="仿宋" w:eastAsia="仿宋" w:cs="仿宋"/>
                <w:sz w:val="24"/>
                <w:szCs w:val="24"/>
              </w:rPr>
              <w:t>评标因素（分值）</w:t>
            </w:r>
          </w:p>
        </w:tc>
        <w:tc>
          <w:tcPr>
            <w:tcW w:w="6605" w:type="dxa"/>
            <w:gridSpan w:val="3"/>
            <w:tcBorders>
              <w:tl2br w:val="nil"/>
              <w:tr2bl w:val="nil"/>
            </w:tcBorders>
            <w:noWrap w:val="0"/>
            <w:vAlign w:val="center"/>
          </w:tcPr>
          <w:p w14:paraId="0D058063">
            <w:pPr>
              <w:jc w:val="center"/>
              <w:rPr>
                <w:rFonts w:hint="eastAsia" w:ascii="仿宋" w:hAnsi="仿宋" w:eastAsia="仿宋" w:cs="仿宋"/>
                <w:sz w:val="24"/>
                <w:szCs w:val="24"/>
              </w:rPr>
            </w:pPr>
            <w:r>
              <w:rPr>
                <w:rFonts w:hint="eastAsia" w:ascii="仿宋" w:hAnsi="仿宋" w:eastAsia="仿宋" w:cs="仿宋"/>
                <w:sz w:val="24"/>
                <w:szCs w:val="24"/>
              </w:rPr>
              <w:t>评标标准</w:t>
            </w:r>
          </w:p>
        </w:tc>
      </w:tr>
      <w:tr w14:paraId="244918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vMerge w:val="restart"/>
            <w:tcBorders>
              <w:tl2br w:val="nil"/>
              <w:tr2bl w:val="nil"/>
            </w:tcBorders>
            <w:noWrap w:val="0"/>
            <w:vAlign w:val="center"/>
          </w:tcPr>
          <w:p w14:paraId="1F0C423B">
            <w:pPr>
              <w:jc w:val="center"/>
              <w:rPr>
                <w:rFonts w:hint="eastAsia" w:ascii="仿宋" w:hAnsi="仿宋" w:eastAsia="仿宋" w:cs="仿宋"/>
                <w:sz w:val="24"/>
                <w:szCs w:val="24"/>
              </w:rPr>
            </w:pPr>
            <w:r>
              <w:rPr>
                <w:rFonts w:hint="eastAsia" w:ascii="仿宋" w:hAnsi="仿宋" w:eastAsia="仿宋" w:cs="仿宋"/>
                <w:sz w:val="24"/>
                <w:szCs w:val="24"/>
              </w:rPr>
              <w:t>1</w:t>
            </w:r>
          </w:p>
        </w:tc>
        <w:tc>
          <w:tcPr>
            <w:tcW w:w="1877" w:type="dxa"/>
            <w:vMerge w:val="restart"/>
            <w:tcBorders>
              <w:tl2br w:val="nil"/>
              <w:tr2bl w:val="nil"/>
            </w:tcBorders>
            <w:noWrap w:val="0"/>
            <w:vAlign w:val="center"/>
          </w:tcPr>
          <w:p w14:paraId="7620A79C">
            <w:pPr>
              <w:jc w:val="center"/>
              <w:rPr>
                <w:rFonts w:hint="eastAsia" w:ascii="仿宋" w:hAnsi="仿宋" w:eastAsia="仿宋" w:cs="仿宋"/>
                <w:sz w:val="24"/>
                <w:szCs w:val="24"/>
              </w:rPr>
            </w:pPr>
            <w:r>
              <w:rPr>
                <w:rFonts w:hint="eastAsia" w:ascii="仿宋" w:hAnsi="仿宋" w:eastAsia="仿宋" w:cs="仿宋"/>
                <w:sz w:val="24"/>
                <w:szCs w:val="24"/>
              </w:rPr>
              <w:t>商务评价项</w:t>
            </w:r>
          </w:p>
          <w:p w14:paraId="2B5BFD8A">
            <w:pPr>
              <w:jc w:val="center"/>
              <w:rPr>
                <w:rFonts w:hint="eastAsia" w:ascii="仿宋" w:hAnsi="仿宋" w:eastAsia="仿宋" w:cs="仿宋"/>
                <w:sz w:val="24"/>
                <w:szCs w:val="24"/>
              </w:rPr>
            </w:pPr>
            <w:r>
              <w:rPr>
                <w:rFonts w:hint="eastAsia" w:ascii="仿宋" w:hAnsi="仿宋" w:eastAsia="仿宋" w:cs="仿宋"/>
                <w:sz w:val="24"/>
                <w:szCs w:val="24"/>
              </w:rPr>
              <w:t>（F=100分）</w:t>
            </w:r>
          </w:p>
        </w:tc>
        <w:tc>
          <w:tcPr>
            <w:tcW w:w="1377" w:type="dxa"/>
            <w:tcBorders>
              <w:tl2br w:val="nil"/>
              <w:tr2bl w:val="nil"/>
            </w:tcBorders>
            <w:noWrap w:val="0"/>
            <w:vAlign w:val="center"/>
          </w:tcPr>
          <w:p w14:paraId="513841DC">
            <w:pPr>
              <w:jc w:val="center"/>
              <w:rPr>
                <w:rFonts w:hint="eastAsia" w:ascii="仿宋" w:hAnsi="仿宋" w:eastAsia="仿宋" w:cs="仿宋"/>
                <w:sz w:val="24"/>
                <w:szCs w:val="24"/>
              </w:rPr>
            </w:pPr>
            <w:r>
              <w:rPr>
                <w:rFonts w:hint="eastAsia" w:ascii="仿宋" w:hAnsi="仿宋" w:eastAsia="仿宋" w:cs="仿宋"/>
                <w:sz w:val="24"/>
                <w:szCs w:val="24"/>
              </w:rPr>
              <w:t>售后服务</w:t>
            </w:r>
          </w:p>
        </w:tc>
        <w:tc>
          <w:tcPr>
            <w:tcW w:w="709" w:type="dxa"/>
            <w:tcBorders>
              <w:tl2br w:val="nil"/>
              <w:tr2bl w:val="nil"/>
            </w:tcBorders>
            <w:noWrap w:val="0"/>
            <w:vAlign w:val="center"/>
          </w:tcPr>
          <w:p w14:paraId="13584F7A">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55</w:t>
            </w:r>
          </w:p>
        </w:tc>
        <w:tc>
          <w:tcPr>
            <w:tcW w:w="4519" w:type="dxa"/>
            <w:tcBorders>
              <w:tl2br w:val="nil"/>
              <w:tr2bl w:val="nil"/>
            </w:tcBorders>
            <w:noWrap w:val="0"/>
            <w:vAlign w:val="center"/>
          </w:tcPr>
          <w:p w14:paraId="37C3F1BF">
            <w:pPr>
              <w:jc w:val="left"/>
              <w:rPr>
                <w:rFonts w:hint="eastAsia" w:ascii="仿宋" w:hAnsi="仿宋" w:eastAsia="仿宋" w:cs="仿宋"/>
                <w:color w:val="FF0000"/>
                <w:sz w:val="24"/>
                <w:szCs w:val="24"/>
                <w:lang w:val="en-US" w:eastAsia="zh-CN"/>
              </w:rPr>
            </w:pPr>
            <w:r>
              <w:rPr>
                <w:rFonts w:hint="eastAsia" w:ascii="仿宋" w:hAnsi="仿宋" w:eastAsia="仿宋" w:cs="仿宋"/>
                <w:sz w:val="24"/>
                <w:szCs w:val="24"/>
              </w:rPr>
              <w:t>1、</w:t>
            </w:r>
            <w:r>
              <w:rPr>
                <w:rFonts w:hint="eastAsia" w:ascii="仿宋" w:hAnsi="仿宋" w:eastAsia="仿宋" w:cs="仿宋"/>
                <w:color w:val="FF0000"/>
                <w:sz w:val="24"/>
                <w:szCs w:val="24"/>
                <w:lang w:val="en-US" w:eastAsia="zh-CN"/>
              </w:rPr>
              <w:t>针对本项目有明确的售后服务方案，包括但不限于：①设备配送、安装、检验等；②发生故障后的补救措施及巡检服务；③售后服务维修人员详细情况；④维修的响应时间；⑤备品配件的清单及供应保障措施。</w:t>
            </w:r>
          </w:p>
          <w:p w14:paraId="4C7D1820">
            <w:pPr>
              <w:jc w:val="left"/>
              <w:rPr>
                <w:rFonts w:hint="eastAsia"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上述小项方案具有针对性和可行性，符合采购实际需求，内容完整合理满足招标文件要求的每项得7分。存在一般缺陷的每项方案得3.5分（一般缺陷是指方案内容前后不一致或前后逻辑错误或内容有缺失，不影响项目的实施）。未提供或存在重大缺陷的每项方案不得分（重大缺陷是指方案凭空编造或与采购项目和采购需求无关，无法指导项目实施）。</w:t>
            </w:r>
          </w:p>
          <w:p w14:paraId="0ACA4F3E">
            <w:pPr>
              <w:jc w:val="left"/>
              <w:rPr>
                <w:rFonts w:hint="eastAsia" w:ascii="仿宋" w:hAnsi="仿宋" w:eastAsia="仿宋" w:cs="仿宋"/>
                <w:sz w:val="24"/>
                <w:szCs w:val="24"/>
              </w:rPr>
            </w:pPr>
            <w:r>
              <w:rPr>
                <w:rFonts w:hint="eastAsia" w:ascii="仿宋" w:hAnsi="仿宋" w:eastAsia="仿宋" w:cs="仿宋"/>
                <w:sz w:val="24"/>
                <w:szCs w:val="24"/>
              </w:rPr>
              <w:t>2、质保期在招标要求基础上再增加1年的加10分，增加2年以上的加20分，最高可加20分。</w:t>
            </w:r>
          </w:p>
        </w:tc>
      </w:tr>
      <w:tr w14:paraId="624086F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vMerge w:val="continue"/>
            <w:tcBorders>
              <w:tl2br w:val="nil"/>
              <w:tr2bl w:val="nil"/>
            </w:tcBorders>
            <w:noWrap w:val="0"/>
            <w:vAlign w:val="center"/>
          </w:tcPr>
          <w:p w14:paraId="4890118F">
            <w:pPr>
              <w:jc w:val="center"/>
              <w:rPr>
                <w:rFonts w:hint="eastAsia" w:ascii="仿宋" w:hAnsi="仿宋" w:eastAsia="仿宋" w:cs="仿宋"/>
                <w:sz w:val="24"/>
                <w:szCs w:val="24"/>
              </w:rPr>
            </w:pPr>
          </w:p>
        </w:tc>
        <w:tc>
          <w:tcPr>
            <w:tcW w:w="1877" w:type="dxa"/>
            <w:vMerge w:val="continue"/>
            <w:tcBorders>
              <w:tl2br w:val="nil"/>
              <w:tr2bl w:val="nil"/>
            </w:tcBorders>
            <w:noWrap w:val="0"/>
            <w:vAlign w:val="center"/>
          </w:tcPr>
          <w:p w14:paraId="52D7E2E5">
            <w:pPr>
              <w:jc w:val="center"/>
              <w:rPr>
                <w:rFonts w:hint="eastAsia" w:ascii="仿宋" w:hAnsi="仿宋" w:eastAsia="仿宋" w:cs="仿宋"/>
                <w:sz w:val="24"/>
                <w:szCs w:val="24"/>
              </w:rPr>
            </w:pPr>
          </w:p>
        </w:tc>
        <w:tc>
          <w:tcPr>
            <w:tcW w:w="1377" w:type="dxa"/>
            <w:tcBorders>
              <w:tl2br w:val="nil"/>
              <w:tr2bl w:val="nil"/>
            </w:tcBorders>
            <w:noWrap w:val="0"/>
            <w:vAlign w:val="center"/>
          </w:tcPr>
          <w:p w14:paraId="6A83972D">
            <w:pPr>
              <w:jc w:val="center"/>
              <w:rPr>
                <w:rFonts w:hint="eastAsia" w:ascii="仿宋" w:hAnsi="仿宋" w:eastAsia="仿宋" w:cs="仿宋"/>
                <w:sz w:val="24"/>
                <w:szCs w:val="24"/>
              </w:rPr>
            </w:pPr>
            <w:r>
              <w:rPr>
                <w:rFonts w:hint="eastAsia" w:ascii="仿宋" w:hAnsi="仿宋" w:eastAsia="仿宋" w:cs="仿宋"/>
                <w:sz w:val="24"/>
                <w:szCs w:val="24"/>
              </w:rPr>
              <w:t>培训方案</w:t>
            </w:r>
          </w:p>
        </w:tc>
        <w:tc>
          <w:tcPr>
            <w:tcW w:w="709" w:type="dxa"/>
            <w:tcBorders>
              <w:tl2br w:val="nil"/>
              <w:tr2bl w:val="nil"/>
            </w:tcBorders>
            <w:noWrap w:val="0"/>
            <w:vAlign w:val="center"/>
          </w:tcPr>
          <w:p w14:paraId="5ED090F1">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4519" w:type="dxa"/>
            <w:tcBorders>
              <w:tl2br w:val="nil"/>
              <w:tr2bl w:val="nil"/>
            </w:tcBorders>
            <w:noWrap w:val="0"/>
            <w:vAlign w:val="center"/>
          </w:tcPr>
          <w:p w14:paraId="5C971A9C">
            <w:pPr>
              <w:jc w:val="left"/>
              <w:rPr>
                <w:rFonts w:hint="eastAsia" w:ascii="仿宋" w:hAnsi="仿宋" w:eastAsia="仿宋" w:cs="仿宋"/>
                <w:color w:val="FF0000"/>
                <w:sz w:val="24"/>
                <w:szCs w:val="24"/>
              </w:rPr>
            </w:pPr>
            <w:r>
              <w:rPr>
                <w:rFonts w:hint="eastAsia" w:ascii="仿宋" w:hAnsi="仿宋" w:eastAsia="仿宋" w:cs="仿宋"/>
                <w:color w:val="FF0000"/>
                <w:sz w:val="24"/>
                <w:szCs w:val="24"/>
              </w:rPr>
              <w:t>针对本项目具有可行的技术培训方案，包括但不限于：①所提供设备的原理和技术性能；②操作维护方法；③安装调试、排除故障等各个方面</w:t>
            </w:r>
            <w:r>
              <w:rPr>
                <w:rFonts w:hint="eastAsia" w:ascii="仿宋" w:hAnsi="仿宋" w:eastAsia="仿宋" w:cs="仿宋"/>
                <w:color w:val="FF0000"/>
                <w:sz w:val="24"/>
                <w:szCs w:val="24"/>
                <w:lang w:eastAsia="zh-CN"/>
              </w:rPr>
              <w:t>；</w:t>
            </w:r>
            <w:r>
              <w:rPr>
                <w:rFonts w:hint="eastAsia" w:ascii="仿宋" w:hAnsi="仿宋" w:eastAsia="仿宋" w:cs="仿宋"/>
                <w:color w:val="FF0000"/>
                <w:sz w:val="24"/>
                <w:szCs w:val="24"/>
              </w:rPr>
              <w:fldChar w:fldCharType="begin"/>
            </w:r>
            <w:r>
              <w:rPr>
                <w:rFonts w:hint="eastAsia" w:ascii="仿宋" w:hAnsi="仿宋" w:eastAsia="仿宋" w:cs="仿宋"/>
                <w:color w:val="FF0000"/>
                <w:sz w:val="24"/>
                <w:szCs w:val="24"/>
              </w:rPr>
              <w:instrText xml:space="preserve"> = 4 \* GB3 \* MERGEFORMAT </w:instrText>
            </w:r>
            <w:r>
              <w:rPr>
                <w:rFonts w:hint="eastAsia" w:ascii="仿宋" w:hAnsi="仿宋" w:eastAsia="仿宋" w:cs="仿宋"/>
                <w:color w:val="FF0000"/>
                <w:sz w:val="24"/>
                <w:szCs w:val="24"/>
              </w:rPr>
              <w:fldChar w:fldCharType="separate"/>
            </w:r>
            <w:r>
              <w:rPr>
                <w:rFonts w:hint="eastAsia" w:ascii="仿宋" w:hAnsi="仿宋" w:eastAsia="仿宋" w:cs="仿宋"/>
                <w:color w:val="FF0000"/>
                <w:sz w:val="24"/>
                <w:szCs w:val="24"/>
              </w:rPr>
              <w:t>④</w:t>
            </w:r>
            <w:r>
              <w:rPr>
                <w:rFonts w:hint="eastAsia" w:ascii="仿宋" w:hAnsi="仿宋" w:eastAsia="仿宋" w:cs="仿宋"/>
                <w:color w:val="FF0000"/>
                <w:sz w:val="24"/>
                <w:szCs w:val="24"/>
              </w:rPr>
              <w:fldChar w:fldCharType="end"/>
            </w:r>
            <w:r>
              <w:rPr>
                <w:rFonts w:hint="eastAsia" w:ascii="仿宋" w:hAnsi="仿宋" w:eastAsia="仿宋" w:cs="仿宋"/>
                <w:color w:val="FF0000"/>
                <w:sz w:val="24"/>
                <w:szCs w:val="24"/>
              </w:rPr>
              <w:t>培训</w:t>
            </w:r>
            <w:r>
              <w:rPr>
                <w:rFonts w:hint="eastAsia" w:ascii="仿宋" w:hAnsi="仿宋" w:eastAsia="仿宋" w:cs="仿宋"/>
                <w:color w:val="FF0000"/>
                <w:sz w:val="24"/>
                <w:szCs w:val="24"/>
                <w:lang w:eastAsia="zh-CN"/>
              </w:rPr>
              <w:t>计划安排</w:t>
            </w:r>
            <w:r>
              <w:rPr>
                <w:rFonts w:hint="eastAsia" w:ascii="仿宋" w:hAnsi="仿宋" w:eastAsia="仿宋" w:cs="仿宋"/>
                <w:color w:val="FF0000"/>
                <w:sz w:val="24"/>
                <w:szCs w:val="24"/>
              </w:rPr>
              <w:t>；</w:t>
            </w:r>
            <w:r>
              <w:rPr>
                <w:rFonts w:hint="eastAsia" w:ascii="仿宋" w:hAnsi="仿宋" w:eastAsia="仿宋" w:cs="仿宋"/>
                <w:color w:val="FF0000"/>
                <w:sz w:val="24"/>
                <w:szCs w:val="24"/>
              </w:rPr>
              <w:fldChar w:fldCharType="begin"/>
            </w:r>
            <w:r>
              <w:rPr>
                <w:rFonts w:hint="eastAsia" w:ascii="仿宋" w:hAnsi="仿宋" w:eastAsia="仿宋" w:cs="仿宋"/>
                <w:color w:val="FF0000"/>
                <w:sz w:val="24"/>
                <w:szCs w:val="24"/>
              </w:rPr>
              <w:instrText xml:space="preserve"> = 5 \* GB3 \* MERGEFORMAT </w:instrText>
            </w:r>
            <w:r>
              <w:rPr>
                <w:rFonts w:hint="eastAsia" w:ascii="仿宋" w:hAnsi="仿宋" w:eastAsia="仿宋" w:cs="仿宋"/>
                <w:color w:val="FF0000"/>
                <w:sz w:val="24"/>
                <w:szCs w:val="24"/>
              </w:rPr>
              <w:fldChar w:fldCharType="separate"/>
            </w:r>
            <w:r>
              <w:rPr>
                <w:rFonts w:hint="eastAsia" w:ascii="仿宋" w:hAnsi="仿宋" w:eastAsia="仿宋" w:cs="仿宋"/>
                <w:color w:val="FF0000"/>
                <w:sz w:val="24"/>
                <w:szCs w:val="24"/>
              </w:rPr>
              <w:t>⑤</w:t>
            </w:r>
            <w:r>
              <w:rPr>
                <w:rFonts w:hint="eastAsia" w:ascii="仿宋" w:hAnsi="仿宋" w:eastAsia="仿宋" w:cs="仿宋"/>
                <w:color w:val="FF0000"/>
                <w:sz w:val="24"/>
                <w:szCs w:val="24"/>
              </w:rPr>
              <w:fldChar w:fldCharType="end"/>
            </w:r>
            <w:r>
              <w:rPr>
                <w:rFonts w:hint="eastAsia" w:ascii="仿宋" w:hAnsi="仿宋" w:eastAsia="仿宋" w:cs="仿宋"/>
                <w:color w:val="FF0000"/>
                <w:sz w:val="24"/>
                <w:szCs w:val="24"/>
                <w:lang w:eastAsia="zh-CN"/>
              </w:rPr>
              <w:t>培训效果</w:t>
            </w:r>
            <w:r>
              <w:rPr>
                <w:rFonts w:hint="eastAsia" w:ascii="仿宋" w:hAnsi="仿宋" w:eastAsia="仿宋" w:cs="仿宋"/>
                <w:color w:val="FF0000"/>
                <w:sz w:val="24"/>
                <w:szCs w:val="24"/>
              </w:rPr>
              <w:t>等。</w:t>
            </w:r>
          </w:p>
          <w:p w14:paraId="2D59C56D">
            <w:pPr>
              <w:jc w:val="left"/>
              <w:rPr>
                <w:rFonts w:hint="eastAsia" w:ascii="仿宋" w:hAnsi="仿宋" w:eastAsia="仿宋" w:cs="仿宋"/>
                <w:sz w:val="24"/>
                <w:szCs w:val="24"/>
              </w:rPr>
            </w:pPr>
            <w:r>
              <w:rPr>
                <w:rFonts w:hint="eastAsia" w:ascii="仿宋" w:hAnsi="仿宋" w:eastAsia="仿宋" w:cs="仿宋"/>
                <w:color w:val="FF0000"/>
                <w:sz w:val="24"/>
                <w:szCs w:val="24"/>
                <w:lang w:val="en-US" w:eastAsia="zh-CN"/>
              </w:rPr>
              <w:t>上述小项方案具有针对性和可行性，符合采购实际需求，内容完整合理满足招标文件要求的每项得3分。存在一般缺陷的每项方案得1.5分（一般缺陷是指方案内容前后不一致或前后逻辑错误或内容有缺失，不影响项目的实施）。未提供或存在重大缺陷的每项方案不得分（重大缺陷是指方案凭空编造或与采购项目和采购需求无关，无法指导项目实施）。</w:t>
            </w:r>
          </w:p>
        </w:tc>
      </w:tr>
      <w:tr w14:paraId="257A85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3" w:type="dxa"/>
            <w:vMerge w:val="continue"/>
            <w:tcBorders>
              <w:tl2br w:val="nil"/>
              <w:tr2bl w:val="nil"/>
            </w:tcBorders>
            <w:noWrap w:val="0"/>
            <w:vAlign w:val="center"/>
          </w:tcPr>
          <w:p w14:paraId="1CF90431">
            <w:pPr>
              <w:jc w:val="center"/>
              <w:rPr>
                <w:rFonts w:hint="eastAsia" w:ascii="仿宋" w:hAnsi="仿宋" w:eastAsia="仿宋" w:cs="仿宋"/>
                <w:sz w:val="24"/>
                <w:szCs w:val="24"/>
              </w:rPr>
            </w:pPr>
          </w:p>
        </w:tc>
        <w:tc>
          <w:tcPr>
            <w:tcW w:w="1877" w:type="dxa"/>
            <w:vMerge w:val="continue"/>
            <w:tcBorders>
              <w:tl2br w:val="nil"/>
              <w:tr2bl w:val="nil"/>
            </w:tcBorders>
            <w:noWrap w:val="0"/>
            <w:vAlign w:val="center"/>
          </w:tcPr>
          <w:p w14:paraId="729DBDEF">
            <w:pPr>
              <w:jc w:val="center"/>
              <w:rPr>
                <w:rFonts w:hint="eastAsia" w:ascii="仿宋" w:hAnsi="仿宋" w:eastAsia="仿宋" w:cs="仿宋"/>
                <w:sz w:val="24"/>
                <w:szCs w:val="24"/>
              </w:rPr>
            </w:pPr>
          </w:p>
        </w:tc>
        <w:tc>
          <w:tcPr>
            <w:tcW w:w="1377" w:type="dxa"/>
            <w:tcBorders>
              <w:tl2br w:val="nil"/>
              <w:tr2bl w:val="nil"/>
            </w:tcBorders>
            <w:noWrap w:val="0"/>
            <w:vAlign w:val="center"/>
          </w:tcPr>
          <w:p w14:paraId="4129578B">
            <w:pPr>
              <w:jc w:val="center"/>
              <w:rPr>
                <w:rFonts w:hint="eastAsia" w:ascii="仿宋" w:hAnsi="仿宋" w:eastAsia="仿宋" w:cs="仿宋"/>
                <w:sz w:val="24"/>
                <w:szCs w:val="24"/>
              </w:rPr>
            </w:pPr>
            <w:r>
              <w:rPr>
                <w:rFonts w:hint="eastAsia" w:ascii="仿宋" w:hAnsi="仿宋" w:eastAsia="仿宋" w:cs="仿宋"/>
                <w:sz w:val="24"/>
                <w:szCs w:val="24"/>
              </w:rPr>
              <w:t>类似业绩</w:t>
            </w:r>
          </w:p>
        </w:tc>
        <w:tc>
          <w:tcPr>
            <w:tcW w:w="709" w:type="dxa"/>
            <w:tcBorders>
              <w:tl2br w:val="nil"/>
              <w:tr2bl w:val="nil"/>
            </w:tcBorders>
            <w:noWrap w:val="0"/>
            <w:vAlign w:val="center"/>
          </w:tcPr>
          <w:p w14:paraId="4B2468F8">
            <w:pPr>
              <w:jc w:val="center"/>
              <w:rPr>
                <w:rFonts w:hint="eastAsia" w:ascii="仿宋" w:hAnsi="仿宋" w:eastAsia="仿宋" w:cs="仿宋"/>
                <w:sz w:val="24"/>
                <w:szCs w:val="24"/>
              </w:rPr>
            </w:pPr>
            <w:r>
              <w:rPr>
                <w:rFonts w:hint="eastAsia" w:ascii="仿宋" w:hAnsi="仿宋" w:eastAsia="仿宋" w:cs="仿宋"/>
                <w:sz w:val="24"/>
                <w:szCs w:val="24"/>
              </w:rPr>
              <w:t>30</w:t>
            </w:r>
          </w:p>
        </w:tc>
        <w:tc>
          <w:tcPr>
            <w:tcW w:w="4519" w:type="dxa"/>
            <w:tcBorders>
              <w:tl2br w:val="nil"/>
              <w:tr2bl w:val="nil"/>
            </w:tcBorders>
            <w:noWrap w:val="0"/>
            <w:vAlign w:val="center"/>
          </w:tcPr>
          <w:p w14:paraId="294B983C">
            <w:pPr>
              <w:jc w:val="left"/>
              <w:rPr>
                <w:rFonts w:hint="eastAsia" w:ascii="仿宋" w:hAnsi="仿宋" w:eastAsia="仿宋" w:cs="仿宋"/>
                <w:sz w:val="24"/>
                <w:szCs w:val="24"/>
              </w:rPr>
            </w:pPr>
            <w:r>
              <w:rPr>
                <w:rFonts w:hint="eastAsia" w:ascii="仿宋" w:hAnsi="仿宋" w:eastAsia="仿宋" w:cs="仿宋"/>
                <w:sz w:val="24"/>
                <w:szCs w:val="24"/>
              </w:rPr>
              <w:t>提供近两年以来同型号设备销售业绩证明材料（证明材料可以是中标通知书或中标公示截图或合同相关页面，且证明材料要体现中标设备的型号），每提供一份计1</w:t>
            </w:r>
            <w:r>
              <w:rPr>
                <w:rFonts w:hint="eastAsia" w:ascii="仿宋" w:hAnsi="仿宋" w:eastAsia="仿宋" w:cs="仿宋"/>
                <w:sz w:val="24"/>
                <w:szCs w:val="24"/>
                <w:lang w:val="en-US" w:eastAsia="zh-CN"/>
              </w:rPr>
              <w:t>5</w:t>
            </w:r>
            <w:r>
              <w:rPr>
                <w:rFonts w:hint="eastAsia" w:ascii="仿宋" w:hAnsi="仿宋" w:eastAsia="仿宋" w:cs="仿宋"/>
                <w:sz w:val="24"/>
                <w:szCs w:val="24"/>
              </w:rPr>
              <w:t>分，计满30分为止，未按要求提供不得分。</w:t>
            </w:r>
          </w:p>
        </w:tc>
      </w:tr>
    </w:tbl>
    <w:p w14:paraId="2B6B2520">
      <w:pPr>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auto"/>
          <w:sz w:val="24"/>
          <w:szCs w:val="24"/>
          <w:lang w:val="en-US" w:eastAsia="zh-CN"/>
        </w:rPr>
      </w:pPr>
    </w:p>
    <w:p w14:paraId="7B7C070E">
      <w:pPr>
        <w:pStyle w:val="2"/>
        <w:numPr>
          <w:ilvl w:val="0"/>
          <w:numId w:val="0"/>
        </w:numPr>
        <w:spacing w:line="240" w:lineRule="auto"/>
        <w:ind w:left="2940" w:leftChars="0"/>
        <w:jc w:val="both"/>
        <w:rPr>
          <w:rFonts w:hint="eastAsia" w:ascii="宋体" w:hAnsi="宋体" w:cs="宋体"/>
          <w:color w:val="auto"/>
          <w:sz w:val="30"/>
          <w:szCs w:val="30"/>
        </w:rPr>
      </w:pPr>
      <w:bookmarkStart w:id="2" w:name="_Toc16523574"/>
      <w:r>
        <w:rPr>
          <w:rFonts w:hint="eastAsia" w:ascii="宋体" w:hAnsi="宋体" w:cs="宋体"/>
          <w:color w:val="auto"/>
          <w:sz w:val="30"/>
          <w:szCs w:val="30"/>
          <w:lang w:val="en-US" w:eastAsia="zh-CN"/>
        </w:rPr>
        <w:t xml:space="preserve">第三章   </w:t>
      </w:r>
      <w:r>
        <w:rPr>
          <w:rFonts w:hint="eastAsia" w:ascii="宋体" w:hAnsi="宋体" w:cs="宋体"/>
          <w:color w:val="auto"/>
          <w:sz w:val="30"/>
          <w:szCs w:val="30"/>
        </w:rPr>
        <w:t>投标文件的格式</w:t>
      </w:r>
    </w:p>
    <w:p w14:paraId="04EEB1BD">
      <w:pPr>
        <w:pStyle w:val="2"/>
        <w:numPr>
          <w:ilvl w:val="0"/>
          <w:numId w:val="0"/>
        </w:numPr>
        <w:spacing w:line="240" w:lineRule="auto"/>
        <w:ind w:firstLine="2108" w:firstLineChars="700"/>
        <w:jc w:val="both"/>
        <w:rPr>
          <w:rFonts w:hint="eastAsia" w:ascii="宋体" w:hAnsi="宋体" w:cs="宋体"/>
          <w:color w:val="auto"/>
          <w:sz w:val="30"/>
          <w:szCs w:val="30"/>
        </w:rPr>
      </w:pPr>
      <w:r>
        <w:rPr>
          <w:rFonts w:hint="eastAsia" w:ascii="宋体" w:hAnsi="宋体" w:cs="宋体"/>
          <w:color w:val="auto"/>
          <w:sz w:val="30"/>
          <w:szCs w:val="30"/>
        </w:rPr>
        <w:t>（必须按以下标题和顺序进行编制）</w:t>
      </w:r>
    </w:p>
    <w:p w14:paraId="7C808AD0">
      <w:pPr>
        <w:rPr>
          <w:rFonts w:hint="eastAsia" w:ascii="宋体" w:hAnsi="宋体" w:cs="宋体"/>
          <w:color w:val="auto"/>
        </w:rPr>
      </w:pPr>
    </w:p>
    <w:bookmarkEnd w:id="2"/>
    <w:p w14:paraId="5B5E9C93">
      <w:pPr>
        <w:rPr>
          <w:rFonts w:hint="eastAsia"/>
          <w:color w:val="auto"/>
        </w:rPr>
      </w:pPr>
    </w:p>
    <w:p w14:paraId="723D0C45">
      <w:pPr>
        <w:jc w:val="center"/>
        <w:rPr>
          <w:b/>
          <w:color w:val="auto"/>
          <w:sz w:val="24"/>
        </w:rPr>
      </w:pPr>
      <w:r>
        <w:rPr>
          <w:b/>
          <w:color w:val="auto"/>
          <w:sz w:val="28"/>
          <w:szCs w:val="28"/>
        </w:rPr>
        <w:t>第一部分、开标一览表</w:t>
      </w:r>
    </w:p>
    <w:p w14:paraId="24239725">
      <w:pPr>
        <w:jc w:val="center"/>
        <w:rPr>
          <w:b/>
          <w:color w:val="auto"/>
          <w:sz w:val="24"/>
        </w:rPr>
      </w:pPr>
    </w:p>
    <w:p w14:paraId="5893F606">
      <w:pPr>
        <w:jc w:val="center"/>
        <w:rPr>
          <w:rFonts w:hint="eastAsia" w:eastAsia="宋体"/>
          <w:b/>
          <w:color w:val="auto"/>
          <w:sz w:val="24"/>
          <w:lang w:eastAsia="zh-CN"/>
        </w:rPr>
      </w:pPr>
      <w:r>
        <w:rPr>
          <w:rFonts w:hint="eastAsia"/>
          <w:b/>
          <w:color w:val="auto"/>
          <w:sz w:val="24"/>
          <w:lang w:eastAsia="zh-CN"/>
        </w:rPr>
        <w:t>注：此项内容需包含投标商品名称、数量、品牌、型号、单价、总价、等信息</w:t>
      </w:r>
    </w:p>
    <w:p w14:paraId="138468EC">
      <w:pPr>
        <w:pStyle w:val="18"/>
        <w:rPr>
          <w:color w:val="auto"/>
        </w:rPr>
      </w:pPr>
    </w:p>
    <w:p w14:paraId="33C0C235">
      <w:pPr>
        <w:adjustRightInd w:val="0"/>
        <w:snapToGrid w:val="0"/>
        <w:spacing w:line="360" w:lineRule="auto"/>
        <w:jc w:val="center"/>
        <w:rPr>
          <w:rFonts w:hint="eastAsia" w:ascii="宋体" w:hAnsi="宋体" w:cs="宋体"/>
          <w:b/>
          <w:color w:val="auto"/>
          <w:sz w:val="28"/>
          <w:szCs w:val="28"/>
        </w:rPr>
      </w:pPr>
    </w:p>
    <w:p w14:paraId="4ABC0B80">
      <w:pPr>
        <w:adjustRightInd w:val="0"/>
        <w:snapToGrid w:val="0"/>
        <w:spacing w:line="360" w:lineRule="auto"/>
        <w:jc w:val="center"/>
        <w:rPr>
          <w:rFonts w:hint="eastAsia" w:ascii="宋体" w:hAnsi="宋体" w:cs="宋体"/>
          <w:b/>
          <w:color w:val="auto"/>
          <w:sz w:val="28"/>
          <w:szCs w:val="28"/>
        </w:rPr>
      </w:pPr>
    </w:p>
    <w:p w14:paraId="6AFBCDDB">
      <w:pPr>
        <w:adjustRightInd w:val="0"/>
        <w:snapToGrid w:val="0"/>
        <w:spacing w:line="360" w:lineRule="auto"/>
        <w:jc w:val="center"/>
        <w:rPr>
          <w:rFonts w:hint="eastAsia" w:ascii="宋体" w:hAnsi="宋体" w:cs="宋体"/>
          <w:b/>
          <w:color w:val="auto"/>
          <w:sz w:val="28"/>
          <w:szCs w:val="28"/>
        </w:rPr>
      </w:pPr>
    </w:p>
    <w:p w14:paraId="2FBADA48">
      <w:pPr>
        <w:adjustRightInd w:val="0"/>
        <w:snapToGrid w:val="0"/>
        <w:spacing w:line="360" w:lineRule="auto"/>
        <w:jc w:val="center"/>
        <w:rPr>
          <w:rFonts w:hint="eastAsia" w:ascii="宋体" w:hAnsi="宋体" w:cs="宋体"/>
          <w:b/>
          <w:color w:val="auto"/>
          <w:sz w:val="28"/>
          <w:szCs w:val="28"/>
        </w:rPr>
      </w:pPr>
    </w:p>
    <w:p w14:paraId="11A8F835">
      <w:pPr>
        <w:adjustRightInd w:val="0"/>
        <w:snapToGrid w:val="0"/>
        <w:spacing w:line="360"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第二部分、资格证明文件</w:t>
      </w:r>
    </w:p>
    <w:p w14:paraId="575C5CAE">
      <w:pPr>
        <w:pStyle w:val="17"/>
        <w:rPr>
          <w:rFonts w:hint="eastAsia"/>
          <w:lang w:eastAsia="zh-CN"/>
        </w:rPr>
      </w:pPr>
    </w:p>
    <w:p w14:paraId="49CA7F92">
      <w:pPr>
        <w:adjustRightInd w:val="0"/>
        <w:snapToGrid w:val="0"/>
        <w:spacing w:line="360" w:lineRule="auto"/>
        <w:jc w:val="center"/>
        <w:rPr>
          <w:rFonts w:hint="eastAsia" w:ascii="宋体" w:hAnsi="宋体" w:cs="宋体"/>
          <w:b/>
          <w:color w:val="auto"/>
          <w:sz w:val="24"/>
          <w:szCs w:val="20"/>
        </w:rPr>
      </w:pPr>
    </w:p>
    <w:p w14:paraId="1435F7FB">
      <w:pPr>
        <w:adjustRightInd w:val="0"/>
        <w:snapToGrid w:val="0"/>
        <w:spacing w:line="360" w:lineRule="auto"/>
        <w:jc w:val="center"/>
        <w:rPr>
          <w:rFonts w:hint="eastAsia" w:ascii="宋体" w:hAnsi="宋体" w:cs="宋体"/>
          <w:b/>
          <w:color w:val="auto"/>
          <w:sz w:val="24"/>
          <w:szCs w:val="20"/>
        </w:rPr>
      </w:pPr>
      <w:r>
        <w:rPr>
          <w:rFonts w:hint="eastAsia" w:ascii="宋体" w:hAnsi="宋体" w:cs="宋体"/>
          <w:b/>
          <w:color w:val="auto"/>
          <w:sz w:val="24"/>
          <w:szCs w:val="20"/>
        </w:rPr>
        <w:t>一、法定代表人授权委托书</w:t>
      </w:r>
    </w:p>
    <w:p w14:paraId="58AA142C">
      <w:pPr>
        <w:adjustRightInd w:val="0"/>
        <w:snapToGrid w:val="0"/>
        <w:spacing w:line="360" w:lineRule="auto"/>
        <w:rPr>
          <w:rFonts w:hint="eastAsia" w:ascii="宋体" w:hAnsi="宋体" w:cs="宋体"/>
          <w:b/>
          <w:color w:val="auto"/>
          <w:sz w:val="28"/>
          <w:szCs w:val="28"/>
        </w:rPr>
      </w:pPr>
    </w:p>
    <w:p w14:paraId="7D0FE437">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本人</w:t>
      </w:r>
      <w:r>
        <w:rPr>
          <w:rFonts w:hint="eastAsia" w:ascii="宋体" w:hAnsi="宋体" w:cs="宋体"/>
          <w:color w:val="auto"/>
          <w:kern w:val="0"/>
          <w:sz w:val="24"/>
          <w:u w:val="single"/>
        </w:rPr>
        <w:t>（姓名、职务）</w:t>
      </w:r>
      <w:r>
        <w:rPr>
          <w:rFonts w:hint="eastAsia" w:ascii="宋体" w:hAnsi="宋体" w:cs="宋体"/>
          <w:color w:val="auto"/>
          <w:kern w:val="0"/>
          <w:sz w:val="24"/>
        </w:rPr>
        <w:t>系</w:t>
      </w:r>
      <w:r>
        <w:rPr>
          <w:rFonts w:hint="eastAsia" w:ascii="宋体" w:hAnsi="宋体" w:cs="宋体"/>
          <w:color w:val="auto"/>
          <w:kern w:val="0"/>
          <w:sz w:val="24"/>
          <w:u w:val="single"/>
        </w:rPr>
        <w:t xml:space="preserve"> （</w:t>
      </w:r>
      <w:r>
        <w:rPr>
          <w:rFonts w:hint="eastAsia" w:ascii="宋体" w:hAnsi="宋体" w:cs="宋体"/>
          <w:color w:val="auto"/>
          <w:sz w:val="24"/>
          <w:u w:val="single"/>
        </w:rPr>
        <w:t>投标人</w:t>
      </w:r>
      <w:r>
        <w:rPr>
          <w:rFonts w:hint="eastAsia" w:ascii="宋体" w:hAnsi="宋体" w:cs="宋体"/>
          <w:color w:val="auto"/>
          <w:kern w:val="0"/>
          <w:sz w:val="24"/>
          <w:u w:val="single"/>
        </w:rPr>
        <w:t>名称）</w:t>
      </w:r>
      <w:r>
        <w:rPr>
          <w:rFonts w:hint="eastAsia" w:ascii="宋体" w:hAnsi="宋体" w:cs="宋体"/>
          <w:color w:val="auto"/>
          <w:kern w:val="0"/>
          <w:sz w:val="24"/>
        </w:rPr>
        <w:t>的法定代表人，现授权</w:t>
      </w:r>
      <w:r>
        <w:rPr>
          <w:rFonts w:hint="eastAsia" w:ascii="宋体" w:hAnsi="宋体" w:cs="宋体"/>
          <w:color w:val="auto"/>
          <w:kern w:val="0"/>
          <w:sz w:val="24"/>
          <w:u w:val="single"/>
        </w:rPr>
        <w:t>（姓名、职务）</w:t>
      </w:r>
      <w:r>
        <w:rPr>
          <w:rFonts w:hint="eastAsia" w:ascii="宋体" w:hAnsi="宋体" w:cs="宋体"/>
          <w:color w:val="auto"/>
          <w:kern w:val="0"/>
          <w:sz w:val="24"/>
        </w:rPr>
        <w:t>为我方代理人。代理人根据授权，以我方名义签署、澄清、说明、补正、递交、撤回、修改</w:t>
      </w:r>
      <w:r>
        <w:rPr>
          <w:rFonts w:hint="eastAsia" w:ascii="宋体" w:hAnsi="宋体" w:cs="宋体"/>
          <w:color w:val="auto"/>
          <w:kern w:val="0"/>
          <w:sz w:val="24"/>
          <w:u w:val="single"/>
        </w:rPr>
        <w:t>（项目名称）</w:t>
      </w:r>
      <w:r>
        <w:rPr>
          <w:rFonts w:hint="eastAsia" w:ascii="宋体" w:hAnsi="宋体" w:cs="宋体"/>
          <w:color w:val="auto"/>
          <w:kern w:val="0"/>
          <w:sz w:val="24"/>
        </w:rPr>
        <w:t>（采购编号：</w:t>
      </w:r>
      <w:r>
        <w:rPr>
          <w:rFonts w:hint="eastAsia" w:ascii="宋体" w:hAnsi="宋体" w:cs="宋体"/>
          <w:color w:val="auto"/>
          <w:kern w:val="0"/>
          <w:sz w:val="24"/>
          <w:u w:val="single"/>
        </w:rPr>
        <w:t xml:space="preserve">     </w:t>
      </w:r>
      <w:r>
        <w:rPr>
          <w:rFonts w:hint="eastAsia" w:ascii="宋体" w:hAnsi="宋体" w:cs="宋体"/>
          <w:color w:val="auto"/>
          <w:kern w:val="0"/>
          <w:sz w:val="24"/>
        </w:rPr>
        <w:t>）投标文件、签订合同和处理有关事宜，其法律后果由我方承担。</w:t>
      </w:r>
    </w:p>
    <w:p w14:paraId="4E8F373B">
      <w:pPr>
        <w:autoSpaceDE w:val="0"/>
        <w:autoSpaceDN w:val="0"/>
        <w:adjustRightInd w:val="0"/>
        <w:snapToGrid w:val="0"/>
        <w:spacing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委托期限：</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2AF609B9">
      <w:pPr>
        <w:adjustRightInd w:val="0"/>
        <w:snapToGrid w:val="0"/>
        <w:spacing w:line="360" w:lineRule="auto"/>
        <w:ind w:firstLine="435"/>
        <w:rPr>
          <w:rFonts w:hint="eastAsia" w:ascii="宋体" w:hAnsi="宋体" w:cs="宋体"/>
          <w:color w:val="auto"/>
          <w:kern w:val="0"/>
          <w:sz w:val="24"/>
        </w:rPr>
      </w:pPr>
      <w:r>
        <w:rPr>
          <w:rFonts w:hint="eastAsia" w:ascii="宋体" w:hAnsi="宋体" w:cs="宋体"/>
          <w:color w:val="auto"/>
          <w:kern w:val="0"/>
          <w:sz w:val="24"/>
        </w:rPr>
        <w:t>代理人无转委托权。</w:t>
      </w:r>
    </w:p>
    <w:p w14:paraId="4A1CFC3C">
      <w:pPr>
        <w:adjustRightInd w:val="0"/>
        <w:snapToGrid w:val="0"/>
        <w:spacing w:line="360" w:lineRule="auto"/>
        <w:ind w:firstLine="435"/>
        <w:rPr>
          <w:rFonts w:hint="eastAsia" w:ascii="宋体" w:hAnsi="宋体" w:cs="宋体"/>
          <w:color w:val="auto"/>
          <w:sz w:val="24"/>
        </w:rPr>
      </w:pPr>
      <w:r>
        <w:rPr>
          <w:rFonts w:hint="eastAsia" w:ascii="宋体" w:hAnsi="宋体" w:cs="宋体"/>
          <w:color w:val="auto"/>
          <w:sz w:val="24"/>
        </w:rPr>
        <w:t>本授权书于日期：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日签字生效，特此声明。</w:t>
      </w:r>
    </w:p>
    <w:p w14:paraId="1B9B8963">
      <w:pPr>
        <w:adjustRightInd w:val="0"/>
        <w:snapToGrid w:val="0"/>
        <w:spacing w:line="360" w:lineRule="auto"/>
        <w:ind w:firstLine="480" w:firstLineChars="200"/>
        <w:rPr>
          <w:rFonts w:hint="eastAsia" w:ascii="宋体" w:hAnsi="宋体" w:cs="宋体"/>
          <w:color w:val="auto"/>
          <w:sz w:val="24"/>
        </w:rPr>
      </w:pPr>
    </w:p>
    <w:tbl>
      <w:tblPr>
        <w:tblStyle w:val="10"/>
        <w:tblW w:w="82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14:paraId="55A3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14:paraId="3FE6553C">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委托代理人身份证（正面、反面）复印件</w:t>
            </w:r>
          </w:p>
        </w:tc>
      </w:tr>
    </w:tbl>
    <w:p w14:paraId="4990A6ED">
      <w:pPr>
        <w:adjustRightInd w:val="0"/>
        <w:snapToGrid w:val="0"/>
        <w:spacing w:line="360" w:lineRule="auto"/>
        <w:rPr>
          <w:rFonts w:hint="eastAsia" w:ascii="宋体" w:hAnsi="宋体" w:cs="宋体"/>
          <w:color w:val="auto"/>
          <w:sz w:val="24"/>
        </w:rPr>
      </w:pPr>
    </w:p>
    <w:tbl>
      <w:tblPr>
        <w:tblStyle w:val="10"/>
        <w:tblW w:w="82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14:paraId="2B89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trPr>
        <w:tc>
          <w:tcPr>
            <w:tcW w:w="8278" w:type="dxa"/>
            <w:noWrap w:val="0"/>
            <w:vAlign w:val="center"/>
          </w:tcPr>
          <w:p w14:paraId="24B147CE">
            <w:pPr>
              <w:adjustRightInd w:val="0"/>
              <w:snapToGrid w:val="0"/>
              <w:spacing w:line="360" w:lineRule="auto"/>
              <w:jc w:val="center"/>
              <w:rPr>
                <w:rFonts w:hint="eastAsia" w:ascii="宋体" w:hAnsi="宋体" w:cs="宋体"/>
                <w:color w:val="auto"/>
                <w:sz w:val="24"/>
              </w:rPr>
            </w:pPr>
            <w:r>
              <w:rPr>
                <w:rFonts w:hint="eastAsia" w:ascii="宋体" w:hAnsi="宋体" w:cs="宋体"/>
                <w:color w:val="auto"/>
                <w:sz w:val="24"/>
              </w:rPr>
              <w:t>法定代表人身份证（正面、反面）复印件</w:t>
            </w:r>
          </w:p>
        </w:tc>
      </w:tr>
    </w:tbl>
    <w:p w14:paraId="52FC81EB">
      <w:pPr>
        <w:adjustRightInd w:val="0"/>
        <w:snapToGrid w:val="0"/>
        <w:spacing w:line="360" w:lineRule="auto"/>
        <w:rPr>
          <w:rFonts w:hint="eastAsia" w:ascii="宋体" w:hAnsi="宋体" w:cs="宋体"/>
          <w:color w:val="auto"/>
          <w:sz w:val="24"/>
        </w:rPr>
      </w:pPr>
    </w:p>
    <w:p w14:paraId="4A3EEB34">
      <w:pPr>
        <w:adjustRightInd w:val="0"/>
        <w:snapToGrid w:val="0"/>
        <w:spacing w:line="360" w:lineRule="auto"/>
        <w:rPr>
          <w:rFonts w:hint="eastAsia" w:ascii="宋体" w:hAnsi="宋体" w:cs="宋体"/>
          <w:color w:val="auto"/>
          <w:sz w:val="24"/>
        </w:rPr>
      </w:pPr>
    </w:p>
    <w:p w14:paraId="58C8F887">
      <w:pPr>
        <w:adjustRightInd w:val="0"/>
        <w:snapToGrid w:val="0"/>
        <w:spacing w:line="360" w:lineRule="auto"/>
        <w:rPr>
          <w:rFonts w:hint="eastAsia" w:ascii="宋体" w:hAnsi="宋体" w:cs="宋体"/>
          <w:color w:val="auto"/>
          <w:sz w:val="24"/>
        </w:rPr>
      </w:pPr>
      <w:r>
        <w:rPr>
          <w:rFonts w:hint="eastAsia" w:ascii="宋体" w:hAnsi="宋体" w:cs="宋体"/>
          <w:color w:val="auto"/>
          <w:sz w:val="24"/>
        </w:rPr>
        <w:t>投标人名称（盖单位章）：</w:t>
      </w:r>
    </w:p>
    <w:p w14:paraId="72DF6099">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法定代表人（签字）：</w:t>
      </w:r>
    </w:p>
    <w:p w14:paraId="373623AB">
      <w:pPr>
        <w:adjustRightInd w:val="0"/>
        <w:snapToGrid w:val="0"/>
        <w:spacing w:line="360" w:lineRule="auto"/>
        <w:ind w:right="420"/>
        <w:rPr>
          <w:rFonts w:hint="eastAsia" w:ascii="宋体" w:hAnsi="宋体" w:cs="宋体"/>
          <w:color w:val="auto"/>
          <w:sz w:val="24"/>
        </w:rPr>
      </w:pPr>
      <w:r>
        <w:rPr>
          <w:rFonts w:hint="eastAsia" w:ascii="宋体" w:hAnsi="宋体" w:cs="宋体"/>
          <w:color w:val="auto"/>
          <w:sz w:val="24"/>
        </w:rPr>
        <w:t>委托代理人（签字）：</w:t>
      </w:r>
    </w:p>
    <w:p w14:paraId="6DDD8A3E">
      <w:pPr>
        <w:adjustRightInd w:val="0"/>
        <w:snapToGrid w:val="0"/>
        <w:spacing w:line="360" w:lineRule="auto"/>
        <w:rPr>
          <w:rFonts w:hint="eastAsia" w:ascii="宋体" w:hAnsi="宋体" w:cs="宋体"/>
          <w:b/>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00BC1CB2">
      <w:pPr>
        <w:adjustRightInd w:val="0"/>
        <w:snapToGrid w:val="0"/>
        <w:spacing w:line="360" w:lineRule="auto"/>
        <w:rPr>
          <w:rFonts w:hint="eastAsia" w:ascii="宋体" w:hAnsi="宋体" w:cs="宋体"/>
          <w:b/>
          <w:color w:val="auto"/>
          <w:sz w:val="28"/>
          <w:szCs w:val="28"/>
        </w:rPr>
      </w:pPr>
    </w:p>
    <w:p w14:paraId="1ED3891F">
      <w:pPr>
        <w:adjustRightInd w:val="0"/>
        <w:snapToGrid w:val="0"/>
        <w:spacing w:line="360" w:lineRule="auto"/>
        <w:jc w:val="center"/>
        <w:rPr>
          <w:rFonts w:hint="eastAsia" w:ascii="宋体" w:hAnsi="宋体" w:cs="宋体"/>
          <w:color w:val="auto"/>
          <w:sz w:val="24"/>
        </w:rPr>
      </w:pPr>
      <w:r>
        <w:rPr>
          <w:rFonts w:hint="eastAsia" w:ascii="宋体" w:hAnsi="宋体" w:cs="宋体"/>
          <w:b/>
          <w:color w:val="auto"/>
          <w:sz w:val="24"/>
          <w:szCs w:val="20"/>
        </w:rPr>
        <w:t>二、投标人资格声明</w:t>
      </w:r>
    </w:p>
    <w:p w14:paraId="4E764EAA">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致(</w:t>
      </w:r>
      <w:r>
        <w:rPr>
          <w:rFonts w:hint="eastAsia" w:ascii="宋体" w:hAnsi="宋体" w:cs="宋体"/>
          <w:color w:val="auto"/>
          <w:sz w:val="24"/>
          <w:lang w:val="en-US" w:eastAsia="zh-CN"/>
        </w:rPr>
        <w:t xml:space="preserve">           </w:t>
      </w:r>
      <w:r>
        <w:rPr>
          <w:rFonts w:hint="eastAsia" w:ascii="宋体" w:hAnsi="宋体" w:cs="宋体"/>
          <w:color w:val="auto"/>
          <w:sz w:val="24"/>
        </w:rPr>
        <w:t>)：</w:t>
      </w:r>
    </w:p>
    <w:p w14:paraId="09CA6EBE">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按照</w:t>
      </w:r>
      <w:r>
        <w:rPr>
          <w:rFonts w:hint="eastAsia" w:ascii="宋体" w:hAnsi="宋体" w:cs="宋体"/>
          <w:color w:val="auto"/>
          <w:sz w:val="24"/>
          <w:lang w:eastAsia="zh-CN"/>
        </w:rPr>
        <w:t>招标</w:t>
      </w:r>
      <w:r>
        <w:rPr>
          <w:rFonts w:hint="eastAsia" w:ascii="宋体" w:hAnsi="宋体" w:cs="宋体"/>
          <w:color w:val="auto"/>
          <w:sz w:val="24"/>
        </w:rPr>
        <w:t>文件的规定，我单位郑重声明如下：</w:t>
      </w:r>
    </w:p>
    <w:p w14:paraId="7A64758B">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sz w:val="24"/>
        </w:rPr>
        <w:t>一、我单位是按照中华人民共和国法律规定登记注册的，注册地点为</w:t>
      </w:r>
      <w:r>
        <w:rPr>
          <w:rFonts w:hint="eastAsia" w:ascii="宋体" w:hAnsi="宋体" w:cs="宋体"/>
          <w:color w:val="auto"/>
          <w:sz w:val="24"/>
          <w:u w:val="single"/>
        </w:rPr>
        <w:t xml:space="preserve">      </w:t>
      </w:r>
      <w:r>
        <w:rPr>
          <w:rFonts w:hint="eastAsia" w:ascii="宋体" w:hAnsi="宋体" w:cs="宋体"/>
          <w:color w:val="auto"/>
          <w:sz w:val="24"/>
        </w:rPr>
        <w:t>，全称为</w:t>
      </w:r>
      <w:r>
        <w:rPr>
          <w:rFonts w:hint="eastAsia" w:ascii="宋体" w:hAnsi="宋体" w:cs="宋体"/>
          <w:color w:val="auto"/>
          <w:sz w:val="24"/>
          <w:u w:val="single"/>
        </w:rPr>
        <w:t xml:space="preserve">      </w:t>
      </w:r>
      <w:r>
        <w:rPr>
          <w:rFonts w:hint="eastAsia" w:ascii="宋体" w:hAnsi="宋体" w:cs="宋体"/>
          <w:color w:val="auto"/>
          <w:sz w:val="24"/>
        </w:rPr>
        <w:t>，统一社会信用代码为</w:t>
      </w:r>
      <w:r>
        <w:rPr>
          <w:rFonts w:hint="eastAsia" w:ascii="宋体" w:hAnsi="宋体" w:cs="宋体"/>
          <w:color w:val="auto"/>
          <w:sz w:val="24"/>
          <w:u w:val="single"/>
        </w:rPr>
        <w:t xml:space="preserve">      </w:t>
      </w:r>
      <w:r>
        <w:rPr>
          <w:rFonts w:hint="eastAsia" w:ascii="宋体" w:hAnsi="宋体" w:cs="宋体"/>
          <w:color w:val="auto"/>
          <w:sz w:val="24"/>
        </w:rPr>
        <w:t>，法定代表人为</w:t>
      </w:r>
      <w:r>
        <w:rPr>
          <w:rFonts w:hint="eastAsia" w:ascii="宋体" w:hAnsi="宋体" w:cs="宋体"/>
          <w:color w:val="auto"/>
          <w:sz w:val="24"/>
          <w:u w:val="single"/>
        </w:rPr>
        <w:t xml:space="preserve">      </w:t>
      </w:r>
      <w:r>
        <w:rPr>
          <w:rFonts w:hint="eastAsia" w:ascii="宋体" w:hAnsi="宋体" w:cs="宋体"/>
          <w:color w:val="auto"/>
          <w:sz w:val="24"/>
        </w:rPr>
        <w:t>，具有独立承担民事责任的能力。</w:t>
      </w:r>
    </w:p>
    <w:p w14:paraId="12A173AC">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二、我单位具有良好的商业信誉和健全的财务会计制度。</w:t>
      </w:r>
    </w:p>
    <w:p w14:paraId="1295FE56">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r>
        <w:rPr>
          <w:rFonts w:hint="eastAsia" w:ascii="宋体" w:hAnsi="宋体" w:cs="宋体"/>
          <w:color w:val="auto"/>
          <w:kern w:val="0"/>
          <w:sz w:val="24"/>
        </w:rPr>
        <w:t>三、</w:t>
      </w:r>
      <w:r>
        <w:rPr>
          <w:rFonts w:hint="eastAsia" w:ascii="宋体" w:hAnsi="宋体" w:cs="宋体"/>
          <w:color w:val="auto"/>
          <w:sz w:val="24"/>
        </w:rPr>
        <w:t>我单位具有履行本项目采购合同所必需的设备和专业技术能力。</w:t>
      </w:r>
    </w:p>
    <w:p w14:paraId="348345DC">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四、我单位在参加本</w:t>
      </w:r>
      <w:r>
        <w:rPr>
          <w:rFonts w:hint="eastAsia" w:asciiTheme="minorEastAsia" w:hAnsiTheme="minorEastAsia" w:eastAsiaTheme="minorEastAsia" w:cstheme="minorEastAsia"/>
          <w:bCs/>
          <w:color w:val="auto"/>
          <w:sz w:val="24"/>
          <w:szCs w:val="24"/>
          <w:lang w:val="en-US" w:eastAsia="zh-CN"/>
        </w:rPr>
        <w:t>采购</w:t>
      </w:r>
      <w:r>
        <w:rPr>
          <w:rFonts w:hint="eastAsia" w:ascii="宋体" w:hAnsi="宋体" w:cs="宋体"/>
          <w:color w:val="auto"/>
          <w:sz w:val="24"/>
        </w:rPr>
        <w:t>项目前三年内，在经营活动中，未因违法经营受到刑事处罚或者责令停产停业、吊销许可证或者执照、较大数额罚款等行政处罚。其中较大数额罚款是指：对公民处罚款在1000元及以上；对法人或者其他组织处罚款在2万元及以上；法律法规另有规定的，从其规定。</w:t>
      </w:r>
    </w:p>
    <w:p w14:paraId="43FC6948">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五、我单位具备法律、行政法规规定的其他条件。</w:t>
      </w:r>
    </w:p>
    <w:p w14:paraId="4FE09349">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kern w:val="0"/>
          <w:sz w:val="24"/>
        </w:rPr>
        <w:t>六、</w:t>
      </w:r>
      <w:r>
        <w:rPr>
          <w:rFonts w:hint="eastAsia" w:ascii="宋体" w:hAnsi="宋体" w:cs="宋体"/>
          <w:color w:val="auto"/>
          <w:sz w:val="24"/>
        </w:rPr>
        <w:t>与我单位存在“单位负责人为同一人或者存在直接控股、管理关系”的其他法人单位信息如下（如无，填写“无”）：</w:t>
      </w:r>
    </w:p>
    <w:p w14:paraId="610E123D">
      <w:pPr>
        <w:adjustRightInd w:val="0"/>
        <w:snapToGrid w:val="0"/>
        <w:spacing w:before="120" w:beforeLines="50" w:line="360" w:lineRule="auto"/>
        <w:ind w:firstLine="480" w:firstLineChars="200"/>
        <w:rPr>
          <w:rFonts w:hint="eastAsia" w:ascii="宋体" w:hAnsi="宋体" w:cs="宋体"/>
          <w:color w:val="auto"/>
          <w:sz w:val="24"/>
          <w:u w:val="single"/>
        </w:rPr>
      </w:pPr>
      <w:r>
        <w:rPr>
          <w:rFonts w:hint="eastAsia" w:ascii="宋体" w:hAnsi="宋体" w:cs="宋体"/>
          <w:color w:val="auto"/>
          <w:sz w:val="24"/>
        </w:rPr>
        <w:t>1、与我单位的法定代表人（单位负责人）为同一人的其他法人单位如下：</w:t>
      </w:r>
      <w:r>
        <w:rPr>
          <w:rFonts w:hint="eastAsia" w:ascii="宋体" w:hAnsi="宋体" w:cs="宋体"/>
          <w:color w:val="auto"/>
          <w:sz w:val="24"/>
          <w:u w:val="single"/>
        </w:rPr>
        <w:t xml:space="preserve">               </w:t>
      </w:r>
    </w:p>
    <w:p w14:paraId="1EA0908B">
      <w:pPr>
        <w:adjustRightInd w:val="0"/>
        <w:snapToGrid w:val="0"/>
        <w:spacing w:before="120" w:beforeLines="50" w:line="360" w:lineRule="auto"/>
        <w:ind w:firstLine="480" w:firstLineChars="200"/>
        <w:rPr>
          <w:rFonts w:hint="eastAsia" w:ascii="宋体" w:hAnsi="宋体" w:cs="宋体"/>
          <w:color w:val="auto"/>
          <w:sz w:val="24"/>
        </w:rPr>
      </w:pPr>
      <w:r>
        <w:rPr>
          <w:rFonts w:hint="eastAsia" w:ascii="宋体" w:hAnsi="宋体" w:cs="宋体"/>
          <w:color w:val="auto"/>
          <w:sz w:val="24"/>
        </w:rPr>
        <w:t>2、我单位直接控股的其他法人单位如下：</w:t>
      </w:r>
      <w:r>
        <w:rPr>
          <w:rFonts w:hint="eastAsia" w:ascii="宋体" w:hAnsi="宋体" w:cs="宋体"/>
          <w:color w:val="auto"/>
          <w:sz w:val="24"/>
          <w:u w:val="single"/>
        </w:rPr>
        <w:t xml:space="preserve">                                            </w:t>
      </w:r>
    </w:p>
    <w:p w14:paraId="142B0C94">
      <w:pPr>
        <w:adjustRightInd w:val="0"/>
        <w:snapToGrid w:val="0"/>
        <w:spacing w:before="120" w:beforeLines="50" w:line="360" w:lineRule="auto"/>
        <w:ind w:firstLine="480" w:firstLineChars="200"/>
        <w:rPr>
          <w:rFonts w:hint="eastAsia" w:ascii="宋体" w:hAnsi="宋体" w:cs="宋体"/>
          <w:color w:val="auto"/>
          <w:sz w:val="24"/>
        </w:rPr>
      </w:pPr>
      <w:r>
        <w:rPr>
          <w:rFonts w:hint="eastAsia" w:ascii="宋体" w:hAnsi="宋体" w:cs="宋体"/>
          <w:color w:val="auto"/>
          <w:sz w:val="24"/>
        </w:rPr>
        <w:t>3、与我单位存在管理关系的其他法人单位如下：</w:t>
      </w:r>
      <w:r>
        <w:rPr>
          <w:rFonts w:hint="eastAsia" w:ascii="宋体" w:hAnsi="宋体" w:cs="宋体"/>
          <w:color w:val="auto"/>
          <w:sz w:val="24"/>
          <w:u w:val="single"/>
        </w:rPr>
        <w:t xml:space="preserve">                                      </w:t>
      </w:r>
    </w:p>
    <w:p w14:paraId="1417F859">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lang w:val="en-US" w:eastAsia="zh-CN"/>
        </w:rPr>
        <w:t>七、我单位承诺参与本项目时不存在围标、串标、陪标等违法行为</w:t>
      </w:r>
      <w:r>
        <w:rPr>
          <w:rFonts w:hint="eastAsia" w:ascii="宋体" w:hAnsi="宋体" w:cs="宋体"/>
          <w:color w:val="auto"/>
          <w:sz w:val="24"/>
        </w:rPr>
        <w:t xml:space="preserve"> </w:t>
      </w:r>
    </w:p>
    <w:p w14:paraId="261D0F4B">
      <w:pPr>
        <w:widowControl/>
        <w:adjustRightInd w:val="0"/>
        <w:snapToGrid w:val="0"/>
        <w:spacing w:before="120" w:beforeLines="50" w:line="360" w:lineRule="auto"/>
        <w:ind w:firstLine="480" w:firstLineChars="200"/>
        <w:jc w:val="left"/>
        <w:rPr>
          <w:rFonts w:hint="eastAsia" w:ascii="宋体" w:hAnsi="宋体" w:cs="宋体"/>
          <w:color w:val="auto"/>
          <w:kern w:val="0"/>
          <w:sz w:val="24"/>
        </w:rPr>
      </w:pPr>
      <w:bookmarkStart w:id="5" w:name="_GoBack"/>
      <w:bookmarkEnd w:id="5"/>
      <w:r>
        <w:rPr>
          <w:rFonts w:hint="eastAsia" w:ascii="宋体" w:hAnsi="宋体" w:cs="宋体"/>
          <w:color w:val="auto"/>
          <w:sz w:val="24"/>
        </w:rPr>
        <w:t>我单位保证上述声明的事项都是真实的，如有虚假，我单位愿意承担相应的法律责任，并承担因此所造成的一切损失。</w:t>
      </w:r>
    </w:p>
    <w:p w14:paraId="71181231">
      <w:pPr>
        <w:widowControl/>
        <w:adjustRightInd w:val="0"/>
        <w:snapToGrid w:val="0"/>
        <w:spacing w:before="120" w:beforeLines="50" w:line="360" w:lineRule="auto"/>
        <w:ind w:firstLine="480" w:firstLineChars="200"/>
        <w:jc w:val="left"/>
        <w:rPr>
          <w:rFonts w:hint="eastAsia" w:ascii="宋体" w:hAnsi="宋体" w:cs="宋体"/>
          <w:color w:val="auto"/>
          <w:sz w:val="24"/>
        </w:rPr>
      </w:pPr>
      <w:r>
        <w:rPr>
          <w:rFonts w:hint="eastAsia" w:ascii="宋体" w:hAnsi="宋体" w:cs="宋体"/>
          <w:color w:val="auto"/>
          <w:sz w:val="24"/>
        </w:rPr>
        <w:t>我单位保证随时按照要求提供能够证明上述声明事项真实性的任何有效文件。</w:t>
      </w:r>
    </w:p>
    <w:p w14:paraId="7DD993BF">
      <w:pPr>
        <w:widowControl/>
        <w:adjustRightInd w:val="0"/>
        <w:snapToGrid w:val="0"/>
        <w:spacing w:before="120" w:beforeLines="50" w:line="360" w:lineRule="auto"/>
        <w:jc w:val="left"/>
        <w:rPr>
          <w:rFonts w:hint="eastAsia" w:ascii="宋体" w:hAnsi="宋体" w:cs="宋体"/>
          <w:color w:val="auto"/>
          <w:kern w:val="0"/>
          <w:sz w:val="24"/>
        </w:rPr>
      </w:pPr>
      <w:r>
        <w:rPr>
          <w:rFonts w:hint="eastAsia" w:ascii="宋体" w:hAnsi="宋体" w:cs="宋体"/>
          <w:color w:val="auto"/>
          <w:sz w:val="24"/>
        </w:rPr>
        <w:t>投标人名称（盖单位公章）：</w:t>
      </w:r>
    </w:p>
    <w:p w14:paraId="66167875">
      <w:pPr>
        <w:widowControl/>
        <w:adjustRightInd w:val="0"/>
        <w:snapToGrid w:val="0"/>
        <w:spacing w:before="120" w:beforeLines="50" w:line="360" w:lineRule="auto"/>
        <w:jc w:val="left"/>
        <w:rPr>
          <w:rFonts w:hint="eastAsia" w:ascii="宋体" w:hAnsi="宋体" w:cs="宋体"/>
          <w:b/>
          <w:bCs/>
          <w:color w:val="auto"/>
          <w:kern w:val="0"/>
          <w:sz w:val="24"/>
        </w:rPr>
      </w:pPr>
      <w:r>
        <w:rPr>
          <w:rFonts w:hint="eastAsia" w:ascii="宋体" w:hAnsi="宋体" w:cs="宋体"/>
          <w:color w:val="auto"/>
          <w:sz w:val="24"/>
        </w:rPr>
        <w:t>法定代表人或委托代理人（签字）：</w:t>
      </w:r>
    </w:p>
    <w:p w14:paraId="4D8F3D85">
      <w:pPr>
        <w:widowControl/>
        <w:adjustRightInd w:val="0"/>
        <w:snapToGrid w:val="0"/>
        <w:spacing w:before="120" w:beforeLines="50" w:line="360" w:lineRule="auto"/>
        <w:jc w:val="left"/>
        <w:rPr>
          <w:rFonts w:hint="eastAsia" w:ascii="宋体" w:hAnsi="宋体" w:cs="宋体"/>
          <w:color w:val="auto"/>
          <w:sz w:val="24"/>
        </w:rPr>
      </w:pP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62A7F99B">
      <w:pPr>
        <w:adjustRightInd w:val="0"/>
        <w:snapToGrid w:val="0"/>
        <w:spacing w:line="360" w:lineRule="auto"/>
        <w:jc w:val="center"/>
        <w:rPr>
          <w:rFonts w:hint="eastAsia" w:ascii="宋体" w:hAnsi="宋体" w:cs="宋体"/>
          <w:b/>
          <w:color w:val="auto"/>
          <w:sz w:val="24"/>
          <w:szCs w:val="20"/>
        </w:rPr>
      </w:pPr>
    </w:p>
    <w:p w14:paraId="622B4561">
      <w:pPr>
        <w:adjustRightInd w:val="0"/>
        <w:snapToGrid w:val="0"/>
        <w:spacing w:line="360" w:lineRule="auto"/>
        <w:rPr>
          <w:rFonts w:hint="eastAsia" w:ascii="宋体" w:hAnsi="宋体" w:cs="宋体"/>
          <w:b/>
          <w:color w:val="auto"/>
          <w:sz w:val="24"/>
          <w:szCs w:val="20"/>
        </w:rPr>
      </w:pPr>
    </w:p>
    <w:p w14:paraId="08E69EE7">
      <w:pPr>
        <w:adjustRightInd w:val="0"/>
        <w:snapToGrid w:val="0"/>
        <w:spacing w:line="360" w:lineRule="auto"/>
        <w:rPr>
          <w:rFonts w:hint="eastAsia" w:ascii="宋体" w:hAnsi="宋体" w:cs="宋体"/>
          <w:b/>
          <w:color w:val="auto"/>
          <w:sz w:val="24"/>
          <w:szCs w:val="20"/>
        </w:rPr>
      </w:pPr>
    </w:p>
    <w:p w14:paraId="093CD207">
      <w:pPr>
        <w:adjustRightInd w:val="0"/>
        <w:snapToGrid w:val="0"/>
        <w:spacing w:line="360" w:lineRule="auto"/>
        <w:jc w:val="center"/>
        <w:rPr>
          <w:rFonts w:ascii="宋体" w:hAnsi="宋体" w:cs="宋体"/>
          <w:b/>
          <w:color w:val="auto"/>
          <w:sz w:val="28"/>
          <w:szCs w:val="28"/>
        </w:rPr>
      </w:pPr>
      <w:r>
        <w:rPr>
          <w:rFonts w:hint="eastAsia" w:ascii="宋体" w:hAnsi="宋体" w:cs="宋体"/>
          <w:b/>
          <w:color w:val="auto"/>
          <w:sz w:val="28"/>
          <w:szCs w:val="28"/>
        </w:rPr>
        <w:t>三、符合基本资格条件证明材料复印件或者情况说明</w:t>
      </w:r>
    </w:p>
    <w:p w14:paraId="5FFB2465">
      <w:pPr>
        <w:adjustRightInd w:val="0"/>
        <w:snapToGrid w:val="0"/>
        <w:spacing w:line="360" w:lineRule="auto"/>
        <w:jc w:val="center"/>
        <w:rPr>
          <w:rFonts w:hint="eastAsia" w:ascii="宋体" w:hAnsi="宋体" w:cs="宋体"/>
          <w:b/>
          <w:color w:val="auto"/>
          <w:sz w:val="24"/>
          <w:szCs w:val="20"/>
        </w:rPr>
      </w:pPr>
    </w:p>
    <w:p w14:paraId="6B3BB398">
      <w:pPr>
        <w:pStyle w:val="3"/>
        <w:keepLines w:val="0"/>
        <w:snapToGrid w:val="0"/>
        <w:spacing w:before="0" w:after="0" w:line="520" w:lineRule="exact"/>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cs="宋体"/>
          <w:b w:val="0"/>
          <w:color w:val="auto"/>
          <w:sz w:val="24"/>
          <w:szCs w:val="24"/>
        </w:rPr>
        <w:t>注：</w:t>
      </w:r>
      <w:r>
        <w:rPr>
          <w:rFonts w:hint="eastAsia" w:ascii="宋体" w:hAnsi="宋体" w:cs="宋体"/>
          <w:b w:val="0"/>
          <w:color w:val="auto"/>
          <w:sz w:val="24"/>
          <w:szCs w:val="24"/>
          <w:lang w:bidi="zh-CN"/>
        </w:rPr>
        <w:t>投标公司的营业执照</w:t>
      </w:r>
      <w:r>
        <w:rPr>
          <w:rFonts w:hint="eastAsia" w:ascii="宋体" w:hAnsi="宋体" w:cs="宋体"/>
          <w:b w:val="0"/>
          <w:color w:val="auto"/>
          <w:sz w:val="24"/>
          <w:szCs w:val="24"/>
          <w:lang w:val="en-US" w:bidi="zh-CN"/>
        </w:rPr>
        <w:t>及资格要求的证明材料，提供信用中国网页查询截图，</w:t>
      </w:r>
      <w:r>
        <w:rPr>
          <w:rFonts w:hint="eastAsia" w:ascii="宋体" w:hAnsi="宋体" w:cs="宋体"/>
          <w:b w:val="0"/>
          <w:color w:val="auto"/>
          <w:sz w:val="24"/>
          <w:szCs w:val="24"/>
          <w:lang w:bidi="zh-CN"/>
        </w:rPr>
        <w:t>并加盖单位公章（按顺序装订）。</w:t>
      </w:r>
      <w:r>
        <w:rPr>
          <w:rFonts w:hint="eastAsia" w:ascii="宋体" w:hAnsi="宋体" w:eastAsia="宋体" w:cs="Times New Roman"/>
          <w:b w:val="0"/>
          <w:bCs w:val="0"/>
          <w:color w:val="auto"/>
          <w:kern w:val="2"/>
          <w:sz w:val="24"/>
          <w:szCs w:val="24"/>
          <w:lang w:val="en-US" w:eastAsia="zh-CN" w:bidi="ar-SA"/>
        </w:rPr>
        <w:t>附件    湖南省政府采购供应商资格承诺函</w:t>
      </w:r>
    </w:p>
    <w:p w14:paraId="4E302165">
      <w:pPr>
        <w:widowControl/>
        <w:spacing w:after="100" w:afterAutospacing="1" w:line="360" w:lineRule="auto"/>
        <w:ind w:left="227" w:right="113" w:firstLine="482"/>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具有独立承担民事责任、具有良好的商业信誉和健全的财务会计制度，依法缴纳税收和社会保障资金，在前三年的经营活动中无重大违法记录，未列入严重失信行为名单，符合政府采购供应商的基本资格要求。</w:t>
      </w:r>
    </w:p>
    <w:p w14:paraId="1D25E0C4">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按照《政府采购促进中小企业发展管理办法》(财库〔2020〕46号)规定，</w:t>
      </w:r>
    </w:p>
    <w:p w14:paraId="7FF98A6C">
      <w:pPr>
        <w:widowControl/>
        <w:snapToGrid w:val="0"/>
        <w:spacing w:before="100" w:beforeAutospacing="1" w:after="100" w:afterAutospacing="1" w:line="360" w:lineRule="auto"/>
        <w:ind w:left="210" w:leftChars="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本公司企业规模为：          （大型、中型、小型、微型 ）</w:t>
      </w:r>
    </w:p>
    <w:p w14:paraId="19345C77">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统一社会信用代码：                        、注册登记机构：                 、 注册日期：                 、有效期：               、注册资本：                、地址：               、经济行业：                 、经济性质：              </w:t>
      </w:r>
    </w:p>
    <w:p w14:paraId="0B95CCB4">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法定代表人姓名 (签字)：             、身份证号：                           、</w:t>
      </w:r>
    </w:p>
    <w:p w14:paraId="15B5234D">
      <w:pPr>
        <w:widowControl/>
        <w:spacing w:after="100" w:afterAutospacing="1" w:line="360" w:lineRule="auto"/>
        <w:ind w:left="24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手机号：             ；</w:t>
      </w:r>
    </w:p>
    <w:p w14:paraId="519CE3B3">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授权代表人姓名 (签字)：                、身份证号：                     </w:t>
      </w:r>
    </w:p>
    <w:p w14:paraId="49D19DA2">
      <w:pPr>
        <w:widowControl/>
        <w:spacing w:after="100" w:afterAutospacing="1" w:line="360" w:lineRule="auto"/>
        <w:ind w:left="246" w:hanging="16"/>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手机号：               。  </w:t>
      </w:r>
    </w:p>
    <w:p w14:paraId="7102BCA7">
      <w:pPr>
        <w:adjustRightInd w:val="0"/>
        <w:snapToGrid w:val="0"/>
        <w:spacing w:line="360" w:lineRule="auto"/>
        <w:rPr>
          <w:rFonts w:hint="eastAsia" w:ascii="宋体" w:hAnsi="宋体" w:eastAsia="宋体" w:cs="Times New Roman"/>
          <w:b w:val="0"/>
          <w:bCs w:val="0"/>
          <w:color w:val="auto"/>
          <w:kern w:val="2"/>
          <w:sz w:val="24"/>
          <w:szCs w:val="24"/>
          <w:lang w:val="en-US" w:eastAsia="zh-CN" w:bidi="ar-SA"/>
        </w:rPr>
      </w:pPr>
    </w:p>
    <w:p w14:paraId="555FBA0D">
      <w:pPr>
        <w:adjustRightInd w:val="0"/>
        <w:snapToGrid w:val="0"/>
        <w:spacing w:line="360" w:lineRule="auto"/>
        <w:ind w:left="4406" w:leftChars="-302" w:hanging="5040" w:hangingChars="2100"/>
        <w:jc w:val="left"/>
        <w:rPr>
          <w:rFonts w:hint="eastAsia" w:ascii="宋体" w:hAnsi="宋体" w:eastAsia="宋体" w:cs="Times New Roman"/>
          <w:b w:val="0"/>
          <w:bCs w:val="0"/>
          <w:color w:val="auto"/>
          <w:kern w:val="2"/>
          <w:sz w:val="24"/>
          <w:szCs w:val="24"/>
          <w:lang w:val="en-US" w:eastAsia="zh-CN" w:bidi="ar-SA"/>
        </w:rPr>
      </w:pPr>
      <w:r>
        <w:rPr>
          <w:rFonts w:hint="eastAsia" w:ascii="宋体" w:hAnsi="宋体" w:eastAsia="宋体" w:cs="Times New Roman"/>
          <w:b w:val="0"/>
          <w:bCs w:val="0"/>
          <w:color w:val="auto"/>
          <w:kern w:val="2"/>
          <w:sz w:val="24"/>
          <w:szCs w:val="24"/>
          <w:lang w:val="en-US" w:eastAsia="zh-CN" w:bidi="ar-SA"/>
        </w:rPr>
        <w:t xml:space="preserve">                           供应商名称（盖公章）：                                    </w:t>
      </w:r>
    </w:p>
    <w:p w14:paraId="785B1EB4">
      <w:pPr>
        <w:adjustRightInd w:val="0"/>
        <w:snapToGrid w:val="0"/>
        <w:spacing w:line="360" w:lineRule="auto"/>
        <w:ind w:left="4406" w:leftChars="-302" w:hanging="5040" w:hangingChars="2100"/>
        <w:jc w:val="right"/>
        <w:rPr>
          <w:rFonts w:hint="eastAsia" w:ascii="宋体" w:hAnsi="宋体" w:eastAsia="宋体" w:cs="Times New Roman"/>
          <w:b w:val="0"/>
          <w:bCs w:val="0"/>
          <w:color w:val="auto"/>
          <w:kern w:val="2"/>
          <w:sz w:val="24"/>
          <w:szCs w:val="24"/>
          <w:lang w:val="en-US" w:eastAsia="zh-CN" w:bidi="ar-SA"/>
        </w:rPr>
      </w:pPr>
      <w:r>
        <w:rPr>
          <w:rFonts w:hint="eastAsia" w:ascii="宋体" w:hAnsi="宋体" w:cs="Times New Roman"/>
          <w:b w:val="0"/>
          <w:bCs w:val="0"/>
          <w:color w:val="auto"/>
          <w:kern w:val="2"/>
          <w:sz w:val="24"/>
          <w:szCs w:val="24"/>
          <w:lang w:val="en-US" w:eastAsia="zh-CN" w:bidi="ar-SA"/>
        </w:rPr>
        <w:t>2023</w:t>
      </w:r>
      <w:r>
        <w:rPr>
          <w:rFonts w:hint="eastAsia" w:ascii="宋体" w:hAnsi="宋体" w:eastAsia="宋体" w:cs="Times New Roman"/>
          <w:b w:val="0"/>
          <w:bCs w:val="0"/>
          <w:color w:val="auto"/>
          <w:kern w:val="2"/>
          <w:sz w:val="24"/>
          <w:szCs w:val="24"/>
          <w:lang w:val="en-US" w:eastAsia="zh-CN" w:bidi="ar-SA"/>
        </w:rPr>
        <w:t>年     月     日</w:t>
      </w:r>
    </w:p>
    <w:p w14:paraId="04B54136">
      <w:pPr>
        <w:jc w:val="left"/>
        <w:rPr>
          <w:rFonts w:hint="eastAsia" w:ascii="宋体" w:hAnsi="宋体" w:eastAsia="宋体" w:cs="Times New Roman"/>
          <w:b w:val="0"/>
          <w:bCs w:val="0"/>
          <w:color w:val="auto"/>
          <w:kern w:val="2"/>
          <w:sz w:val="24"/>
          <w:szCs w:val="24"/>
          <w:lang w:val="en-US" w:eastAsia="zh-CN" w:bidi="ar-SA"/>
        </w:rPr>
      </w:pPr>
    </w:p>
    <w:p w14:paraId="01DBFF5B">
      <w:pPr>
        <w:jc w:val="left"/>
        <w:rPr>
          <w:rFonts w:hint="eastAsia" w:ascii="宋体" w:hAnsi="宋体" w:eastAsia="宋体" w:cs="Times New Roman"/>
          <w:b w:val="0"/>
          <w:bCs w:val="0"/>
          <w:color w:val="auto"/>
          <w:kern w:val="2"/>
          <w:sz w:val="24"/>
          <w:szCs w:val="24"/>
          <w:lang w:val="en-US" w:eastAsia="zh-CN" w:bidi="ar-SA"/>
        </w:rPr>
      </w:pPr>
    </w:p>
    <w:p w14:paraId="10498A17">
      <w:pPr>
        <w:jc w:val="left"/>
        <w:rPr>
          <w:rFonts w:hint="eastAsia" w:ascii="宋体" w:hAnsi="宋体" w:eastAsia="宋体" w:cs="宋体"/>
          <w:b/>
          <w:color w:val="auto"/>
          <w:sz w:val="24"/>
          <w:lang w:val="en-US" w:eastAsia="zh-CN"/>
        </w:rPr>
      </w:pPr>
      <w:r>
        <w:rPr>
          <w:rFonts w:hint="eastAsia" w:ascii="宋体" w:hAnsi="宋体" w:eastAsia="宋体" w:cs="Times New Roman"/>
          <w:b w:val="0"/>
          <w:bCs w:val="0"/>
          <w:color w:val="auto"/>
          <w:kern w:val="2"/>
          <w:sz w:val="24"/>
          <w:szCs w:val="24"/>
          <w:lang w:val="en-US" w:eastAsia="zh-CN" w:bidi="ar-SA"/>
        </w:rPr>
        <w:t>注、企业规模划分标准：《关于印发中小企业划型标准规定的通知》（工信部联企业〔2011〕300号）</w:t>
      </w:r>
    </w:p>
    <w:p w14:paraId="0C097E52">
      <w:pPr>
        <w:jc w:val="center"/>
        <w:rPr>
          <w:rFonts w:hint="eastAsia" w:ascii="宋体" w:hAnsi="宋体" w:cs="宋体"/>
          <w:b/>
          <w:color w:val="auto"/>
          <w:sz w:val="24"/>
        </w:rPr>
        <w:sectPr>
          <w:headerReference r:id="rId3" w:type="default"/>
          <w:footerReference r:id="rId4" w:type="default"/>
          <w:pgSz w:w="11906" w:h="16838"/>
          <w:pgMar w:top="1440" w:right="1080" w:bottom="1440" w:left="1080" w:header="567" w:footer="283" w:gutter="0"/>
          <w:pgNumType w:fmt="decimal" w:start="1"/>
          <w:cols w:space="720" w:num="1"/>
          <w:docGrid w:linePitch="312" w:charSpace="0"/>
        </w:sectPr>
      </w:pPr>
    </w:p>
    <w:p w14:paraId="3A961E94">
      <w:pPr>
        <w:spacing w:before="120" w:beforeLines="50" w:after="120" w:afterLines="50" w:line="276" w:lineRule="auto"/>
        <w:jc w:val="center"/>
        <w:rPr>
          <w:rFonts w:hint="eastAsia" w:ascii="宋体" w:hAnsi="宋体" w:eastAsia="宋体" w:cs="宋体"/>
          <w:b/>
          <w:color w:val="auto"/>
          <w:sz w:val="28"/>
          <w:szCs w:val="28"/>
          <w:lang w:eastAsia="zh-CN"/>
        </w:rPr>
      </w:pPr>
      <w:r>
        <w:rPr>
          <w:rFonts w:hint="eastAsia" w:ascii="宋体" w:hAnsi="宋体" w:cs="宋体"/>
          <w:b/>
          <w:color w:val="auto"/>
          <w:sz w:val="28"/>
          <w:szCs w:val="28"/>
        </w:rPr>
        <w:t>第三部分、采购需求响应程度</w:t>
      </w:r>
      <w:bookmarkStart w:id="3" w:name="_Toc476514128"/>
      <w:bookmarkStart w:id="4" w:name="_Toc486424819"/>
    </w:p>
    <w:p w14:paraId="55BCBFA4">
      <w:pPr>
        <w:pStyle w:val="17"/>
        <w:rPr>
          <w:rFonts w:hint="eastAsia"/>
          <w:lang w:eastAsia="zh-CN"/>
        </w:rPr>
      </w:pPr>
    </w:p>
    <w:p w14:paraId="5D24C696">
      <w:pPr>
        <w:spacing w:before="120" w:beforeLines="50" w:after="120" w:afterLines="50" w:line="276" w:lineRule="auto"/>
        <w:jc w:val="center"/>
        <w:rPr>
          <w:b/>
          <w:color w:val="auto"/>
          <w:sz w:val="24"/>
        </w:rPr>
      </w:pPr>
      <w:r>
        <w:rPr>
          <w:b/>
          <w:color w:val="auto"/>
          <w:sz w:val="24"/>
        </w:rPr>
        <w:t>采购需求响应/偏离表</w:t>
      </w:r>
    </w:p>
    <w:p w14:paraId="29E8B025">
      <w:pPr>
        <w:adjustRightInd w:val="0"/>
        <w:snapToGrid w:val="0"/>
        <w:spacing w:line="360" w:lineRule="auto"/>
        <w:rPr>
          <w:color w:val="auto"/>
          <w:szCs w:val="21"/>
        </w:rPr>
      </w:pPr>
      <w:r>
        <w:rPr>
          <w:rFonts w:hint="eastAsia"/>
          <w:color w:val="auto"/>
          <w:sz w:val="24"/>
        </w:rPr>
        <w:t>项目</w:t>
      </w:r>
      <w:r>
        <w:rPr>
          <w:color w:val="auto"/>
          <w:sz w:val="24"/>
        </w:rPr>
        <w:t>编号：                    项目名称：                     包号：</w:t>
      </w:r>
    </w:p>
    <w:tbl>
      <w:tblPr>
        <w:tblStyle w:val="10"/>
        <w:tblW w:w="835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27"/>
        <w:gridCol w:w="1877"/>
        <w:gridCol w:w="1671"/>
        <w:gridCol w:w="1608"/>
        <w:gridCol w:w="1513"/>
        <w:gridCol w:w="1061"/>
      </w:tblGrid>
      <w:tr w14:paraId="36ED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627" w:type="dxa"/>
            <w:noWrap w:val="0"/>
            <w:vAlign w:val="center"/>
          </w:tcPr>
          <w:p w14:paraId="41D21965">
            <w:pPr>
              <w:adjustRightInd w:val="0"/>
              <w:snapToGrid w:val="0"/>
              <w:spacing w:before="50" w:line="360" w:lineRule="auto"/>
              <w:ind w:left="-88" w:leftChars="-42"/>
              <w:jc w:val="center"/>
              <w:rPr>
                <w:color w:val="auto"/>
                <w:szCs w:val="21"/>
              </w:rPr>
            </w:pPr>
            <w:r>
              <w:rPr>
                <w:bCs/>
                <w:color w:val="auto"/>
                <w:szCs w:val="21"/>
              </w:rPr>
              <w:t>序</w:t>
            </w:r>
            <w:r>
              <w:rPr>
                <w:color w:val="auto"/>
                <w:szCs w:val="21"/>
              </w:rPr>
              <w:t>号</w:t>
            </w:r>
          </w:p>
        </w:tc>
        <w:tc>
          <w:tcPr>
            <w:tcW w:w="1877" w:type="dxa"/>
            <w:noWrap w:val="0"/>
            <w:vAlign w:val="center"/>
          </w:tcPr>
          <w:p w14:paraId="49B616AF">
            <w:pPr>
              <w:adjustRightInd w:val="0"/>
              <w:snapToGrid w:val="0"/>
              <w:spacing w:before="50" w:line="360" w:lineRule="auto"/>
              <w:ind w:left="-88" w:leftChars="-42"/>
              <w:jc w:val="center"/>
              <w:rPr>
                <w:color w:val="auto"/>
                <w:szCs w:val="21"/>
              </w:rPr>
            </w:pPr>
            <w:r>
              <w:rPr>
                <w:rFonts w:hint="eastAsia"/>
                <w:color w:val="auto"/>
                <w:szCs w:val="21"/>
                <w:lang w:eastAsia="zh-CN"/>
              </w:rPr>
              <w:t>招标</w:t>
            </w:r>
            <w:r>
              <w:rPr>
                <w:color w:val="auto"/>
                <w:szCs w:val="21"/>
              </w:rPr>
              <w:t>文件章节</w:t>
            </w:r>
            <w:r>
              <w:rPr>
                <w:bCs/>
                <w:color w:val="auto"/>
                <w:szCs w:val="21"/>
              </w:rPr>
              <w:t>条</w:t>
            </w:r>
            <w:r>
              <w:rPr>
                <w:color w:val="auto"/>
                <w:szCs w:val="21"/>
              </w:rPr>
              <w:t>款号</w:t>
            </w:r>
          </w:p>
        </w:tc>
        <w:tc>
          <w:tcPr>
            <w:tcW w:w="1671" w:type="dxa"/>
            <w:noWrap w:val="0"/>
            <w:vAlign w:val="top"/>
          </w:tcPr>
          <w:p w14:paraId="4FA29231">
            <w:pPr>
              <w:adjustRightInd w:val="0"/>
              <w:snapToGrid w:val="0"/>
              <w:spacing w:before="50" w:line="360" w:lineRule="auto"/>
              <w:jc w:val="center"/>
              <w:rPr>
                <w:color w:val="auto"/>
              </w:rPr>
            </w:pPr>
            <w:r>
              <w:rPr>
                <w:rFonts w:hint="eastAsia"/>
                <w:color w:val="auto"/>
                <w:lang w:eastAsia="zh-CN"/>
              </w:rPr>
              <w:t>招标</w:t>
            </w:r>
            <w:r>
              <w:rPr>
                <w:color w:val="auto"/>
              </w:rPr>
              <w:t>文件要求</w:t>
            </w:r>
          </w:p>
        </w:tc>
        <w:tc>
          <w:tcPr>
            <w:tcW w:w="1608" w:type="dxa"/>
            <w:noWrap w:val="0"/>
            <w:vAlign w:val="top"/>
          </w:tcPr>
          <w:p w14:paraId="38B39FB9">
            <w:pPr>
              <w:adjustRightInd w:val="0"/>
              <w:snapToGrid w:val="0"/>
              <w:spacing w:before="50" w:line="360" w:lineRule="auto"/>
              <w:jc w:val="center"/>
              <w:rPr>
                <w:color w:val="auto"/>
              </w:rPr>
            </w:pPr>
            <w:r>
              <w:rPr>
                <w:color w:val="auto"/>
              </w:rPr>
              <w:t>投标文件应答</w:t>
            </w:r>
          </w:p>
        </w:tc>
        <w:tc>
          <w:tcPr>
            <w:tcW w:w="1513" w:type="dxa"/>
            <w:noWrap w:val="0"/>
            <w:vAlign w:val="center"/>
          </w:tcPr>
          <w:p w14:paraId="082F258F">
            <w:pPr>
              <w:adjustRightInd w:val="0"/>
              <w:snapToGrid w:val="0"/>
              <w:spacing w:before="50" w:line="360" w:lineRule="auto"/>
              <w:ind w:left="-88" w:leftChars="-42"/>
              <w:jc w:val="center"/>
              <w:rPr>
                <w:color w:val="auto"/>
                <w:szCs w:val="21"/>
              </w:rPr>
            </w:pPr>
            <w:r>
              <w:rPr>
                <w:color w:val="auto"/>
                <w:szCs w:val="21"/>
              </w:rPr>
              <w:t>响应/偏离</w:t>
            </w:r>
          </w:p>
        </w:tc>
        <w:tc>
          <w:tcPr>
            <w:tcW w:w="1061" w:type="dxa"/>
            <w:noWrap w:val="0"/>
            <w:vAlign w:val="center"/>
          </w:tcPr>
          <w:p w14:paraId="7E37011B">
            <w:pPr>
              <w:adjustRightInd w:val="0"/>
              <w:snapToGrid w:val="0"/>
              <w:spacing w:before="50" w:line="360" w:lineRule="auto"/>
              <w:ind w:left="-88" w:leftChars="-42"/>
              <w:jc w:val="center"/>
              <w:rPr>
                <w:color w:val="auto"/>
                <w:szCs w:val="21"/>
              </w:rPr>
            </w:pPr>
            <w:r>
              <w:rPr>
                <w:color w:val="auto"/>
                <w:szCs w:val="21"/>
              </w:rPr>
              <w:t>偏离说明</w:t>
            </w:r>
          </w:p>
        </w:tc>
      </w:tr>
      <w:tr w14:paraId="2413E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27" w:type="dxa"/>
            <w:noWrap w:val="0"/>
            <w:vAlign w:val="center"/>
          </w:tcPr>
          <w:p w14:paraId="2D8C0D78">
            <w:pPr>
              <w:adjustRightInd w:val="0"/>
              <w:snapToGrid w:val="0"/>
              <w:spacing w:before="50" w:line="360" w:lineRule="auto"/>
              <w:ind w:left="-88" w:leftChars="-42"/>
              <w:jc w:val="center"/>
              <w:rPr>
                <w:color w:val="auto"/>
                <w:szCs w:val="21"/>
              </w:rPr>
            </w:pPr>
          </w:p>
        </w:tc>
        <w:tc>
          <w:tcPr>
            <w:tcW w:w="1877" w:type="dxa"/>
            <w:noWrap w:val="0"/>
            <w:vAlign w:val="center"/>
          </w:tcPr>
          <w:p w14:paraId="3B97111F">
            <w:pPr>
              <w:adjustRightInd w:val="0"/>
              <w:snapToGrid w:val="0"/>
              <w:spacing w:before="50" w:line="360" w:lineRule="auto"/>
              <w:ind w:left="-88" w:leftChars="-42"/>
              <w:jc w:val="center"/>
              <w:rPr>
                <w:color w:val="auto"/>
                <w:szCs w:val="21"/>
              </w:rPr>
            </w:pPr>
          </w:p>
        </w:tc>
        <w:tc>
          <w:tcPr>
            <w:tcW w:w="1671" w:type="dxa"/>
            <w:noWrap w:val="0"/>
            <w:vAlign w:val="center"/>
          </w:tcPr>
          <w:p w14:paraId="3C767129">
            <w:pPr>
              <w:adjustRightInd w:val="0"/>
              <w:snapToGrid w:val="0"/>
              <w:spacing w:before="50" w:line="360" w:lineRule="auto"/>
              <w:ind w:left="-88" w:leftChars="-42"/>
              <w:jc w:val="center"/>
              <w:rPr>
                <w:color w:val="auto"/>
                <w:szCs w:val="21"/>
              </w:rPr>
            </w:pPr>
          </w:p>
        </w:tc>
        <w:tc>
          <w:tcPr>
            <w:tcW w:w="1608" w:type="dxa"/>
            <w:noWrap w:val="0"/>
            <w:vAlign w:val="center"/>
          </w:tcPr>
          <w:p w14:paraId="10491CEC">
            <w:pPr>
              <w:adjustRightInd w:val="0"/>
              <w:snapToGrid w:val="0"/>
              <w:spacing w:before="50" w:line="360" w:lineRule="auto"/>
              <w:ind w:left="-88" w:leftChars="-42"/>
              <w:jc w:val="center"/>
              <w:rPr>
                <w:color w:val="auto"/>
                <w:szCs w:val="21"/>
              </w:rPr>
            </w:pPr>
          </w:p>
        </w:tc>
        <w:tc>
          <w:tcPr>
            <w:tcW w:w="1513" w:type="dxa"/>
            <w:noWrap w:val="0"/>
            <w:vAlign w:val="center"/>
          </w:tcPr>
          <w:p w14:paraId="0D2FA595">
            <w:pPr>
              <w:adjustRightInd w:val="0"/>
              <w:snapToGrid w:val="0"/>
              <w:spacing w:before="50" w:line="360" w:lineRule="auto"/>
              <w:ind w:left="-88" w:leftChars="-42"/>
              <w:jc w:val="center"/>
              <w:rPr>
                <w:color w:val="auto"/>
                <w:szCs w:val="21"/>
              </w:rPr>
            </w:pPr>
          </w:p>
        </w:tc>
        <w:tc>
          <w:tcPr>
            <w:tcW w:w="1061" w:type="dxa"/>
            <w:noWrap w:val="0"/>
            <w:vAlign w:val="center"/>
          </w:tcPr>
          <w:p w14:paraId="405E0687">
            <w:pPr>
              <w:adjustRightInd w:val="0"/>
              <w:snapToGrid w:val="0"/>
              <w:spacing w:before="50" w:line="360" w:lineRule="auto"/>
              <w:ind w:left="-88" w:leftChars="-42"/>
              <w:jc w:val="center"/>
              <w:rPr>
                <w:color w:val="auto"/>
                <w:szCs w:val="21"/>
              </w:rPr>
            </w:pPr>
          </w:p>
        </w:tc>
      </w:tr>
      <w:tr w14:paraId="785E89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27" w:type="dxa"/>
            <w:noWrap w:val="0"/>
            <w:vAlign w:val="center"/>
          </w:tcPr>
          <w:p w14:paraId="28D93EAA">
            <w:pPr>
              <w:adjustRightInd w:val="0"/>
              <w:snapToGrid w:val="0"/>
              <w:spacing w:before="50" w:line="360" w:lineRule="auto"/>
              <w:ind w:left="-88" w:leftChars="-42"/>
              <w:jc w:val="center"/>
              <w:rPr>
                <w:color w:val="auto"/>
                <w:szCs w:val="21"/>
              </w:rPr>
            </w:pPr>
          </w:p>
        </w:tc>
        <w:tc>
          <w:tcPr>
            <w:tcW w:w="1877" w:type="dxa"/>
            <w:noWrap w:val="0"/>
            <w:vAlign w:val="center"/>
          </w:tcPr>
          <w:p w14:paraId="137A2751">
            <w:pPr>
              <w:adjustRightInd w:val="0"/>
              <w:snapToGrid w:val="0"/>
              <w:spacing w:before="50" w:line="360" w:lineRule="auto"/>
              <w:ind w:left="-88" w:leftChars="-42"/>
              <w:jc w:val="center"/>
              <w:rPr>
                <w:color w:val="auto"/>
                <w:szCs w:val="21"/>
              </w:rPr>
            </w:pPr>
          </w:p>
        </w:tc>
        <w:tc>
          <w:tcPr>
            <w:tcW w:w="1671" w:type="dxa"/>
            <w:noWrap w:val="0"/>
            <w:vAlign w:val="center"/>
          </w:tcPr>
          <w:p w14:paraId="6C388274">
            <w:pPr>
              <w:adjustRightInd w:val="0"/>
              <w:snapToGrid w:val="0"/>
              <w:spacing w:before="50" w:line="360" w:lineRule="auto"/>
              <w:ind w:left="-88" w:leftChars="-42"/>
              <w:jc w:val="center"/>
              <w:rPr>
                <w:color w:val="auto"/>
                <w:szCs w:val="21"/>
              </w:rPr>
            </w:pPr>
          </w:p>
        </w:tc>
        <w:tc>
          <w:tcPr>
            <w:tcW w:w="1608" w:type="dxa"/>
            <w:noWrap w:val="0"/>
            <w:vAlign w:val="center"/>
          </w:tcPr>
          <w:p w14:paraId="2C6473D1">
            <w:pPr>
              <w:adjustRightInd w:val="0"/>
              <w:snapToGrid w:val="0"/>
              <w:spacing w:before="50" w:line="360" w:lineRule="auto"/>
              <w:ind w:left="-88" w:leftChars="-42"/>
              <w:jc w:val="center"/>
              <w:rPr>
                <w:color w:val="auto"/>
                <w:szCs w:val="21"/>
              </w:rPr>
            </w:pPr>
          </w:p>
        </w:tc>
        <w:tc>
          <w:tcPr>
            <w:tcW w:w="1513" w:type="dxa"/>
            <w:noWrap w:val="0"/>
            <w:vAlign w:val="center"/>
          </w:tcPr>
          <w:p w14:paraId="1E6B0EBF">
            <w:pPr>
              <w:adjustRightInd w:val="0"/>
              <w:snapToGrid w:val="0"/>
              <w:spacing w:before="50" w:line="360" w:lineRule="auto"/>
              <w:ind w:left="-88" w:leftChars="-42"/>
              <w:jc w:val="center"/>
              <w:rPr>
                <w:color w:val="auto"/>
                <w:szCs w:val="21"/>
              </w:rPr>
            </w:pPr>
          </w:p>
        </w:tc>
        <w:tc>
          <w:tcPr>
            <w:tcW w:w="1061" w:type="dxa"/>
            <w:noWrap w:val="0"/>
            <w:vAlign w:val="center"/>
          </w:tcPr>
          <w:p w14:paraId="6CF580D9">
            <w:pPr>
              <w:adjustRightInd w:val="0"/>
              <w:snapToGrid w:val="0"/>
              <w:spacing w:before="50" w:line="360" w:lineRule="auto"/>
              <w:ind w:left="-88" w:leftChars="-42"/>
              <w:jc w:val="center"/>
              <w:rPr>
                <w:color w:val="auto"/>
                <w:szCs w:val="21"/>
              </w:rPr>
            </w:pPr>
          </w:p>
        </w:tc>
      </w:tr>
      <w:tr w14:paraId="2430B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627" w:type="dxa"/>
            <w:noWrap w:val="0"/>
            <w:vAlign w:val="center"/>
          </w:tcPr>
          <w:p w14:paraId="7E8AA852">
            <w:pPr>
              <w:adjustRightInd w:val="0"/>
              <w:snapToGrid w:val="0"/>
              <w:spacing w:before="50" w:line="360" w:lineRule="auto"/>
              <w:ind w:left="-88" w:leftChars="-42"/>
              <w:jc w:val="center"/>
              <w:rPr>
                <w:color w:val="auto"/>
                <w:szCs w:val="21"/>
              </w:rPr>
            </w:pPr>
          </w:p>
        </w:tc>
        <w:tc>
          <w:tcPr>
            <w:tcW w:w="1877" w:type="dxa"/>
            <w:noWrap w:val="0"/>
            <w:vAlign w:val="center"/>
          </w:tcPr>
          <w:p w14:paraId="4075E40D">
            <w:pPr>
              <w:adjustRightInd w:val="0"/>
              <w:snapToGrid w:val="0"/>
              <w:spacing w:before="50" w:line="360" w:lineRule="auto"/>
              <w:ind w:left="-88" w:leftChars="-42"/>
              <w:jc w:val="center"/>
              <w:rPr>
                <w:color w:val="auto"/>
                <w:szCs w:val="21"/>
              </w:rPr>
            </w:pPr>
          </w:p>
        </w:tc>
        <w:tc>
          <w:tcPr>
            <w:tcW w:w="1671" w:type="dxa"/>
            <w:noWrap w:val="0"/>
            <w:vAlign w:val="center"/>
          </w:tcPr>
          <w:p w14:paraId="6C702BB2">
            <w:pPr>
              <w:adjustRightInd w:val="0"/>
              <w:snapToGrid w:val="0"/>
              <w:spacing w:before="50" w:line="360" w:lineRule="auto"/>
              <w:ind w:left="-88" w:leftChars="-42"/>
              <w:jc w:val="center"/>
              <w:rPr>
                <w:color w:val="auto"/>
                <w:szCs w:val="21"/>
              </w:rPr>
            </w:pPr>
          </w:p>
        </w:tc>
        <w:tc>
          <w:tcPr>
            <w:tcW w:w="1608" w:type="dxa"/>
            <w:noWrap w:val="0"/>
            <w:vAlign w:val="center"/>
          </w:tcPr>
          <w:p w14:paraId="727E8D5F">
            <w:pPr>
              <w:adjustRightInd w:val="0"/>
              <w:snapToGrid w:val="0"/>
              <w:spacing w:before="50" w:line="360" w:lineRule="auto"/>
              <w:ind w:left="-88" w:leftChars="-42"/>
              <w:jc w:val="center"/>
              <w:rPr>
                <w:color w:val="auto"/>
                <w:szCs w:val="21"/>
              </w:rPr>
            </w:pPr>
          </w:p>
        </w:tc>
        <w:tc>
          <w:tcPr>
            <w:tcW w:w="1513" w:type="dxa"/>
            <w:noWrap w:val="0"/>
            <w:vAlign w:val="center"/>
          </w:tcPr>
          <w:p w14:paraId="1CADE362">
            <w:pPr>
              <w:adjustRightInd w:val="0"/>
              <w:snapToGrid w:val="0"/>
              <w:spacing w:before="50" w:line="360" w:lineRule="auto"/>
              <w:ind w:left="-88" w:leftChars="-42"/>
              <w:jc w:val="center"/>
              <w:rPr>
                <w:color w:val="auto"/>
                <w:szCs w:val="21"/>
              </w:rPr>
            </w:pPr>
          </w:p>
        </w:tc>
        <w:tc>
          <w:tcPr>
            <w:tcW w:w="1061" w:type="dxa"/>
            <w:noWrap w:val="0"/>
            <w:vAlign w:val="center"/>
          </w:tcPr>
          <w:p w14:paraId="4C669EA3">
            <w:pPr>
              <w:adjustRightInd w:val="0"/>
              <w:snapToGrid w:val="0"/>
              <w:spacing w:before="50" w:line="360" w:lineRule="auto"/>
              <w:ind w:left="-88" w:leftChars="-42"/>
              <w:jc w:val="center"/>
              <w:rPr>
                <w:color w:val="auto"/>
                <w:szCs w:val="21"/>
              </w:rPr>
            </w:pPr>
          </w:p>
        </w:tc>
      </w:tr>
      <w:tr w14:paraId="24269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8357" w:type="dxa"/>
            <w:gridSpan w:val="6"/>
            <w:noWrap w:val="0"/>
            <w:vAlign w:val="center"/>
          </w:tcPr>
          <w:p w14:paraId="2AF229AE">
            <w:pPr>
              <w:rPr>
                <w:b/>
                <w:color w:val="auto"/>
              </w:rPr>
            </w:pPr>
          </w:p>
        </w:tc>
      </w:tr>
    </w:tbl>
    <w:p w14:paraId="30277756">
      <w:pPr>
        <w:adjustRightInd w:val="0"/>
        <w:snapToGrid w:val="0"/>
        <w:spacing w:before="50" w:line="360" w:lineRule="auto"/>
        <w:ind w:left="-88" w:leftChars="-42"/>
        <w:rPr>
          <w:color w:val="auto"/>
          <w:sz w:val="24"/>
        </w:rPr>
      </w:pPr>
      <w:r>
        <w:rPr>
          <w:b/>
          <w:color w:val="auto"/>
          <w:sz w:val="24"/>
        </w:rPr>
        <w:t>备注</w:t>
      </w:r>
      <w:r>
        <w:rPr>
          <w:color w:val="auto"/>
          <w:sz w:val="24"/>
        </w:rPr>
        <w:t>：</w:t>
      </w:r>
    </w:p>
    <w:bookmarkEnd w:id="3"/>
    <w:bookmarkEnd w:id="4"/>
    <w:p w14:paraId="2C3E146B">
      <w:pPr>
        <w:adjustRightInd w:val="0"/>
        <w:snapToGrid w:val="0"/>
        <w:spacing w:before="50" w:line="360" w:lineRule="auto"/>
        <w:ind w:left="-88" w:leftChars="-42"/>
        <w:rPr>
          <w:rFonts w:hint="eastAsia"/>
          <w:color w:val="auto"/>
          <w:sz w:val="24"/>
        </w:rPr>
      </w:pPr>
      <w:r>
        <w:rPr>
          <w:color w:val="auto"/>
          <w:sz w:val="24"/>
        </w:rPr>
        <w:t>（1）投标人应根据文件第</w:t>
      </w:r>
      <w:r>
        <w:rPr>
          <w:rFonts w:hint="eastAsia"/>
          <w:color w:val="auto"/>
          <w:sz w:val="24"/>
          <w:lang w:val="en-US" w:eastAsia="zh-CN"/>
        </w:rPr>
        <w:t>二</w:t>
      </w:r>
      <w:r>
        <w:rPr>
          <w:color w:val="auto"/>
          <w:sz w:val="24"/>
        </w:rPr>
        <w:t>章中采购需求填写本表，逐条应答；</w:t>
      </w:r>
    </w:p>
    <w:p w14:paraId="521E58CA">
      <w:pPr>
        <w:adjustRightInd w:val="0"/>
        <w:snapToGrid w:val="0"/>
        <w:spacing w:before="50" w:line="360" w:lineRule="auto"/>
        <w:ind w:left="-88" w:leftChars="-42"/>
        <w:rPr>
          <w:rFonts w:hint="eastAsia"/>
          <w:color w:val="auto"/>
          <w:sz w:val="24"/>
        </w:rPr>
      </w:pPr>
      <w:r>
        <w:rPr>
          <w:color w:val="auto"/>
          <w:sz w:val="24"/>
        </w:rPr>
        <w:t>（2）如不提供此表，则视为投标人不满足文件第</w:t>
      </w:r>
      <w:r>
        <w:rPr>
          <w:rFonts w:hint="eastAsia"/>
          <w:color w:val="auto"/>
          <w:sz w:val="24"/>
          <w:lang w:eastAsia="zh-CN"/>
        </w:rPr>
        <w:t>二</w:t>
      </w:r>
      <w:r>
        <w:rPr>
          <w:color w:val="auto"/>
          <w:sz w:val="24"/>
        </w:rPr>
        <w:t>章的所有条款要求，其投标无效；</w:t>
      </w:r>
    </w:p>
    <w:p w14:paraId="04EB0413">
      <w:pPr>
        <w:adjustRightInd w:val="0"/>
        <w:snapToGrid w:val="0"/>
        <w:spacing w:before="50" w:line="360" w:lineRule="auto"/>
        <w:ind w:left="-88" w:leftChars="-42"/>
        <w:rPr>
          <w:rFonts w:hint="eastAsia" w:eastAsia="宋体"/>
          <w:color w:val="auto"/>
          <w:lang w:eastAsia="zh-CN"/>
        </w:rPr>
      </w:pPr>
      <w:r>
        <w:rPr>
          <w:color w:val="auto"/>
          <w:sz w:val="24"/>
        </w:rPr>
        <w:t>（3）</w:t>
      </w:r>
      <w:r>
        <w:rPr>
          <w:rFonts w:hint="eastAsia"/>
          <w:color w:val="auto"/>
          <w:sz w:val="24"/>
          <w:lang w:eastAsia="zh-CN"/>
        </w:rPr>
        <w:t>本项目为综合评分法，所有参数必须在响应表中逐条应答。</w:t>
      </w:r>
    </w:p>
    <w:p w14:paraId="2C1FF301">
      <w:pPr>
        <w:pStyle w:val="18"/>
        <w:rPr>
          <w:color w:val="auto"/>
        </w:rPr>
      </w:pPr>
    </w:p>
    <w:p w14:paraId="4317B66E">
      <w:pPr>
        <w:pStyle w:val="17"/>
        <w:rPr>
          <w:rFonts w:hint="eastAsia"/>
          <w:lang w:eastAsia="zh-CN"/>
        </w:rPr>
      </w:pPr>
    </w:p>
    <w:p w14:paraId="760240DB"/>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80288">
    <w:pPr>
      <w:pStyle w:val="6"/>
      <w:rPr>
        <w:rFonts w:hint="eastAsia" w:ascii="仿宋_GB2312" w:eastAsia="仿宋_GB2312"/>
        <w:bCs/>
        <w:u w:val="single"/>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5B3A1D">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35B3A1D">
                    <w:pPr>
                      <w:pStyle w:val="6"/>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仿宋_GB2312" w:eastAsia="仿宋_GB2312"/>
        <w:bCs/>
        <w:u w:val="single"/>
      </w:rPr>
      <w:t xml:space="preserve">                                                                                                 </w:t>
    </w:r>
  </w:p>
  <w:p w14:paraId="14971896">
    <w:pPr>
      <w:adjustRightInd w:val="0"/>
      <w:snapToGrid w:val="0"/>
      <w:spacing w:line="260" w:lineRule="atLeast"/>
      <w:rPr>
        <w:rFonts w:hint="eastAsia"/>
        <w:kern w:val="0"/>
        <w:sz w:val="18"/>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BD61D">
    <w:pPr>
      <w:pStyle w:val="6"/>
      <w:rPr>
        <w:rFonts w:hint="eastAsia" w:ascii="仿宋_GB2312" w:eastAsia="仿宋_GB2312"/>
        <w:bCs/>
        <w:u w:val="single"/>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3B7A8">
                          <w:pPr>
                            <w:pStyle w:val="6"/>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7B3B7A8">
                    <w:pPr>
                      <w:pStyle w:val="6"/>
                    </w:pPr>
                    <w:r>
                      <w:fldChar w:fldCharType="begin"/>
                    </w:r>
                    <w:r>
                      <w:instrText xml:space="preserve"> PAGE  \* MERGEFORMAT </w:instrText>
                    </w:r>
                    <w:r>
                      <w:fldChar w:fldCharType="separate"/>
                    </w:r>
                    <w:r>
                      <w:t>15</w:t>
                    </w:r>
                    <w:r>
                      <w:fldChar w:fldCharType="end"/>
                    </w:r>
                  </w:p>
                </w:txbxContent>
              </v:textbox>
            </v:shape>
          </w:pict>
        </mc:Fallback>
      </mc:AlternateContent>
    </w:r>
    <w:r>
      <w:rPr>
        <w:rFonts w:hint="eastAsia" w:ascii="仿宋_GB2312" w:eastAsia="仿宋_GB2312"/>
        <w:bCs/>
        <w:u w:val="single"/>
      </w:rPr>
      <w:t xml:space="preserve">                                                                                                 </w:t>
    </w:r>
  </w:p>
  <w:p w14:paraId="4BE9169C">
    <w:pPr>
      <w:adjustRightInd w:val="0"/>
      <w:snapToGrid w:val="0"/>
      <w:spacing w:line="260" w:lineRule="atLeast"/>
      <w:rPr>
        <w:rFonts w:hint="eastAsia"/>
        <w:kern w:val="0"/>
        <w:sz w:val="18"/>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83597">
    <w:pPr>
      <w:pStyle w:val="7"/>
      <w:ind w:left="8280" w:hanging="8280" w:hangingChars="4600"/>
      <w:jc w:val="both"/>
      <w:rPr>
        <w:rFonts w:hint="eastAsia"/>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8914C"/>
    <w:multiLevelType w:val="singleLevel"/>
    <w:tmpl w:val="BB68914C"/>
    <w:lvl w:ilvl="0" w:tentative="0">
      <w:start w:val="2"/>
      <w:numFmt w:val="chineseCounting"/>
      <w:suff w:val="nothing"/>
      <w:lvlText w:val="%1、"/>
      <w:lvlJc w:val="left"/>
      <w:rPr>
        <w:rFonts w:hint="eastAsia"/>
      </w:rPr>
    </w:lvl>
  </w:abstractNum>
  <w:abstractNum w:abstractNumId="1">
    <w:nsid w:val="EB67FE42"/>
    <w:multiLevelType w:val="singleLevel"/>
    <w:tmpl w:val="EB67FE42"/>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3YmMxNGQ0NDE0NTRiYjQ3MWFkZjk1MWM2MTc2NWEifQ=="/>
  </w:docVars>
  <w:rsids>
    <w:rsidRoot w:val="6DE375E4"/>
    <w:rsid w:val="004608AD"/>
    <w:rsid w:val="00AE556A"/>
    <w:rsid w:val="01062C1A"/>
    <w:rsid w:val="01350E35"/>
    <w:rsid w:val="02390242"/>
    <w:rsid w:val="03E43FAE"/>
    <w:rsid w:val="04653F41"/>
    <w:rsid w:val="04B72FC8"/>
    <w:rsid w:val="04F57A38"/>
    <w:rsid w:val="050719CA"/>
    <w:rsid w:val="06934BAA"/>
    <w:rsid w:val="06E91EC4"/>
    <w:rsid w:val="07583825"/>
    <w:rsid w:val="086F75C9"/>
    <w:rsid w:val="09C0303A"/>
    <w:rsid w:val="0A3F4F3C"/>
    <w:rsid w:val="0A6D3244"/>
    <w:rsid w:val="0A8A74D4"/>
    <w:rsid w:val="0CAD77BD"/>
    <w:rsid w:val="0DD97AF8"/>
    <w:rsid w:val="0E331420"/>
    <w:rsid w:val="0EDD1643"/>
    <w:rsid w:val="0FB9029C"/>
    <w:rsid w:val="10897B23"/>
    <w:rsid w:val="10914EF9"/>
    <w:rsid w:val="10B8663C"/>
    <w:rsid w:val="12080B62"/>
    <w:rsid w:val="12994AC5"/>
    <w:rsid w:val="129F447F"/>
    <w:rsid w:val="12C86253"/>
    <w:rsid w:val="14E40477"/>
    <w:rsid w:val="15060AC8"/>
    <w:rsid w:val="15125EAE"/>
    <w:rsid w:val="15675A4C"/>
    <w:rsid w:val="1763111F"/>
    <w:rsid w:val="17F91BB8"/>
    <w:rsid w:val="193E7D91"/>
    <w:rsid w:val="1943608F"/>
    <w:rsid w:val="19E40286"/>
    <w:rsid w:val="19E91315"/>
    <w:rsid w:val="1AF56B46"/>
    <w:rsid w:val="1C795D39"/>
    <w:rsid w:val="1CE412C7"/>
    <w:rsid w:val="1D5071B5"/>
    <w:rsid w:val="1DD7486D"/>
    <w:rsid w:val="1E79119D"/>
    <w:rsid w:val="1F334F58"/>
    <w:rsid w:val="1F796B24"/>
    <w:rsid w:val="1FC602A8"/>
    <w:rsid w:val="1FE73549"/>
    <w:rsid w:val="2038045E"/>
    <w:rsid w:val="208F6E7F"/>
    <w:rsid w:val="20AF0900"/>
    <w:rsid w:val="20B41DA7"/>
    <w:rsid w:val="21C61C7A"/>
    <w:rsid w:val="2383771E"/>
    <w:rsid w:val="23F374DB"/>
    <w:rsid w:val="24881A32"/>
    <w:rsid w:val="25266F96"/>
    <w:rsid w:val="267547DF"/>
    <w:rsid w:val="272B6E6C"/>
    <w:rsid w:val="27CF2BB7"/>
    <w:rsid w:val="28E81B29"/>
    <w:rsid w:val="28FD390A"/>
    <w:rsid w:val="29B45A41"/>
    <w:rsid w:val="2A174DA9"/>
    <w:rsid w:val="2AB010A8"/>
    <w:rsid w:val="2AC66F99"/>
    <w:rsid w:val="2BD95C83"/>
    <w:rsid w:val="2C0A2E19"/>
    <w:rsid w:val="2C7642D0"/>
    <w:rsid w:val="2CC97A35"/>
    <w:rsid w:val="2CDC672B"/>
    <w:rsid w:val="2DD77C64"/>
    <w:rsid w:val="2DDA1E78"/>
    <w:rsid w:val="2DE00B8C"/>
    <w:rsid w:val="2EAC037F"/>
    <w:rsid w:val="2EB67A5C"/>
    <w:rsid w:val="302741D2"/>
    <w:rsid w:val="308B184D"/>
    <w:rsid w:val="309C1E01"/>
    <w:rsid w:val="30BB11DD"/>
    <w:rsid w:val="31A202A5"/>
    <w:rsid w:val="31F17CD1"/>
    <w:rsid w:val="324F4D43"/>
    <w:rsid w:val="32E86B4C"/>
    <w:rsid w:val="33384C93"/>
    <w:rsid w:val="340F06E9"/>
    <w:rsid w:val="34C12F54"/>
    <w:rsid w:val="361110A5"/>
    <w:rsid w:val="366241E2"/>
    <w:rsid w:val="36B66AAC"/>
    <w:rsid w:val="36E47928"/>
    <w:rsid w:val="372F7378"/>
    <w:rsid w:val="37BA0809"/>
    <w:rsid w:val="38FF7404"/>
    <w:rsid w:val="397348CD"/>
    <w:rsid w:val="3A8E0AB7"/>
    <w:rsid w:val="3A994AB7"/>
    <w:rsid w:val="3B3B544D"/>
    <w:rsid w:val="3B654F2B"/>
    <w:rsid w:val="3BB72BAE"/>
    <w:rsid w:val="3BFC7D2B"/>
    <w:rsid w:val="3C7C799C"/>
    <w:rsid w:val="3C8A61A4"/>
    <w:rsid w:val="3D5E17FF"/>
    <w:rsid w:val="3DF93413"/>
    <w:rsid w:val="3DFD1951"/>
    <w:rsid w:val="3E1F0DA4"/>
    <w:rsid w:val="3E584E51"/>
    <w:rsid w:val="3E6E70D5"/>
    <w:rsid w:val="3EBE1ADE"/>
    <w:rsid w:val="403B4B34"/>
    <w:rsid w:val="40681D02"/>
    <w:rsid w:val="4140452A"/>
    <w:rsid w:val="414D7889"/>
    <w:rsid w:val="41BB0BAE"/>
    <w:rsid w:val="425629F5"/>
    <w:rsid w:val="4284152B"/>
    <w:rsid w:val="429A4992"/>
    <w:rsid w:val="435B161D"/>
    <w:rsid w:val="437710EF"/>
    <w:rsid w:val="43B25DAC"/>
    <w:rsid w:val="44771DFD"/>
    <w:rsid w:val="45D569C3"/>
    <w:rsid w:val="479B74B7"/>
    <w:rsid w:val="48735221"/>
    <w:rsid w:val="49E92B05"/>
    <w:rsid w:val="4A354E62"/>
    <w:rsid w:val="4AEE1A11"/>
    <w:rsid w:val="4B7F39F4"/>
    <w:rsid w:val="4BAE646F"/>
    <w:rsid w:val="4C4D6AA3"/>
    <w:rsid w:val="4CAC1559"/>
    <w:rsid w:val="4D754257"/>
    <w:rsid w:val="4DCD6AB3"/>
    <w:rsid w:val="4EE7662F"/>
    <w:rsid w:val="50216DCD"/>
    <w:rsid w:val="50540C20"/>
    <w:rsid w:val="506258C6"/>
    <w:rsid w:val="51AC28BD"/>
    <w:rsid w:val="52183ACC"/>
    <w:rsid w:val="521E2A7F"/>
    <w:rsid w:val="53345ECB"/>
    <w:rsid w:val="53B55872"/>
    <w:rsid w:val="544055F2"/>
    <w:rsid w:val="54AD4386"/>
    <w:rsid w:val="55D8243C"/>
    <w:rsid w:val="581A7C72"/>
    <w:rsid w:val="583A4BD7"/>
    <w:rsid w:val="588F6FE2"/>
    <w:rsid w:val="59907279"/>
    <w:rsid w:val="59C51B68"/>
    <w:rsid w:val="59C74B1F"/>
    <w:rsid w:val="5A886F59"/>
    <w:rsid w:val="5DB23133"/>
    <w:rsid w:val="604D5946"/>
    <w:rsid w:val="611B6B1B"/>
    <w:rsid w:val="62C222C2"/>
    <w:rsid w:val="632D7C40"/>
    <w:rsid w:val="64133D6A"/>
    <w:rsid w:val="64245572"/>
    <w:rsid w:val="66C30AF5"/>
    <w:rsid w:val="672737CD"/>
    <w:rsid w:val="678E4F5D"/>
    <w:rsid w:val="67F3562A"/>
    <w:rsid w:val="680E122C"/>
    <w:rsid w:val="6A4E1D63"/>
    <w:rsid w:val="6AA026F2"/>
    <w:rsid w:val="6B592423"/>
    <w:rsid w:val="6B933190"/>
    <w:rsid w:val="6C486FE4"/>
    <w:rsid w:val="6CA409DF"/>
    <w:rsid w:val="6DE375E4"/>
    <w:rsid w:val="6E8E5287"/>
    <w:rsid w:val="6FAC3B48"/>
    <w:rsid w:val="6FAD463B"/>
    <w:rsid w:val="6FBE332C"/>
    <w:rsid w:val="70CE0BC9"/>
    <w:rsid w:val="714125CE"/>
    <w:rsid w:val="71554367"/>
    <w:rsid w:val="71584067"/>
    <w:rsid w:val="71F26E91"/>
    <w:rsid w:val="72931CE4"/>
    <w:rsid w:val="735201FF"/>
    <w:rsid w:val="737B50A4"/>
    <w:rsid w:val="73F40E72"/>
    <w:rsid w:val="74566F5C"/>
    <w:rsid w:val="750117A8"/>
    <w:rsid w:val="755B2270"/>
    <w:rsid w:val="75E27514"/>
    <w:rsid w:val="75F92104"/>
    <w:rsid w:val="7612420D"/>
    <w:rsid w:val="76920D75"/>
    <w:rsid w:val="76C47877"/>
    <w:rsid w:val="77423DFF"/>
    <w:rsid w:val="783B5EA9"/>
    <w:rsid w:val="79EB699D"/>
    <w:rsid w:val="79F871CC"/>
    <w:rsid w:val="7AFF5E62"/>
    <w:rsid w:val="7B0620DE"/>
    <w:rsid w:val="7BBF44BB"/>
    <w:rsid w:val="7BF15CE4"/>
    <w:rsid w:val="7C3A27E5"/>
    <w:rsid w:val="7D9727DD"/>
    <w:rsid w:val="7DCB30EB"/>
    <w:rsid w:val="7E9F79F5"/>
    <w:rsid w:val="7EFB4F6E"/>
    <w:rsid w:val="7F164138"/>
    <w:rsid w:val="7F1A5E95"/>
    <w:rsid w:val="7FFB08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djustRightInd w:val="0"/>
      <w:spacing w:before="340" w:after="330" w:line="578" w:lineRule="atLeast"/>
      <w:textAlignment w:val="baseline"/>
      <w:outlineLvl w:val="0"/>
    </w:pPr>
    <w:rPr>
      <w:b/>
      <w:kern w:val="44"/>
      <w:sz w:val="44"/>
      <w:szCs w:val="20"/>
    </w:rPr>
  </w:style>
  <w:style w:type="paragraph" w:styleId="3">
    <w:name w:val="heading 3"/>
    <w:basedOn w:val="1"/>
    <w:next w:val="1"/>
    <w:qFormat/>
    <w:uiPriority w:val="0"/>
    <w:pPr>
      <w:keepNext/>
      <w:keepLines/>
      <w:adjustRightInd w:val="0"/>
      <w:spacing w:before="260" w:after="260" w:line="416" w:lineRule="atLeast"/>
      <w:textAlignment w:val="baseline"/>
      <w:outlineLvl w:val="2"/>
    </w:pPr>
    <w:rPr>
      <w:b/>
      <w:kern w:val="0"/>
      <w:sz w:val="32"/>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99"/>
    <w:pPr>
      <w:spacing w:line="400" w:lineRule="exact"/>
      <w:ind w:left="630"/>
    </w:pPr>
    <w:rPr>
      <w:rFonts w:ascii="楷体_GB2312"/>
      <w:sz w:val="30"/>
      <w:szCs w:val="30"/>
    </w:rPr>
  </w:style>
  <w:style w:type="paragraph" w:styleId="5">
    <w:name w:val="Date"/>
    <w:basedOn w:val="1"/>
    <w:next w:val="1"/>
    <w:qFormat/>
    <w:uiPriority w:val="0"/>
    <w:rPr>
      <w:color w:val="000000"/>
      <w:kern w:val="0"/>
      <w:sz w:val="30"/>
    </w:rPr>
  </w:style>
  <w:style w:type="paragraph" w:styleId="6">
    <w:name w:val="footer"/>
    <w:basedOn w:val="1"/>
    <w:qFormat/>
    <w:uiPriority w:val="0"/>
    <w:pPr>
      <w:tabs>
        <w:tab w:val="center" w:pos="4153"/>
        <w:tab w:val="right" w:pos="8306"/>
      </w:tabs>
      <w:snapToGrid w:val="0"/>
      <w:jc w:val="left"/>
    </w:pPr>
    <w:rPr>
      <w:kern w:val="0"/>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rPr>
      <w:sz w:val="24"/>
    </w:rPr>
  </w:style>
  <w:style w:type="paragraph" w:styleId="9">
    <w:name w:val="Body Text First Indent 2"/>
    <w:basedOn w:val="4"/>
    <w:qFormat/>
    <w:uiPriority w:val="0"/>
    <w:pPr>
      <w:overflowPunct w:val="0"/>
      <w:adjustRightInd w:val="0"/>
      <w:spacing w:line="500" w:lineRule="exact"/>
      <w:ind w:firstLine="420" w:firstLineChars="200"/>
      <w:textAlignment w:val="baseline"/>
    </w:pPr>
    <w:rPr>
      <w:rFonts w:eastAsia="仿宋_GB2312"/>
      <w:kern w:val="28"/>
      <w:sz w:val="2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Emphasis"/>
    <w:basedOn w:val="12"/>
    <w:qFormat/>
    <w:uiPriority w:val="20"/>
    <w:rPr>
      <w:i/>
    </w:rPr>
  </w:style>
  <w:style w:type="paragraph" w:customStyle="1" w:styleId="14">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15">
    <w:name w:val="Default"/>
    <w:next w:val="1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6">
    <w:name w:val="大标题"/>
    <w:basedOn w:val="1"/>
    <w:next w:val="9"/>
    <w:qFormat/>
    <w:uiPriority w:val="0"/>
    <w:pPr>
      <w:jc w:val="center"/>
    </w:pPr>
    <w:rPr>
      <w:rFonts w:ascii="Arial" w:hAnsi="Arial" w:eastAsia="宋体"/>
      <w:b/>
      <w:sz w:val="28"/>
      <w:szCs w:val="24"/>
    </w:rPr>
  </w:style>
  <w:style w:type="paragraph" w:customStyle="1" w:styleId="17">
    <w:name w:val="列出段落1"/>
    <w:basedOn w:val="1"/>
    <w:qFormat/>
    <w:uiPriority w:val="99"/>
    <w:pPr>
      <w:ind w:firstLine="420" w:firstLineChars="200"/>
    </w:pPr>
  </w:style>
  <w:style w:type="paragraph" w:customStyle="1" w:styleId="18">
    <w:name w:val="无间隔1"/>
    <w:qFormat/>
    <w:uiPriority w:val="0"/>
    <w:pPr>
      <w:widowControl w:val="0"/>
      <w:jc w:val="both"/>
    </w:pPr>
    <w:rPr>
      <w:rFonts w:ascii="Calibri" w:hAnsi="Calibri" w:eastAsia="宋体" w:cs="Times New Roman"/>
      <w:kern w:val="2"/>
      <w:sz w:val="21"/>
      <w:szCs w:val="22"/>
      <w:lang w:val="en-US" w:eastAsia="zh-CN" w:bidi="ar-SA"/>
    </w:rPr>
  </w:style>
  <w:style w:type="paragraph" w:styleId="19">
    <w:name w:val="List Paragraph"/>
    <w:basedOn w:val="1"/>
    <w:qFormat/>
    <w:uiPriority w:val="34"/>
    <w:pPr>
      <w:ind w:firstLine="420" w:firstLineChars="200"/>
    </w:pPr>
    <w:rPr>
      <w:rFonts w:ascii="Calibri" w:hAnsi="Calibri"/>
      <w:szCs w:val="22"/>
    </w:rPr>
  </w:style>
  <w:style w:type="paragraph" w:customStyle="1" w:styleId="20">
    <w:name w:val="BodyText1I2"/>
    <w:basedOn w:val="21"/>
    <w:qFormat/>
    <w:uiPriority w:val="0"/>
    <w:pPr>
      <w:ind w:firstLine="420"/>
      <w:jc w:val="left"/>
    </w:pPr>
    <w:rPr>
      <w:rFonts w:ascii="Calibri" w:hAnsi="Calibri"/>
      <w:kern w:val="0"/>
    </w:rPr>
  </w:style>
  <w:style w:type="paragraph" w:customStyle="1" w:styleId="21">
    <w:name w:val="BodyTextIndent"/>
    <w:basedOn w:val="1"/>
    <w:qFormat/>
    <w:uiPriority w:val="0"/>
    <w:pPr>
      <w:spacing w:after="120"/>
      <w:ind w:left="420" w:leftChars="200"/>
    </w:pPr>
  </w:style>
  <w:style w:type="paragraph" w:customStyle="1" w:styleId="22">
    <w:name w:val="msolistparagraph"/>
    <w:basedOn w:val="1"/>
    <w:qFormat/>
    <w:uiPriority w:val="0"/>
    <w:pPr>
      <w:widowControl w:val="0"/>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11154</Words>
  <Characters>11738</Characters>
  <Lines>0</Lines>
  <Paragraphs>0</Paragraphs>
  <TotalTime>0</TotalTime>
  <ScaleCrop>false</ScaleCrop>
  <LinksUpToDate>false</LinksUpToDate>
  <CharactersWithSpaces>12729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2023-07-17T09:45:00Z</dcterms:created>
  <dc:creator>是小豹子</dc:creator>
  <cp:lastModifiedBy>张思远</cp:lastModifiedBy>
  <dcterms:modified xsi:type="dcterms:W3CDTF">2026-01-06T08:01:54Z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3505A2AB25E048A4A9B0E6A6741CA1BA_11</vt:lpwstr>
  </property>
  <property fmtid="{D5CDD505-2E9C-101B-9397-08002B2CF9AE}" pid="4" name="KSOTemplateDocerSaveRecord">
    <vt:lpwstr>eyJoZGlkIjoiOWU3YmMxNGQ0NDE0NTRiYjQ3MWFkZjk1MWM2MTc2NWEiLCJ1c2VySWQiOiI0NDIzNjcyODQifQ==</vt:lpwstr>
  </property>
</Properties>
</file>