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2D2C0">
      <w:pPr>
        <w:pStyle w:val="14"/>
        <w:snapToGrid w:val="0"/>
        <w:jc w:val="center"/>
        <w:rPr>
          <w:rFonts w:hint="eastAsia" w:ascii="Arial" w:hAnsi="Arial" w:eastAsia="方正小标宋简体" w:cs="Arial"/>
          <w:sz w:val="72"/>
          <w:szCs w:val="72"/>
        </w:rPr>
      </w:pPr>
      <w:bookmarkStart w:id="0" w:name="_Toc16523570"/>
    </w:p>
    <w:p w14:paraId="1B95787E">
      <w:pPr>
        <w:pStyle w:val="14"/>
        <w:snapToGrid w:val="0"/>
        <w:jc w:val="center"/>
        <w:rPr>
          <w:rFonts w:hint="eastAsia" w:ascii="Arial" w:hAnsi="Arial" w:eastAsia="方正小标宋简体" w:cs="Arial"/>
          <w:sz w:val="72"/>
          <w:szCs w:val="72"/>
        </w:rPr>
      </w:pPr>
      <w:r>
        <w:rPr>
          <w:rFonts w:hint="eastAsia" w:ascii="Arial" w:hAnsi="Arial" w:eastAsia="方正小标宋简体" w:cs="Arial"/>
          <w:sz w:val="72"/>
          <w:szCs w:val="72"/>
        </w:rPr>
        <w:t>娄底市中心医院</w:t>
      </w:r>
    </w:p>
    <w:p w14:paraId="75F3B684">
      <w:pPr>
        <w:pStyle w:val="14"/>
        <w:snapToGrid w:val="0"/>
        <w:jc w:val="center"/>
        <w:rPr>
          <w:rFonts w:hint="eastAsia" w:ascii="Arial" w:hAnsi="Arial" w:eastAsia="方正小标宋简体" w:cs="Arial"/>
          <w:sz w:val="72"/>
          <w:szCs w:val="72"/>
        </w:rPr>
      </w:pPr>
    </w:p>
    <w:p w14:paraId="65C368DD">
      <w:pPr>
        <w:pStyle w:val="14"/>
        <w:snapToGrid w:val="0"/>
        <w:jc w:val="center"/>
        <w:rPr>
          <w:rFonts w:hint="eastAsia" w:ascii="Arial" w:hAnsi="Arial" w:eastAsia="方正小标宋简体" w:cs="Arial"/>
          <w:sz w:val="72"/>
          <w:szCs w:val="72"/>
        </w:rPr>
      </w:pPr>
    </w:p>
    <w:p w14:paraId="11616A47">
      <w:pPr>
        <w:pStyle w:val="14"/>
        <w:snapToGrid w:val="0"/>
        <w:jc w:val="center"/>
        <w:rPr>
          <w:rFonts w:hint="eastAsia" w:ascii="Arial" w:hAnsi="Arial" w:eastAsia="方正小标宋简体" w:cs="Arial"/>
          <w:sz w:val="72"/>
          <w:szCs w:val="72"/>
        </w:rPr>
      </w:pPr>
    </w:p>
    <w:p w14:paraId="39F8D380">
      <w:pPr>
        <w:pStyle w:val="14"/>
        <w:snapToGrid w:val="0"/>
        <w:jc w:val="center"/>
        <w:rPr>
          <w:rFonts w:ascii="Arial" w:hAnsi="Arial" w:eastAsia="方正小标宋简体" w:cs="Arial"/>
          <w:sz w:val="36"/>
          <w:szCs w:val="36"/>
        </w:rPr>
      </w:pPr>
      <w:r>
        <w:rPr>
          <w:rFonts w:hint="eastAsia" w:ascii="Arial" w:hAnsi="Arial" w:eastAsia="方正小标宋简体" w:cs="Arial"/>
          <w:sz w:val="72"/>
          <w:szCs w:val="72"/>
          <w:lang w:val="en-US" w:eastAsia="zh-CN"/>
        </w:rPr>
        <w:t>采购</w:t>
      </w:r>
      <w:r>
        <w:rPr>
          <w:rFonts w:ascii="Arial" w:hAnsi="Arial" w:eastAsia="方正小标宋简体" w:cs="Arial"/>
          <w:sz w:val="72"/>
          <w:szCs w:val="72"/>
        </w:rPr>
        <w:t>文件</w:t>
      </w:r>
    </w:p>
    <w:p w14:paraId="37F791A7">
      <w:pPr>
        <w:pStyle w:val="14"/>
        <w:snapToGrid w:val="0"/>
        <w:jc w:val="center"/>
        <w:rPr>
          <w:rFonts w:ascii="Arial" w:hAnsi="Arial" w:cs="Arial"/>
          <w:sz w:val="32"/>
          <w:szCs w:val="32"/>
        </w:rPr>
      </w:pPr>
    </w:p>
    <w:p w14:paraId="409EB72F">
      <w:pPr>
        <w:pStyle w:val="15"/>
        <w:rPr>
          <w:rFonts w:ascii="Arial" w:hAnsi="Arial" w:cs="Arial"/>
          <w:sz w:val="32"/>
          <w:szCs w:val="32"/>
        </w:rPr>
      </w:pPr>
    </w:p>
    <w:p w14:paraId="668BDAFE">
      <w:pPr>
        <w:pStyle w:val="9"/>
        <w:rPr>
          <w:rFonts w:ascii="Arial" w:hAnsi="Arial" w:cs="Arial"/>
          <w:sz w:val="32"/>
          <w:szCs w:val="32"/>
        </w:rPr>
      </w:pPr>
    </w:p>
    <w:p w14:paraId="30B28264">
      <w:pPr>
        <w:pStyle w:val="9"/>
        <w:rPr>
          <w:rFonts w:ascii="Arial" w:hAnsi="Arial" w:cs="Arial"/>
          <w:sz w:val="32"/>
          <w:szCs w:val="32"/>
        </w:rPr>
      </w:pPr>
    </w:p>
    <w:p w14:paraId="45C922C2">
      <w:pPr>
        <w:pStyle w:val="9"/>
        <w:rPr>
          <w:rFonts w:ascii="Arial" w:hAnsi="Arial" w:cs="Arial"/>
          <w:sz w:val="32"/>
          <w:szCs w:val="32"/>
        </w:rPr>
      </w:pPr>
    </w:p>
    <w:p w14:paraId="0233B328">
      <w:pPr>
        <w:pStyle w:val="9"/>
        <w:rPr>
          <w:rFonts w:ascii="Arial" w:hAnsi="Arial" w:cs="Arial"/>
          <w:sz w:val="32"/>
          <w:szCs w:val="32"/>
        </w:rPr>
      </w:pPr>
    </w:p>
    <w:p w14:paraId="65E4BC6C">
      <w:pPr>
        <w:pStyle w:val="9"/>
        <w:rPr>
          <w:rFonts w:ascii="Arial" w:hAnsi="Arial" w:cs="Arial"/>
          <w:sz w:val="32"/>
          <w:szCs w:val="32"/>
        </w:rPr>
      </w:pPr>
    </w:p>
    <w:p w14:paraId="7577245D">
      <w:pPr>
        <w:pStyle w:val="9"/>
        <w:rPr>
          <w:rFonts w:ascii="Arial" w:hAnsi="Arial" w:cs="Arial"/>
          <w:sz w:val="32"/>
          <w:szCs w:val="32"/>
        </w:rPr>
      </w:pPr>
    </w:p>
    <w:p w14:paraId="5337F494">
      <w:pPr>
        <w:pStyle w:val="9"/>
        <w:rPr>
          <w:rFonts w:ascii="Arial" w:hAnsi="Arial" w:cs="Arial"/>
          <w:sz w:val="32"/>
          <w:szCs w:val="32"/>
        </w:rPr>
      </w:pPr>
    </w:p>
    <w:p w14:paraId="0A4AE94E">
      <w:pPr>
        <w:pStyle w:val="14"/>
        <w:snapToGrid w:val="0"/>
        <w:jc w:val="center"/>
        <w:rPr>
          <w:rFonts w:ascii="Arial" w:hAnsi="Arial" w:cs="Arial"/>
          <w:sz w:val="32"/>
          <w:szCs w:val="32"/>
        </w:rPr>
      </w:pPr>
    </w:p>
    <w:p w14:paraId="13C7226F">
      <w:pPr>
        <w:pStyle w:val="14"/>
        <w:snapToGrid w:val="0"/>
        <w:jc w:val="center"/>
        <w:rPr>
          <w:rFonts w:ascii="Arial" w:hAnsi="Arial" w:cs="Arial"/>
          <w:sz w:val="32"/>
          <w:szCs w:val="32"/>
        </w:rPr>
      </w:pPr>
    </w:p>
    <w:p w14:paraId="0E6A0AE3">
      <w:pPr>
        <w:spacing w:line="360" w:lineRule="auto"/>
        <w:rPr>
          <w:rFonts w:hint="eastAsia"/>
          <w:bCs/>
          <w:sz w:val="32"/>
          <w:szCs w:val="32"/>
        </w:rPr>
      </w:pPr>
    </w:p>
    <w:p w14:paraId="221DD5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娄底市中心医院设备科医疗器械采购项目</w:t>
      </w:r>
    </w:p>
    <w:p w14:paraId="2646632F">
      <w:pPr>
        <w:jc w:val="center"/>
        <w:rPr>
          <w:rFonts w:hint="default" w:ascii="Times New Roman" w:hAnsi="Times New Roman" w:eastAsia="宋体" w:cs="Times New Roman"/>
          <w:b/>
          <w:bCs/>
          <w:kern w:val="44"/>
          <w:sz w:val="32"/>
          <w:szCs w:val="32"/>
          <w:lang w:val="en-US" w:eastAsia="zh-CN" w:bidi="ar-SA"/>
        </w:rPr>
      </w:pPr>
      <w:r>
        <w:rPr>
          <w:rFonts w:hint="eastAsia" w:cs="Times New Roman"/>
          <w:b/>
          <w:bCs/>
          <w:kern w:val="44"/>
          <w:sz w:val="32"/>
          <w:szCs w:val="32"/>
          <w:lang w:val="en-US" w:eastAsia="zh-CN" w:bidi="ar-SA"/>
        </w:rPr>
        <w:t>（MMC软件医院公开挂网</w:t>
      </w:r>
      <w:r>
        <w:rPr>
          <w:rFonts w:hint="eastAsia" w:ascii="Times New Roman" w:hAnsi="Times New Roman" w:eastAsia="宋体" w:cs="Times New Roman"/>
          <w:b/>
          <w:bCs/>
          <w:kern w:val="44"/>
          <w:sz w:val="32"/>
          <w:szCs w:val="32"/>
          <w:lang w:val="en-US" w:eastAsia="zh-CN" w:bidi="ar-SA"/>
        </w:rPr>
        <w:t>）</w:t>
      </w:r>
    </w:p>
    <w:p w14:paraId="2B704EEC">
      <w:pPr>
        <w:spacing w:line="320" w:lineRule="exact"/>
        <w:jc w:val="left"/>
        <w:rPr>
          <w:sz w:val="24"/>
        </w:rPr>
      </w:pPr>
    </w:p>
    <w:p w14:paraId="0354F586">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w:t>
      </w:r>
      <w:r>
        <w:rPr>
          <w:rFonts w:hint="eastAsia" w:ascii="宋体" w:hAnsi="宋体" w:cs="宋体"/>
          <w:bCs/>
          <w:sz w:val="32"/>
          <w:szCs w:val="32"/>
          <w:lang w:val="en-US" w:eastAsia="zh-CN"/>
        </w:rPr>
        <w:t>六</w:t>
      </w:r>
      <w:r>
        <w:rPr>
          <w:rFonts w:hint="eastAsia" w:ascii="宋体" w:hAnsi="宋体" w:cs="宋体"/>
          <w:bCs/>
          <w:sz w:val="32"/>
          <w:szCs w:val="32"/>
        </w:rPr>
        <w:t>年</w:t>
      </w:r>
      <w:r>
        <w:rPr>
          <w:rFonts w:hint="eastAsia" w:ascii="宋体" w:hAnsi="宋体" w:cs="宋体"/>
          <w:bCs/>
          <w:sz w:val="32"/>
          <w:szCs w:val="32"/>
          <w:lang w:val="en-US" w:eastAsia="zh-CN"/>
        </w:rPr>
        <w:t>一</w:t>
      </w:r>
      <w:r>
        <w:rPr>
          <w:rFonts w:hint="eastAsia" w:ascii="宋体" w:hAnsi="宋体" w:cs="宋体"/>
          <w:bCs/>
          <w:sz w:val="32"/>
          <w:szCs w:val="32"/>
        </w:rPr>
        <w:t>月</w:t>
      </w:r>
    </w:p>
    <w:p w14:paraId="43FCB49C">
      <w:pP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br w:type="page"/>
      </w:r>
    </w:p>
    <w:p w14:paraId="02230438">
      <w:pPr>
        <w:pStyle w:val="2"/>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p>
    <w:p w14:paraId="049FCDF5">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u w:val="single"/>
          <w:lang w:val="en-US" w:eastAsia="zh-CN"/>
        </w:rPr>
        <w:t>MMC软件</w:t>
      </w:r>
      <w:r>
        <w:rPr>
          <w:rFonts w:hint="eastAsia" w:asciiTheme="minorEastAsia" w:hAnsiTheme="minorEastAsia" w:eastAsiaTheme="minorEastAsia" w:cstheme="minorEastAsia"/>
          <w:bCs/>
          <w:color w:val="auto"/>
          <w:sz w:val="24"/>
          <w:szCs w:val="24"/>
          <w:lang w:val="en-US" w:eastAsia="zh-CN"/>
        </w:rPr>
        <w:t>项目进行医院公开挂网，将事项公告如下：</w:t>
      </w:r>
    </w:p>
    <w:p w14:paraId="33F26BBC">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一、项目信息</w:t>
      </w:r>
    </w:p>
    <w:p w14:paraId="20A851AA">
      <w:pPr>
        <w:pStyle w:val="14"/>
        <w:numPr>
          <w:ilvl w:val="0"/>
          <w:numId w:val="0"/>
        </w:numPr>
        <w:tabs>
          <w:tab w:val="left" w:pos="312"/>
        </w:tabs>
        <w:snapToGrid w:val="0"/>
        <w:spacing w:line="480" w:lineRule="auto"/>
        <w:ind w:firstLine="480" w:firstLineChars="200"/>
        <w:rPr>
          <w:rFonts w:hint="eastAsia" w:asciiTheme="minorEastAsia" w:hAnsiTheme="minorEastAsia" w:eastAsiaTheme="minorEastAsia" w:cstheme="minorEastAsia"/>
          <w:b w:val="0"/>
          <w:bCs/>
          <w:color w:val="auto"/>
          <w:sz w:val="24"/>
          <w:szCs w:val="24"/>
          <w:lang w:val="en-US" w:eastAsia="zh-CN"/>
        </w:rPr>
      </w:pPr>
      <w:r>
        <w:rPr>
          <w:rFonts w:hint="eastAsia" w:asciiTheme="minorEastAsia" w:hAnsiTheme="minorEastAsia" w:eastAsiaTheme="minorEastAsia" w:cstheme="minorEastAsia"/>
          <w:b w:val="0"/>
          <w:bCs/>
          <w:color w:val="auto"/>
          <w:sz w:val="24"/>
          <w:szCs w:val="24"/>
          <w:lang w:val="en-US" w:eastAsia="zh-CN"/>
        </w:rPr>
        <w:t>项目名称：</w:t>
      </w:r>
      <w:r>
        <w:rPr>
          <w:rFonts w:hint="eastAsia" w:asciiTheme="minorEastAsia" w:hAnsiTheme="minorEastAsia" w:eastAsiaTheme="minorEastAsia" w:cstheme="minorEastAsia"/>
          <w:bCs/>
          <w:color w:val="auto"/>
          <w:sz w:val="24"/>
          <w:szCs w:val="24"/>
          <w:u w:val="single"/>
          <w:lang w:val="en-US" w:eastAsia="zh-CN"/>
        </w:rPr>
        <w:t>MMC软件</w:t>
      </w:r>
      <w:r>
        <w:rPr>
          <w:rFonts w:hint="eastAsia" w:asciiTheme="minorEastAsia" w:hAnsiTheme="minorEastAsia" w:eastAsiaTheme="minorEastAsia" w:cstheme="minorEastAsia"/>
          <w:b w:val="0"/>
          <w:bCs/>
          <w:color w:val="auto"/>
          <w:sz w:val="24"/>
          <w:szCs w:val="24"/>
          <w:lang w:val="en-US" w:eastAsia="zh-CN"/>
        </w:rPr>
        <w:t>项目</w:t>
      </w:r>
    </w:p>
    <w:p w14:paraId="0CDBF21C">
      <w:pPr>
        <w:pStyle w:val="14"/>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采购方式</w:t>
      </w:r>
    </w:p>
    <w:p w14:paraId="7C7C445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bidi="ar-SA"/>
        </w:rPr>
        <w:t>1、医院公开挂网</w:t>
      </w:r>
      <w:r>
        <w:rPr>
          <w:rFonts w:hint="eastAsia" w:asciiTheme="minorEastAsia" w:hAnsiTheme="minorEastAsia" w:eastAsiaTheme="minorEastAsia" w:cstheme="minorEastAsia"/>
          <w:bCs/>
          <w:color w:val="auto"/>
          <w:sz w:val="24"/>
          <w:szCs w:val="24"/>
          <w:lang w:val="en-US" w:eastAsia="zh-CN"/>
        </w:rPr>
        <w:t>，最低评标价法，在满足所有参数的条件下，报价最低者中标，如有多个并列最低价，则由并列最低价投标人再次报价，直至出现最低报价为止。</w:t>
      </w:r>
    </w:p>
    <w:bookmarkEnd w:id="0"/>
    <w:p w14:paraId="0ACEB34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三、投标人资格要求</w:t>
      </w:r>
    </w:p>
    <w:p w14:paraId="55893B3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1、投标人的基本资格条件：投标人必须是在中华人民共和国境内注册登记的法人、其他组织或者自然人，且应当符合《政府采购法》第二十二条第一款的规定；</w:t>
      </w:r>
    </w:p>
    <w:p w14:paraId="1F42DD7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2、参加政府采购活动近3年内，在经营活动中没有重大违法记录；</w:t>
      </w:r>
    </w:p>
    <w:p w14:paraId="0ACB140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3、投标人未列入经营异常名录和未列入严重违法失信企业名单（黑名单），投标人企业法人代表未被列入失信被执行人名单；</w:t>
      </w:r>
    </w:p>
    <w:p w14:paraId="21C808E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720" w:firstLineChars="3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投标人在“信用中国”（www.creditchina.gov.cn）、中国政府采购网（www.ccgp.gov.cn）等网站，未被列入“失信被执行人”、“重大税收违法案件当事人名单”、“政府采购严重违法失信行为记录名单”；</w:t>
      </w:r>
    </w:p>
    <w:p w14:paraId="15D09420">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4、本项目不接受联合体投标，不得分包、转包；</w:t>
      </w:r>
    </w:p>
    <w:p w14:paraId="12B2191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5、单位负责人为同一人或者存在直接控股、管理关系的不同投标人，不得参加本次采购活动；</w:t>
      </w:r>
    </w:p>
    <w:p w14:paraId="623B858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四、投标截止时间、开标时间及地点：</w:t>
      </w:r>
    </w:p>
    <w:p w14:paraId="6B89F276">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1、投标截止时间、开标时间：具体时间另行通知</w:t>
      </w:r>
    </w:p>
    <w:p w14:paraId="27C4F67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default"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2、开标地点;娄底市中心医院</w:t>
      </w:r>
    </w:p>
    <w:p w14:paraId="67F7E3C9">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五、采购人地址和联系方法：</w:t>
      </w:r>
    </w:p>
    <w:p w14:paraId="2BA1D7AB">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1、采购人名称：娄底市中心医院</w:t>
      </w:r>
    </w:p>
    <w:p w14:paraId="31DB0A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2、联系人及联系方式：张思远 15115875288</w:t>
      </w:r>
    </w:p>
    <w:p w14:paraId="5023AEF5">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3、采购人地址：娄底市长青中街51号</w:t>
      </w:r>
    </w:p>
    <w:p w14:paraId="0ADD55F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六、投标须知</w:t>
      </w:r>
    </w:p>
    <w:p w14:paraId="6DD88B5A">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1、否决投标的情形：</w:t>
      </w:r>
    </w:p>
    <w:p w14:paraId="4EF3F462">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1.1、投标人以他人名义投标、串通投标、以行贿手段谋取中标的；</w:t>
      </w:r>
    </w:p>
    <w:p w14:paraId="6CA551A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1.2、资格评审时，投标人资格条件不符合国家有关规定或者文件要求的，或者拒不按照要求对投标文件进行澄清、说明或补正，或者其说明补正无法证明其为合格投标人的；</w:t>
      </w:r>
    </w:p>
    <w:p w14:paraId="2BB116B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1.3、评标委员会认定投标人以低于成本报价竞标的；</w:t>
      </w:r>
    </w:p>
    <w:p w14:paraId="0D3123B4">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1.4、投标人未按照要求出席开标会的；</w:t>
      </w:r>
    </w:p>
    <w:p w14:paraId="7934304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1.5、投标报价有错误的，评标委员会将要求投标人作出书面澄清说明和确认，投标人拒不作出澄清说明和确认的；</w:t>
      </w:r>
    </w:p>
    <w:p w14:paraId="1C567C2F">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1.6、投标文件存在弄虚作假或者隐瞒事实，或者未按照文件要求如实提供有关情况和文件，以及证明资料且对投标人有利的，应当否决其投标。被列为中标候选人的，应当取消其中标候选人资格。</w:t>
      </w:r>
    </w:p>
    <w:p w14:paraId="486FB98C">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2、有下列情形之一的，采购人将重新挂网采购：</w:t>
      </w:r>
    </w:p>
    <w:p w14:paraId="42006801">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2.1、投标截止时间止，投标人少于3家的；</w:t>
      </w:r>
    </w:p>
    <w:p w14:paraId="0F261BB7">
      <w:pPr>
        <w:pStyle w:val="14"/>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z w:val="24"/>
          <w:szCs w:val="24"/>
          <w:lang w:val="en-US" w:eastAsia="zh-CN"/>
        </w:rPr>
      </w:pPr>
      <w:r>
        <w:rPr>
          <w:rFonts w:hint="eastAsia" w:asciiTheme="minorEastAsia" w:hAnsiTheme="minorEastAsia" w:eastAsiaTheme="minorEastAsia" w:cstheme="minorEastAsia"/>
          <w:bCs/>
          <w:color w:val="auto"/>
          <w:sz w:val="24"/>
          <w:szCs w:val="24"/>
          <w:lang w:val="en-US" w:eastAsia="zh-CN"/>
        </w:rPr>
        <w:t>2.2、经评标委员会评审后，符合资格审查的投标人少于3家的。</w:t>
      </w:r>
    </w:p>
    <w:p w14:paraId="6D411BA9">
      <w:pPr>
        <w:pStyle w:val="15"/>
        <w:rPr>
          <w:rFonts w:hint="eastAsia"/>
          <w:lang w:val="en-US" w:eastAsia="zh-CN"/>
        </w:rPr>
      </w:pPr>
    </w:p>
    <w:p w14:paraId="7E250597">
      <w:pPr>
        <w:pStyle w:val="15"/>
        <w:jc w:val="both"/>
        <w:rPr>
          <w:rFonts w:hint="default"/>
          <w:lang w:val="en-US" w:eastAsia="zh-CN"/>
        </w:rPr>
      </w:pPr>
    </w:p>
    <w:p w14:paraId="22CD3DC2">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715EDAE9">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p>
    <w:p w14:paraId="0F41F978">
      <w:pPr>
        <w:pStyle w:val="15"/>
        <w:rPr>
          <w:rFonts w:hint="eastAsia" w:ascii="宋体" w:hAnsi="宋体" w:cs="宋体"/>
          <w:b/>
          <w:bCs/>
          <w:color w:val="auto"/>
          <w:sz w:val="44"/>
          <w:szCs w:val="44"/>
          <w:lang w:val="en-US" w:eastAsia="zh-CN"/>
        </w:rPr>
      </w:pPr>
    </w:p>
    <w:p w14:paraId="6DFDBEAA">
      <w:pPr>
        <w:pStyle w:val="9"/>
        <w:rPr>
          <w:rFonts w:hint="eastAsia" w:ascii="宋体" w:hAnsi="宋体" w:cs="宋体"/>
          <w:b/>
          <w:bCs/>
          <w:color w:val="auto"/>
          <w:sz w:val="44"/>
          <w:szCs w:val="44"/>
          <w:lang w:val="en-US" w:eastAsia="zh-CN"/>
        </w:rPr>
      </w:pPr>
    </w:p>
    <w:p w14:paraId="30F94F1D">
      <w:pPr>
        <w:rPr>
          <w:rFonts w:hint="eastAsia" w:ascii="宋体" w:hAnsi="宋体" w:cs="宋体"/>
          <w:b/>
          <w:bCs/>
          <w:color w:val="auto"/>
          <w:sz w:val="44"/>
          <w:szCs w:val="44"/>
          <w:lang w:val="en-US" w:eastAsia="zh-CN"/>
        </w:rPr>
      </w:pPr>
    </w:p>
    <w:p w14:paraId="102811BE">
      <w:pPr>
        <w:pStyle w:val="13"/>
        <w:rPr>
          <w:rFonts w:hint="eastAsia"/>
          <w:lang w:val="en-US" w:eastAsia="zh-CN"/>
        </w:rPr>
      </w:pPr>
    </w:p>
    <w:p w14:paraId="04DC7BC4">
      <w:pPr>
        <w:pStyle w:val="2"/>
        <w:rPr>
          <w:rFonts w:hint="eastAsia" w:ascii="宋体" w:hAnsi="宋体" w:cs="宋体"/>
          <w:b/>
          <w:bCs/>
          <w:color w:val="auto"/>
          <w:sz w:val="44"/>
          <w:szCs w:val="44"/>
          <w:lang w:val="en-US" w:eastAsia="zh-CN"/>
        </w:rPr>
      </w:pPr>
    </w:p>
    <w:p w14:paraId="127EFE5C">
      <w:pPr>
        <w:rPr>
          <w:rFonts w:hint="eastAsia" w:ascii="宋体" w:hAnsi="宋体" w:cs="宋体"/>
          <w:b/>
          <w:bCs/>
          <w:color w:val="auto"/>
          <w:sz w:val="44"/>
          <w:szCs w:val="44"/>
          <w:lang w:val="en-US" w:eastAsia="zh-CN"/>
        </w:rPr>
      </w:pPr>
    </w:p>
    <w:p w14:paraId="4A7B14FC">
      <w:pPr>
        <w:rPr>
          <w:rFonts w:hint="eastAsia" w:ascii="宋体" w:hAnsi="宋体" w:cs="宋体"/>
          <w:b/>
          <w:bCs/>
          <w:color w:val="auto"/>
          <w:sz w:val="44"/>
          <w:szCs w:val="44"/>
          <w:lang w:val="en-US" w:eastAsia="zh-CN"/>
        </w:rPr>
      </w:pPr>
    </w:p>
    <w:p w14:paraId="05DE6F3A">
      <w:pPr>
        <w:rPr>
          <w:rFonts w:hint="eastAsia"/>
          <w:lang w:val="en-US" w:eastAsia="zh-CN"/>
        </w:rPr>
      </w:pPr>
    </w:p>
    <w:p w14:paraId="28624900">
      <w:pPr>
        <w:pStyle w:val="14"/>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14:paraId="736FC09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14:paraId="738C7315">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1.采购项目</w:t>
      </w:r>
    </w:p>
    <w:tbl>
      <w:tblPr>
        <w:tblStyle w:val="10"/>
        <w:tblW w:w="9613"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958"/>
        <w:gridCol w:w="2370"/>
        <w:gridCol w:w="1665"/>
        <w:gridCol w:w="2310"/>
        <w:gridCol w:w="2310"/>
      </w:tblGrid>
      <w:tr w14:paraId="38AB9E0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570"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9E0CB90">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序号</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04A50A2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设备</w:t>
            </w:r>
            <w:bookmarkStart w:id="4" w:name="_GoBack"/>
            <w:bookmarkEnd w:id="4"/>
            <w:r>
              <w:rPr>
                <w:rFonts w:hint="eastAsia" w:asciiTheme="minorEastAsia" w:hAnsiTheme="minorEastAsia" w:eastAsiaTheme="minorEastAsia" w:cstheme="minorEastAsia"/>
                <w:kern w:val="2"/>
                <w:sz w:val="24"/>
                <w:szCs w:val="24"/>
              </w:rPr>
              <w:t>名称</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137C3FB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数量</w:t>
            </w:r>
            <w:r>
              <w:rPr>
                <w:rFonts w:hint="eastAsia" w:asciiTheme="minorEastAsia" w:hAnsiTheme="minorEastAsia" w:eastAsiaTheme="minorEastAsia" w:cstheme="minorEastAsia"/>
                <w:sz w:val="24"/>
                <w:szCs w:val="24"/>
              </w:rPr>
              <w:t>(台/套)</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6D78E54A">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rPr>
              <w:t>预算</w:t>
            </w:r>
            <w:r>
              <w:rPr>
                <w:rFonts w:hint="eastAsia" w:asciiTheme="minorEastAsia" w:hAnsiTheme="minorEastAsia" w:eastAsiaTheme="minorEastAsia" w:cstheme="minorEastAsia"/>
                <w:kern w:val="2"/>
                <w:sz w:val="24"/>
                <w:szCs w:val="24"/>
                <w:lang w:eastAsia="zh-CN"/>
              </w:rPr>
              <w:t>总</w:t>
            </w:r>
            <w:r>
              <w:rPr>
                <w:rFonts w:hint="eastAsia" w:asciiTheme="minorEastAsia" w:hAnsiTheme="minorEastAsia" w:eastAsiaTheme="minorEastAsia" w:cstheme="minorEastAsia"/>
                <w:kern w:val="2"/>
                <w:sz w:val="24"/>
                <w:szCs w:val="24"/>
              </w:rPr>
              <w:t>价（万元）</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0B15549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asciiTheme="minorEastAsia" w:hAnsiTheme="minorEastAsia" w:eastAsiaTheme="minorEastAsia" w:cstheme="minorEastAsia"/>
                <w:kern w:val="2"/>
                <w:sz w:val="24"/>
                <w:szCs w:val="24"/>
              </w:rPr>
            </w:pPr>
            <w:r>
              <w:rPr>
                <w:rFonts w:hint="eastAsia" w:asciiTheme="minorEastAsia" w:hAnsiTheme="minorEastAsia" w:eastAsiaTheme="minorEastAsia" w:cstheme="minorEastAsia"/>
                <w:kern w:val="2"/>
                <w:sz w:val="24"/>
                <w:szCs w:val="24"/>
                <w:lang w:val="en-US" w:eastAsia="zh-CN"/>
              </w:rPr>
              <w:t>是否允许进口产品</w:t>
            </w:r>
          </w:p>
        </w:tc>
      </w:tr>
      <w:tr w14:paraId="69DE814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81" w:hRule="atLeast"/>
          <w:jc w:val="center"/>
        </w:trPr>
        <w:tc>
          <w:tcPr>
            <w:tcW w:w="95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4508FB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70"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517944EF">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MMC软件</w:t>
            </w:r>
          </w:p>
        </w:tc>
        <w:tc>
          <w:tcPr>
            <w:tcW w:w="1665"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14:paraId="73D71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1</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19EAF0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8</w:t>
            </w:r>
          </w:p>
        </w:tc>
        <w:tc>
          <w:tcPr>
            <w:tcW w:w="2310"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14:paraId="5EE1B0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kern w:val="2"/>
                <w:sz w:val="24"/>
                <w:szCs w:val="24"/>
                <w:lang w:val="en-US" w:eastAsia="zh-CN"/>
              </w:rPr>
              <w:t>否</w:t>
            </w:r>
          </w:p>
        </w:tc>
      </w:tr>
    </w:tbl>
    <w:p w14:paraId="43B8BA43">
      <w:pPr>
        <w:spacing w:line="360" w:lineRule="auto"/>
        <w:rPr>
          <w:rFonts w:hint="eastAsia" w:asciiTheme="minorEastAsia" w:hAnsiTheme="minorEastAsia" w:eastAsiaTheme="minorEastAsia" w:cstheme="minorEastAsia"/>
          <w:bCs/>
          <w:color w:val="auto"/>
          <w:kern w:val="0"/>
          <w:sz w:val="24"/>
          <w:szCs w:val="24"/>
          <w:lang w:val="en-US" w:eastAsia="zh-CN" w:bidi="ar-SA"/>
        </w:rPr>
      </w:pPr>
    </w:p>
    <w:p w14:paraId="78C7E4BA">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2、服务时间：双方签订合同时具体约定。</w:t>
      </w:r>
    </w:p>
    <w:p w14:paraId="2EAE5CA4">
      <w:pPr>
        <w:spacing w:line="360" w:lineRule="auto"/>
        <w:ind w:firstLine="480" w:firstLineChars="200"/>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3、服务地点：娄底市中心医院。</w:t>
      </w:r>
    </w:p>
    <w:p w14:paraId="33C78225">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二、项目内容及要求（以下内容必须全部响应，否则视为无效投标）</w:t>
      </w:r>
    </w:p>
    <w:p w14:paraId="2F1CEC5E">
      <w:p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技术参数：</w:t>
      </w:r>
    </w:p>
    <w:p w14:paraId="76CDDD5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1、在MMC中心为患者创建个人电子档案服务：为患者提供电子档案记录功能，包含基础信息录入及显示，患者信息检索等。</w:t>
      </w:r>
      <w:r>
        <w:rPr>
          <w:rFonts w:hint="eastAsia" w:asciiTheme="minorEastAsia" w:hAnsiTheme="minorEastAsia" w:eastAsiaTheme="minorEastAsia" w:cstheme="minorEastAsia"/>
          <w:b w:val="0"/>
          <w:bCs/>
          <w:color w:val="auto"/>
          <w:kern w:val="0"/>
          <w:sz w:val="24"/>
          <w:szCs w:val="24"/>
          <w:lang w:val="en-US" w:eastAsia="zh-CN" w:bidi="ar-SA"/>
        </w:rPr>
        <w:tab/>
      </w:r>
    </w:p>
    <w:p w14:paraId="1B9B13C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1.1标准化患者数据建档服务</w:t>
      </w:r>
    </w:p>
    <w:p w14:paraId="4110D27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1.1.1通过输入患者姓名，手机号、身份证号、医保号、医院卡号进行患者查询并登记；通过读卡器读取身份证、医保卡、医院卡进行患者查询并登记</w:t>
      </w:r>
    </w:p>
    <w:p w14:paraId="49E24E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1.1.2患者登记信息录入：姓名、性别、年龄、手机号、身份证号、医保卡号、门诊号、住院号等信息填写</w:t>
      </w:r>
    </w:p>
    <w:p w14:paraId="4BBCBFF3">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1.2患者信息列表显示服务</w:t>
      </w:r>
    </w:p>
    <w:p w14:paraId="624BB43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1.2.1显示当日登记患者列表，按患者最新就诊时间进行列表显示</w:t>
      </w:r>
    </w:p>
    <w:p w14:paraId="6ABB7CF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1.2.2支持患者唯一编号的条形码打印以及再次就诊时补打</w:t>
      </w:r>
    </w:p>
    <w:p w14:paraId="697314C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1.3患者检索服务</w:t>
      </w:r>
    </w:p>
    <w:p w14:paraId="0B47F95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1.4患者档案标准化展示</w:t>
      </w:r>
      <w:r>
        <w:rPr>
          <w:rFonts w:hint="eastAsia" w:asciiTheme="minorEastAsia" w:hAnsiTheme="minorEastAsia" w:eastAsiaTheme="minorEastAsia" w:cstheme="minorEastAsia"/>
          <w:b w:val="0"/>
          <w:bCs/>
          <w:color w:val="auto"/>
          <w:kern w:val="0"/>
          <w:sz w:val="24"/>
          <w:szCs w:val="24"/>
          <w:lang w:val="en-US" w:eastAsia="zh-CN" w:bidi="ar-SA"/>
        </w:rPr>
        <w:tab/>
      </w:r>
    </w:p>
    <w:p w14:paraId="7D3AA94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1.4.1患者个人基本信息，体征信息，个人病史等标准化编辑和展示</w:t>
      </w:r>
    </w:p>
    <w:p w14:paraId="30AF6F6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2、对MMC中心患者的临床数据进行采集，涵盖基本信息、体征数据等，通过信息技术手段，提供数据加密及安全保障服务。</w:t>
      </w:r>
    </w:p>
    <w:p w14:paraId="25BB66BF">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2.1患者基本信息采集服务</w:t>
      </w:r>
    </w:p>
    <w:p w14:paraId="6D2EFA6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2.1.1通过患者个人证件(身份证，医保卡，就诊卡等)自动识别并录入基本信息</w:t>
      </w:r>
    </w:p>
    <w:p w14:paraId="3F8808A4">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2.1.2通过扫描二维码，患者自助填写个人信息</w:t>
      </w:r>
    </w:p>
    <w:p w14:paraId="4FA5F15D">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2.2体征数据采集服务</w:t>
      </w:r>
    </w:p>
    <w:p w14:paraId="277AEAD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2.2.1可根据项目需求显示或隐藏以下数据类型条目</w:t>
      </w:r>
    </w:p>
    <w:p w14:paraId="38CD8F1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2.2.2支持身高体重信息录入，并自动计算BMI按等级提示；支持人体维度信息录入：头围、颈围、腰围、臀围、胸围等；支持血压、血糖等信息录入和列表展现</w:t>
      </w:r>
    </w:p>
    <w:p w14:paraId="33594C8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3、为中心提供电子化临床问卷量表的录入和查阅：提供多种类数据采集服务，涵盖基本信息、体征数据，</w:t>
      </w:r>
    </w:p>
    <w:p w14:paraId="06DA889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3.1患者数据量表管理服务</w:t>
      </w:r>
    </w:p>
    <w:p w14:paraId="3B72FE8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3.1.1支持按大纲查看和填写问卷，必填项目题型未填写不能提交</w:t>
      </w:r>
    </w:p>
    <w:p w14:paraId="035E580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3.1.2记录患者的个人病史和家族病史，基本来源于ICD标准库</w:t>
      </w:r>
    </w:p>
    <w:p w14:paraId="1B701AB6">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3.1.3规范化收集和记录患者的用药情况</w:t>
      </w:r>
    </w:p>
    <w:p w14:paraId="050CB58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4、对中心患者进行可持续的专业随访管理和复诊提醒服务：为临床提供全方面的患者评估体系，提供专业管理方案对患者进行智能随访提醒。</w:t>
      </w:r>
    </w:p>
    <w:p w14:paraId="62A51E9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4.1患者智能随访管理服务</w:t>
      </w:r>
    </w:p>
    <w:p w14:paraId="3E1183AC">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4.1.1将患者关联对应的管理方案，患者会按照对应的管理方案去进行管理；根据每次的随访，可以快捷入口进入到对应随访阶段的访视问卷</w:t>
      </w:r>
    </w:p>
    <w:p w14:paraId="6F7279CA">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4.1.2随访患者就诊登记时，可识别患者历史信息</w:t>
      </w:r>
    </w:p>
    <w:p w14:paraId="6BEDAAA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4.2自动计算随访时间服务</w:t>
      </w:r>
    </w:p>
    <w:p w14:paraId="62DDB6C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4.2.1根据患者配置的随访方案和患者的就诊时间，计算出患者要随访时间，</w:t>
      </w:r>
    </w:p>
    <w:p w14:paraId="352DCC12">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4.3自动提醒应随访和漏访</w:t>
      </w:r>
    </w:p>
    <w:p w14:paraId="6A988DD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4.3.1根据要随访的时间可以计算初应随访或漏访，</w:t>
      </w:r>
    </w:p>
    <w:p w14:paraId="62593A0E">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5、中心工作人员可进行基本账号登陆及基本设置功能：提供平台进行账号验证及登录服务，通过模块设置，可配置对接相应设备。</w:t>
      </w:r>
    </w:p>
    <w:p w14:paraId="1D4FEAB8">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5.1多终端便捷身份验证及登录服务</w:t>
      </w:r>
    </w:p>
    <w:p w14:paraId="084C160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5.1.1软件使用医护人员通过用户名和密码进行身份认证并登录</w:t>
      </w:r>
    </w:p>
    <w:p w14:paraId="08317897">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5.1.2通过医生工作室手机端扫码登录</w:t>
      </w:r>
    </w:p>
    <w:p w14:paraId="4D5D783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5.2账号信息管理服务</w:t>
      </w:r>
    </w:p>
    <w:p w14:paraId="0EB85BC9">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5.2.1登录界面同时提供忘记密码功能，用户可以联系管理员重置</w:t>
      </w:r>
    </w:p>
    <w:p w14:paraId="07E86D6B">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5.3系统平台搭建服务</w:t>
      </w:r>
    </w:p>
    <w:p w14:paraId="749FC1F0">
      <w:pPr>
        <w:spacing w:line="360" w:lineRule="auto"/>
        <w:ind w:firstLine="480" w:firstLineChars="200"/>
        <w:rPr>
          <w:rFonts w:hint="eastAsia" w:asciiTheme="minorEastAsia" w:hAnsiTheme="minorEastAsia" w:eastAsiaTheme="minorEastAsia" w:cstheme="minorEastAsia"/>
          <w:b w:val="0"/>
          <w:bCs/>
          <w:color w:val="auto"/>
          <w:kern w:val="0"/>
          <w:sz w:val="24"/>
          <w:szCs w:val="24"/>
          <w:lang w:val="en-US" w:eastAsia="zh-CN" w:bidi="ar-SA"/>
        </w:rPr>
      </w:pPr>
      <w:r>
        <w:rPr>
          <w:rFonts w:hint="eastAsia" w:asciiTheme="minorEastAsia" w:hAnsiTheme="minorEastAsia" w:eastAsiaTheme="minorEastAsia" w:cstheme="minorEastAsia"/>
          <w:b w:val="0"/>
          <w:bCs/>
          <w:color w:val="auto"/>
          <w:kern w:val="0"/>
          <w:sz w:val="24"/>
          <w:szCs w:val="24"/>
          <w:lang w:val="en-US" w:eastAsia="zh-CN" w:bidi="ar-SA"/>
        </w:rPr>
        <w:t>5.3.1设备管理模块：可在客户端配置慢病检测设备，如眼底相机、身高体重仪等</w:t>
      </w:r>
    </w:p>
    <w:p w14:paraId="47BD4A46">
      <w:pPr>
        <w:numPr>
          <w:ilvl w:val="0"/>
          <w:numId w:val="2"/>
        </w:numPr>
        <w:spacing w:line="360" w:lineRule="auto"/>
        <w:ind w:firstLine="480" w:firstLineChars="200"/>
        <w:rPr>
          <w:rFonts w:hint="eastAsia" w:asciiTheme="minorEastAsia" w:hAnsiTheme="minorEastAsia" w:eastAsiaTheme="minorEastAsia" w:cstheme="minorEastAsia"/>
          <w:b w:val="0"/>
          <w:bCs/>
          <w:color w:val="FF0000"/>
          <w:kern w:val="0"/>
          <w:sz w:val="24"/>
          <w:szCs w:val="24"/>
          <w:lang w:val="en-US" w:eastAsia="zh-CN" w:bidi="ar-SA"/>
        </w:rPr>
      </w:pPr>
      <w:r>
        <w:rPr>
          <w:rFonts w:hint="eastAsia" w:asciiTheme="minorEastAsia" w:hAnsiTheme="minorEastAsia" w:eastAsiaTheme="minorEastAsia" w:cstheme="minorEastAsia"/>
          <w:b w:val="0"/>
          <w:bCs/>
          <w:color w:val="FF0000"/>
          <w:kern w:val="0"/>
          <w:sz w:val="24"/>
          <w:szCs w:val="24"/>
          <w:lang w:val="en-US" w:eastAsia="zh-CN" w:bidi="ar-SA"/>
        </w:rPr>
        <w:t>投标人承诺如在免费维保期后，经甲方依规采购软件维保服务时成为维保服务单位，投标人向甲方收取的年度维保费用不高于人民币 3000元。</w:t>
      </w:r>
    </w:p>
    <w:p w14:paraId="24C13073">
      <w:pPr>
        <w:numPr>
          <w:ilvl w:val="0"/>
          <w:numId w:val="0"/>
        </w:numPr>
        <w:spacing w:line="360" w:lineRule="auto"/>
        <w:ind w:firstLine="482" w:firstLineChars="200"/>
        <w:rPr>
          <w:rFonts w:hint="eastAsia" w:asciiTheme="minorEastAsia" w:hAnsiTheme="minorEastAsia" w:eastAsiaTheme="minorEastAsia" w:cstheme="minorEastAsia"/>
          <w:b/>
          <w:bCs w:val="0"/>
          <w:color w:val="auto"/>
          <w:kern w:val="0"/>
          <w:sz w:val="24"/>
          <w:szCs w:val="24"/>
          <w:lang w:val="en-US" w:eastAsia="zh-CN" w:bidi="ar-SA"/>
        </w:rPr>
      </w:pPr>
      <w:r>
        <w:rPr>
          <w:rFonts w:hint="eastAsia" w:asciiTheme="minorEastAsia" w:hAnsiTheme="minorEastAsia" w:eastAsiaTheme="minorEastAsia" w:cstheme="minorEastAsia"/>
          <w:b/>
          <w:bCs w:val="0"/>
          <w:color w:val="auto"/>
          <w:kern w:val="0"/>
          <w:sz w:val="24"/>
          <w:szCs w:val="24"/>
          <w:lang w:val="en-US" w:eastAsia="zh-CN" w:bidi="ar-SA"/>
        </w:rPr>
        <w:t>商务参数：</w:t>
      </w:r>
    </w:p>
    <w:p w14:paraId="4C2DAA4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1、装卸、培训、安装调试：由中标人负责承担，最终通过使用科室、设备科及相关部门确认验收交付使用。</w:t>
      </w:r>
    </w:p>
    <w:p w14:paraId="7B28FD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2、交付时间：按合同约定的日期交付使用。</w:t>
      </w:r>
    </w:p>
    <w:p w14:paraId="2C2DB49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3、交付地点：娄底市中心医院指定地点。</w:t>
      </w:r>
    </w:p>
    <w:p w14:paraId="21167EB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付款方式：软件验收合格后，供应商将发票交到娄底市中心医院后按程序支付货款90%（按医院财务制度一般情况下4个月内支付、特殊情况下最多不超过6个月），甲方在软件验收合格满5年后支付10%余款给乙方。</w:t>
      </w:r>
    </w:p>
    <w:p w14:paraId="6D7ABA1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5、质保与售后：</w:t>
      </w:r>
    </w:p>
    <w:p w14:paraId="3AF2714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5.1软件免费维保5 年，终身提供软件维护。严格按《娄底市中心医院信息系统验收管理规定》验收。验收时出具原厂售后质保承诺书及《娄底市中心医院信息系统验收管理规定》内要求提供的所有资料。在免费维保服务期限内，乙方每周通过电话、邮件、微信等网络方式为甲方提供7天×24小时软件技术服务。远程服务：一级故障，自接到甲方通知后1小时内确认故障，总故障解决时间不超过4小时；二级故障，自接到甲方通知后2小时内确认故障，并在4小时内由专家到达现场确认并解决，总故障解决时间不超过8小时；三、四级故障，应接到甲方通知后4小时内确认故障，总故障解决时间不超过24小时；特殊故障，与甲方协商，按照经甲方同意的方案和时间表解决故障；现场服务：如远程服务无法解决，乙方应免费上门服务，普通情况应自接到甲方通知后48小时内到达现场，紧急情况应自接到甲方通知后24小时内到达现场，与甲方协商，按照经甲方同意的方案和时间表解决故障。</w:t>
      </w:r>
    </w:p>
    <w:p w14:paraId="5F27776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在免费维保服务期限内，乙方每月进行一次客户回访，对乙方各类服务人员的服务质量进行监督；乙方客户管理中心在完成客户服务后一个月内对甲方进行回访及满意度调查等工作，并将结果纳入乙方服务人员考核体系。</w:t>
      </w:r>
    </w:p>
    <w:p w14:paraId="318017C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6、在投标文件中必须提供相关佐证资料（加盖投标人公章的技术参数、技术白皮书、说明书、彩页），并在响应表中备注该条参数响应或正偏离的佐证资料所在页码。</w:t>
      </w:r>
    </w:p>
    <w:p w14:paraId="1141DF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7、软件需连接HIS系统，如涉及网络接口费用，由中标人承担，采购人不再出具任何费用。</w:t>
      </w:r>
    </w:p>
    <w:p w14:paraId="002EA66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14:paraId="1190B9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1、封面：需注明标的名称、投标文件、单位、时间；</w:t>
      </w:r>
    </w:p>
    <w:p w14:paraId="3AE7D2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2、“三证合一”或“五证合一”营业执照，医疗器械经营许可证或医疗器械经营备案凭证（按法律规定提供证件）、生产厂家营业执照、生产许可证（如按法律规定需提供）、产品注册证（如按法律规定需提供）；</w:t>
      </w:r>
    </w:p>
    <w:p w14:paraId="68C94A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3、投标人身份证复印件；</w:t>
      </w:r>
    </w:p>
    <w:p w14:paraId="7A3E69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14:paraId="3CBF51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5、履行本项目所必需的资质证明；</w:t>
      </w:r>
    </w:p>
    <w:p w14:paraId="081DCE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6、针对此项目的技术、服务方案；</w:t>
      </w:r>
    </w:p>
    <w:p w14:paraId="39B230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7、投标人认为需提供的其他和评审有关的资料；</w:t>
      </w:r>
    </w:p>
    <w:p w14:paraId="19A383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8、投标文件的每一页都必须加盖投标单位的公章；</w:t>
      </w:r>
    </w:p>
    <w:p w14:paraId="5A92BC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9、投标文件参数响应表中必须标注响应项佐证材料所对应页面。</w:t>
      </w:r>
    </w:p>
    <w:p w14:paraId="737229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color w:val="auto"/>
          <w:kern w:val="0"/>
          <w:sz w:val="24"/>
          <w:szCs w:val="24"/>
          <w:lang w:val="en-US" w:eastAsia="zh-CN" w:bidi="ar-SA"/>
        </w:rPr>
      </w:pPr>
      <w:r>
        <w:rPr>
          <w:rFonts w:hint="eastAsia" w:asciiTheme="minorEastAsia" w:hAnsiTheme="minorEastAsia" w:eastAsiaTheme="minorEastAsia" w:cstheme="minorEastAsia"/>
          <w:bCs/>
          <w:color w:val="auto"/>
          <w:kern w:val="0"/>
          <w:sz w:val="24"/>
          <w:szCs w:val="24"/>
          <w:lang w:val="en-US" w:eastAsia="zh-CN" w:bidi="ar-SA"/>
        </w:rPr>
        <w:t>10、所有资料均应编入投标文件，胶装并用纸质文件袋封好（一正一副），标书必须“A4规格纸张胶制（非打孔或夹装）装订成册，并编制总目录”,要求密封，否则视为符合性审查不合格，作无效投标处理，在开标现场验证时打开，采用现场开标的方式。</w:t>
      </w:r>
    </w:p>
    <w:p w14:paraId="30A737BB">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四、合同</w:t>
      </w:r>
    </w:p>
    <w:p w14:paraId="7F6BB2E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合同编号：</w:t>
      </w:r>
    </w:p>
    <w:p w14:paraId="19D95D0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黑体" w:hAnsi="黑体" w:eastAsia="黑体" w:cs="黑体"/>
          <w:color w:val="000000" w:themeColor="text1"/>
          <w:sz w:val="44"/>
          <w:szCs w:val="44"/>
          <w:highlight w:val="none"/>
          <w:lang w:val="en-US" w:eastAsia="zh-CN"/>
          <w14:textFill>
            <w14:solidFill>
              <w14:schemeClr w14:val="tx1"/>
            </w14:solidFill>
          </w14:textFill>
        </w:rPr>
        <w:t>MMC软件采购合同</w:t>
      </w:r>
    </w:p>
    <w:p w14:paraId="24463E03">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p>
    <w:p w14:paraId="143C3D9A">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甲方（采购方）：</w:t>
      </w:r>
      <w:r>
        <w:rPr>
          <w:rFonts w:hint="eastAsia" w:ascii="宋体" w:hAnsi="宋体" w:eastAsia="宋体" w:cs="宋体"/>
          <w:color w:val="000000" w:themeColor="text1"/>
          <w:sz w:val="24"/>
          <w:szCs w:val="24"/>
          <w:highlight w:val="none"/>
          <w:lang w:val="en-US" w:eastAsia="zh-CN"/>
          <w14:textFill>
            <w14:solidFill>
              <w14:schemeClr w14:val="tx1"/>
            </w14:solidFill>
          </w14:textFill>
        </w:rPr>
        <w:t>娄底市中心医院</w:t>
      </w:r>
    </w:p>
    <w:p w14:paraId="14BB6C4D">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法定代表人：杨吉军</w:t>
      </w:r>
    </w:p>
    <w:p w14:paraId="094DE631">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统一社会信用代码：12431300447162073W</w:t>
      </w:r>
    </w:p>
    <w:p w14:paraId="4883851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地址：湖南省娄底市娄星区长青中街51号</w:t>
      </w:r>
    </w:p>
    <w:p w14:paraId="4DFD8098">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联系人：朱振宇</w:t>
      </w:r>
    </w:p>
    <w:p w14:paraId="55CFA6A7">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联系电话：15673845559</w:t>
      </w:r>
    </w:p>
    <w:p w14:paraId="0CAA82D5">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乙方（供货方）：</w:t>
      </w:r>
    </w:p>
    <w:p w14:paraId="41A7467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w:t>
      </w:r>
    </w:p>
    <w:p w14:paraId="315205AF">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统一社会信用代码：</w:t>
      </w:r>
    </w:p>
    <w:p w14:paraId="66384D1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地址：</w:t>
      </w:r>
    </w:p>
    <w:p w14:paraId="45491FEA">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联系人：</w:t>
      </w:r>
    </w:p>
    <w:p w14:paraId="6405364E">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联系电话：</w:t>
      </w:r>
    </w:p>
    <w:p w14:paraId="68D6A4F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p>
    <w:p w14:paraId="219FD4E3">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甲方通过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医院公开挂网方式</w:t>
      </w:r>
      <w:r>
        <w:rPr>
          <w:rFonts w:hint="eastAsia" w:ascii="宋体" w:hAnsi="宋体" w:eastAsia="宋体" w:cs="宋体"/>
          <w:color w:val="000000" w:themeColor="text1"/>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MMC软件</w:t>
      </w:r>
      <w:r>
        <w:rPr>
          <w:rFonts w:hint="eastAsia" w:ascii="宋体" w:hAnsi="宋体" w:eastAsia="宋体" w:cs="宋体"/>
          <w:color w:val="000000" w:themeColor="text1"/>
          <w:sz w:val="24"/>
          <w:szCs w:val="24"/>
          <w:highlight w:val="none"/>
          <w:lang w:val="en-US" w:eastAsia="zh-CN"/>
          <w14:textFill>
            <w14:solidFill>
              <w14:schemeClr w14:val="tx1"/>
            </w14:solidFill>
          </w14:textFill>
        </w:rPr>
        <w:t>，乙方为中标/中选供应商。根据《中华人民共和国民法典》《中华人民共和国政府采购法》等相关法律规定，甲乙双方在采购项目确定的基础上，就采购</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MMC软件</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相关</w:t>
      </w:r>
      <w:r>
        <w:rPr>
          <w:rFonts w:hint="eastAsia" w:ascii="宋体" w:hAnsi="宋体" w:eastAsia="宋体" w:cs="宋体"/>
          <w:color w:val="000000" w:themeColor="text1"/>
          <w:sz w:val="24"/>
          <w:szCs w:val="24"/>
          <w:highlight w:val="none"/>
          <w:lang w:val="en-US" w:eastAsia="zh-CN"/>
          <w14:textFill>
            <w14:solidFill>
              <w14:schemeClr w14:val="tx1"/>
            </w14:solidFill>
          </w14:textFill>
        </w:rPr>
        <w:t>事宜平等、自愿、公平、诚信协商，达成一致，特订立本合同，以资共同遵守。</w:t>
      </w:r>
    </w:p>
    <w:p w14:paraId="6B0F057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第一条  </w:t>
      </w: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采购内容</w:t>
      </w:r>
    </w:p>
    <w:p w14:paraId="3613EF2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 设备名称、品牌、型号、价格</w:t>
      </w:r>
    </w:p>
    <w:tbl>
      <w:tblPr>
        <w:tblStyle w:val="10"/>
        <w:tblpPr w:leftFromText="180" w:rightFromText="180" w:vertAnchor="text" w:horzAnchor="page" w:tblpX="1965" w:tblpY="148"/>
        <w:tblOverlap w:val="never"/>
        <w:tblW w:w="84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7"/>
        <w:gridCol w:w="1220"/>
        <w:gridCol w:w="1760"/>
        <w:gridCol w:w="1320"/>
        <w:gridCol w:w="940"/>
        <w:gridCol w:w="1654"/>
      </w:tblGrid>
      <w:tr w14:paraId="6AD17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517" w:type="dxa"/>
            <w:vAlign w:val="top"/>
          </w:tcPr>
          <w:p w14:paraId="0A60E7F8">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名称</w:t>
            </w:r>
          </w:p>
        </w:tc>
        <w:tc>
          <w:tcPr>
            <w:tcW w:w="1220" w:type="dxa"/>
            <w:vAlign w:val="top"/>
          </w:tcPr>
          <w:p w14:paraId="1ACCED4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品牌</w:t>
            </w:r>
          </w:p>
        </w:tc>
        <w:tc>
          <w:tcPr>
            <w:tcW w:w="1760" w:type="dxa"/>
            <w:vAlign w:val="top"/>
          </w:tcPr>
          <w:p w14:paraId="05CC6ED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型号</w:t>
            </w:r>
          </w:p>
        </w:tc>
        <w:tc>
          <w:tcPr>
            <w:tcW w:w="1320" w:type="dxa"/>
            <w:vAlign w:val="top"/>
          </w:tcPr>
          <w:p w14:paraId="31D746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单价（元）</w:t>
            </w:r>
          </w:p>
        </w:tc>
        <w:tc>
          <w:tcPr>
            <w:tcW w:w="940" w:type="dxa"/>
            <w:vAlign w:val="top"/>
          </w:tcPr>
          <w:p w14:paraId="74EE8AC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数量</w:t>
            </w:r>
          </w:p>
        </w:tc>
        <w:tc>
          <w:tcPr>
            <w:tcW w:w="1654" w:type="dxa"/>
            <w:vAlign w:val="top"/>
          </w:tcPr>
          <w:p w14:paraId="62B7582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金额（元）</w:t>
            </w:r>
          </w:p>
        </w:tc>
      </w:tr>
      <w:tr w14:paraId="3D124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517" w:type="dxa"/>
            <w:vAlign w:val="top"/>
          </w:tcPr>
          <w:p w14:paraId="6B76A52B">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default" w:ascii="宋体" w:hAnsi="宋体" w:eastAsia="宋体" w:cs="宋体"/>
                <w:color w:val="000000" w:themeColor="text1"/>
                <w:kern w:val="0"/>
                <w:sz w:val="24"/>
                <w:szCs w:val="24"/>
                <w:highlight w:val="none"/>
                <w:lang w:val="en-US" w:eastAsia="zh-CN"/>
                <w14:textFill>
                  <w14:solidFill>
                    <w14:schemeClr w14:val="tx1"/>
                  </w14:solidFill>
                </w14:textFill>
              </w:rPr>
              <w:t>MMC软件</w:t>
            </w:r>
          </w:p>
        </w:tc>
        <w:tc>
          <w:tcPr>
            <w:tcW w:w="1220" w:type="dxa"/>
            <w:vAlign w:val="center"/>
          </w:tcPr>
          <w:p w14:paraId="18ED4B1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1760" w:type="dxa"/>
            <w:vAlign w:val="top"/>
          </w:tcPr>
          <w:p w14:paraId="169BCDB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320" w:type="dxa"/>
            <w:vAlign w:val="top"/>
          </w:tcPr>
          <w:p w14:paraId="22D5164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 </w:t>
            </w:r>
          </w:p>
        </w:tc>
        <w:tc>
          <w:tcPr>
            <w:tcW w:w="940" w:type="dxa"/>
            <w:vAlign w:val="top"/>
          </w:tcPr>
          <w:p w14:paraId="67F82DB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1</w:t>
            </w:r>
          </w:p>
        </w:tc>
        <w:tc>
          <w:tcPr>
            <w:tcW w:w="1654" w:type="dxa"/>
            <w:vAlign w:val="top"/>
          </w:tcPr>
          <w:p w14:paraId="275A48D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p>
        </w:tc>
      </w:tr>
      <w:tr w14:paraId="2F1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411" w:type="dxa"/>
            <w:gridSpan w:val="6"/>
            <w:vAlign w:val="top"/>
          </w:tcPr>
          <w:p w14:paraId="2B2719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合计</w:t>
            </w:r>
            <w:r>
              <w:rPr>
                <w:rFonts w:hint="eastAsia" w:ascii="宋体" w:hAnsi="宋体" w:eastAsia="宋体" w:cs="宋体"/>
                <w:color w:val="000000" w:themeColor="text1"/>
                <w:kern w:val="0"/>
                <w:sz w:val="24"/>
                <w:szCs w:val="24"/>
                <w:highlight w:val="none"/>
                <w:lang w:eastAsia="zh-CN"/>
                <w14:textFill>
                  <w14:solidFill>
                    <w14:schemeClr w14:val="tx1"/>
                  </w14:solidFill>
                </w14:textFill>
              </w:rPr>
              <w:t>价款</w:t>
            </w:r>
            <w:r>
              <w:rPr>
                <w:rFonts w:hint="eastAsia" w:ascii="宋体" w:hAnsi="宋体" w:eastAsia="宋体" w:cs="宋体"/>
                <w:color w:val="000000" w:themeColor="text1"/>
                <w:kern w:val="0"/>
                <w:sz w:val="24"/>
                <w:szCs w:val="24"/>
                <w:highlight w:val="none"/>
                <w14:textFill>
                  <w14:solidFill>
                    <w14:schemeClr w14:val="tx1"/>
                  </w14:solidFill>
                </w14:textFill>
              </w:rPr>
              <w:t>金额人民币（大写）：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eastAsia="zh-CN"/>
                <w14:textFill>
                  <w14:solidFill>
                    <w14:schemeClr w14:val="tx1"/>
                  </w14:solidFill>
                </w14:textFill>
              </w:rPr>
              <w:t>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整      </w:t>
            </w:r>
            <w:r>
              <w:rPr>
                <w:rFonts w:hint="eastAsia" w:ascii="宋体" w:hAnsi="宋体" w:eastAsia="宋体" w:cs="宋体"/>
                <w:color w:val="000000" w:themeColor="text1"/>
                <w:kern w:val="0"/>
                <w:sz w:val="24"/>
                <w:szCs w:val="24"/>
                <w:highlight w:val="none"/>
                <w14:textFill>
                  <w14:solidFill>
                    <w14:schemeClr w14:val="tx1"/>
                  </w14:solidFill>
                </w14:textFill>
              </w:rPr>
              <w:t>（小写）：</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元</w:t>
            </w:r>
          </w:p>
        </w:tc>
      </w:tr>
    </w:tbl>
    <w:p w14:paraId="37F50B2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 本合同约定价格为固定总价，不因物价、市场波动变更，约定价格包括且不限于设计费、材料费、人工费、安装费、包装费、运输费、装卸费、调试费、</w:t>
      </w:r>
      <w:r>
        <w:rPr>
          <w:rFonts w:hint="eastAsia" w:ascii="宋体" w:hAnsi="宋体" w:eastAsia="宋体" w:cs="宋体"/>
          <w:color w:val="0000FF"/>
          <w:sz w:val="24"/>
          <w:szCs w:val="24"/>
          <w:highlight w:val="none"/>
          <w:lang w:val="en-US" w:eastAsia="zh-CN"/>
        </w:rPr>
        <w:t>MMC软件永久使用费、软件升级费、</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接口费、检测费、检验费、税费、保险费、售后服务费、附随服务费等在内所有费用。 </w:t>
      </w:r>
    </w:p>
    <w:p w14:paraId="41BC4B8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1.3 </w:t>
      </w:r>
      <w:r>
        <w:rPr>
          <w:rFonts w:hint="eastAsia" w:ascii="宋体" w:hAnsi="宋体" w:cs="宋体"/>
          <w:color w:val="000000" w:themeColor="text1"/>
          <w:sz w:val="24"/>
          <w:szCs w:val="24"/>
          <w:highlight w:val="none"/>
          <w14:textFill>
            <w14:solidFill>
              <w14:schemeClr w14:val="tx1"/>
            </w14:solidFill>
          </w14:textFill>
        </w:rPr>
        <w:t>本合同</w:t>
      </w:r>
      <w:r>
        <w:rPr>
          <w:rFonts w:hint="eastAsia" w:ascii="宋体" w:hAnsi="宋体" w:cs="宋体"/>
          <w:color w:val="000000" w:themeColor="text1"/>
          <w:sz w:val="24"/>
          <w:szCs w:val="24"/>
          <w:highlight w:val="none"/>
          <w:lang w:val="en-US" w:eastAsia="zh-CN"/>
          <w14:textFill>
            <w14:solidFill>
              <w14:schemeClr w14:val="tx1"/>
            </w14:solidFill>
          </w14:textFill>
        </w:rPr>
        <w:t>软件</w:t>
      </w:r>
      <w:r>
        <w:rPr>
          <w:rFonts w:hint="eastAsia" w:ascii="宋体" w:hAnsi="宋体" w:cs="宋体"/>
          <w:color w:val="000000" w:themeColor="text1"/>
          <w:sz w:val="24"/>
          <w:szCs w:val="24"/>
          <w:highlight w:val="none"/>
          <w:lang w:eastAsia="zh-CN"/>
          <w14:textFill>
            <w14:solidFill>
              <w14:schemeClr w14:val="tx1"/>
            </w14:solidFill>
          </w14:textFill>
        </w:rPr>
        <w:t>需要</w:t>
      </w:r>
      <w:r>
        <w:rPr>
          <w:rFonts w:hint="eastAsia" w:ascii="宋体" w:hAnsi="宋体" w:cs="宋体"/>
          <w:color w:val="000000" w:themeColor="text1"/>
          <w:sz w:val="24"/>
          <w:szCs w:val="24"/>
          <w:highlight w:val="none"/>
          <w14:textFill>
            <w14:solidFill>
              <w14:schemeClr w14:val="tx1"/>
            </w14:solidFill>
          </w14:textFill>
        </w:rPr>
        <w:t>与甲方</w:t>
      </w:r>
      <w:r>
        <w:rPr>
          <w:rFonts w:hint="eastAsia" w:ascii="宋体" w:hAnsi="宋体" w:cs="宋体"/>
          <w:color w:val="000000" w:themeColor="text1"/>
          <w:sz w:val="24"/>
          <w:szCs w:val="24"/>
          <w:highlight w:val="none"/>
          <w:lang w:eastAsia="zh-CN"/>
          <w14:textFill>
            <w14:solidFill>
              <w14:schemeClr w14:val="tx1"/>
            </w14:solidFill>
          </w14:textFill>
        </w:rPr>
        <w:t>使用的</w:t>
      </w:r>
      <w:r>
        <w:rPr>
          <w:rFonts w:hint="eastAsia" w:ascii="宋体" w:hAnsi="宋体" w:cs="宋体"/>
          <w:color w:val="000000" w:themeColor="text1"/>
          <w:sz w:val="24"/>
          <w:szCs w:val="24"/>
          <w:highlight w:val="none"/>
          <w14:textFill>
            <w14:solidFill>
              <w14:schemeClr w14:val="tx1"/>
            </w14:solidFill>
          </w14:textFill>
        </w:rPr>
        <w:t>信息系统</w:t>
      </w:r>
      <w:r>
        <w:rPr>
          <w:rFonts w:hint="eastAsia" w:ascii="宋体" w:hAnsi="宋体" w:cs="宋体"/>
          <w:color w:val="000000" w:themeColor="text1"/>
          <w:sz w:val="24"/>
          <w:szCs w:val="24"/>
          <w:highlight w:val="none"/>
          <w:lang w:eastAsia="zh-CN"/>
          <w14:textFill>
            <w14:solidFill>
              <w14:schemeClr w14:val="tx1"/>
            </w14:solidFill>
          </w14:textFill>
        </w:rPr>
        <w:t>对接，因</w:t>
      </w:r>
      <w:r>
        <w:rPr>
          <w:rFonts w:hint="eastAsia" w:ascii="宋体" w:hAnsi="宋体" w:cs="宋体"/>
          <w:color w:val="000000" w:themeColor="text1"/>
          <w:sz w:val="24"/>
          <w:szCs w:val="24"/>
          <w:highlight w:val="none"/>
          <w14:textFill>
            <w14:solidFill>
              <w14:schemeClr w14:val="tx1"/>
            </w14:solidFill>
          </w14:textFill>
        </w:rPr>
        <w:t>对接产生的接口开发等</w:t>
      </w:r>
      <w:r>
        <w:rPr>
          <w:rFonts w:hint="eastAsia" w:ascii="宋体" w:hAnsi="宋体" w:cs="宋体"/>
          <w:color w:val="000000" w:themeColor="text1"/>
          <w:sz w:val="24"/>
          <w:szCs w:val="24"/>
          <w:highlight w:val="none"/>
          <w:lang w:eastAsia="zh-CN"/>
          <w14:textFill>
            <w14:solidFill>
              <w14:schemeClr w14:val="tx1"/>
            </w14:solidFill>
          </w14:textFill>
        </w:rPr>
        <w:t>乙方及第三方需要收取的</w:t>
      </w:r>
      <w:r>
        <w:rPr>
          <w:rFonts w:hint="eastAsia" w:ascii="宋体" w:hAnsi="宋体" w:cs="宋体"/>
          <w:color w:val="000000" w:themeColor="text1"/>
          <w:sz w:val="24"/>
          <w:szCs w:val="24"/>
          <w:highlight w:val="none"/>
          <w14:textFill>
            <w14:solidFill>
              <w14:schemeClr w14:val="tx1"/>
            </w14:solidFill>
          </w14:textFill>
        </w:rPr>
        <w:t>全部费用均由乙方承担。</w:t>
      </w:r>
    </w:p>
    <w:p w14:paraId="4FC6B4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4</w:t>
      </w:r>
      <w:r>
        <w:rPr>
          <w:rFonts w:hint="eastAsia" w:ascii="宋体" w:hAnsi="宋体" w:cs="宋体"/>
          <w:color w:val="000000" w:themeColor="text1"/>
          <w:sz w:val="24"/>
          <w:szCs w:val="24"/>
          <w:highlight w:val="none"/>
          <w14:textFill>
            <w14:solidFill>
              <w14:schemeClr w14:val="tx1"/>
            </w14:solidFill>
          </w14:textFill>
        </w:rPr>
        <w:t xml:space="preserve"> 乙方允许甲方使用的任意信息系统接入本合同软件，承诺为此免费提供技术支持并永久免收开放接口的相关费用。</w:t>
      </w:r>
    </w:p>
    <w:p w14:paraId="736AA13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color w:val="FF0000"/>
        </w:rPr>
      </w:pPr>
      <w:r>
        <w:rPr>
          <w:rFonts w:hint="eastAsia" w:ascii="宋体" w:hAnsi="宋体" w:cs="宋体"/>
          <w:color w:val="FF0000"/>
          <w:sz w:val="24"/>
          <w:szCs w:val="24"/>
          <w:highlight w:val="none"/>
        </w:rPr>
        <w:t>1.</w:t>
      </w:r>
      <w:r>
        <w:rPr>
          <w:rFonts w:hint="eastAsia" w:ascii="宋体" w:hAnsi="宋体" w:cs="宋体"/>
          <w:color w:val="FF0000"/>
          <w:sz w:val="24"/>
          <w:szCs w:val="24"/>
          <w:highlight w:val="none"/>
          <w:lang w:val="en-US" w:eastAsia="zh-CN"/>
        </w:rPr>
        <w:t>5</w:t>
      </w:r>
      <w:r>
        <w:rPr>
          <w:rFonts w:hint="eastAsia" w:ascii="宋体" w:hAnsi="宋体" w:cs="宋体"/>
          <w:color w:val="FF0000"/>
          <w:sz w:val="24"/>
          <w:szCs w:val="24"/>
          <w:highlight w:val="none"/>
        </w:rPr>
        <w:t xml:space="preserve"> 甲方享有</w:t>
      </w:r>
      <w:r>
        <w:rPr>
          <w:rFonts w:hint="eastAsia" w:ascii="宋体" w:hAnsi="宋体" w:cs="宋体"/>
          <w:color w:val="FF0000"/>
          <w:sz w:val="24"/>
          <w:szCs w:val="24"/>
          <w:highlight w:val="none"/>
          <w:u w:val="single"/>
          <w:lang w:val="en-US" w:eastAsia="zh-CN"/>
        </w:rPr>
        <w:t xml:space="preserve"> </w:t>
      </w:r>
      <w:r>
        <w:rPr>
          <w:rFonts w:hint="eastAsia" w:ascii="宋体" w:hAnsi="宋体" w:eastAsia="宋体" w:cs="宋体"/>
          <w:color w:val="FF0000"/>
          <w:sz w:val="24"/>
          <w:szCs w:val="24"/>
          <w:highlight w:val="none"/>
          <w:u w:val="single"/>
          <w:lang w:val="en-US" w:eastAsia="zh-CN"/>
        </w:rPr>
        <w:t>MMC软件</w:t>
      </w:r>
      <w:r>
        <w:rPr>
          <w:rFonts w:hint="eastAsia" w:ascii="宋体" w:hAnsi="宋体" w:cs="宋体"/>
          <w:color w:val="FF0000"/>
          <w:sz w:val="24"/>
          <w:szCs w:val="24"/>
          <w:highlight w:val="none"/>
          <w:u w:val="single"/>
          <w:lang w:val="en-US" w:eastAsia="zh-CN"/>
        </w:rPr>
        <w:t xml:space="preserve"> </w:t>
      </w:r>
      <w:r>
        <w:rPr>
          <w:rFonts w:hint="eastAsia" w:ascii="宋体" w:hAnsi="宋体" w:cs="宋体"/>
          <w:color w:val="FF0000"/>
          <w:sz w:val="24"/>
          <w:szCs w:val="24"/>
          <w:highlight w:val="none"/>
        </w:rPr>
        <w:t>的永久使用权。</w:t>
      </w:r>
    </w:p>
    <w:p w14:paraId="1490DD2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82" w:firstLineChars="200"/>
        <w:jc w:val="both"/>
        <w:textAlignment w:val="auto"/>
        <w:rPr>
          <w:rFonts w:hint="default"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t xml:space="preserve">第二条  </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系统的安装、调试、交付等期限</w:t>
      </w:r>
    </w:p>
    <w:p w14:paraId="52B1B30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ascii="宋体" w:hAnsi="宋体" w:eastAsia="宋体"/>
          <w:bCs/>
          <w:color w:val="auto"/>
          <w:sz w:val="24"/>
        </w:rPr>
      </w:pPr>
      <w:r>
        <w:rPr>
          <w:rFonts w:hint="eastAsia" w:ascii="宋体" w:hAnsi="宋体" w:eastAsia="宋体"/>
          <w:bCs/>
          <w:color w:val="auto"/>
          <w:sz w:val="24"/>
        </w:rPr>
        <w:t>乙方应在本合同签订之日起</w:t>
      </w:r>
      <w:r>
        <w:rPr>
          <w:rFonts w:hint="eastAsia" w:ascii="宋体" w:hAnsi="宋体" w:eastAsia="宋体"/>
          <w:bCs/>
          <w:color w:val="auto"/>
          <w:sz w:val="24"/>
          <w:u w:val="single"/>
        </w:rPr>
        <w:t xml:space="preserve"> </w:t>
      </w:r>
      <w:r>
        <w:rPr>
          <w:rFonts w:ascii="宋体" w:hAnsi="宋体" w:eastAsia="宋体"/>
          <w:bCs/>
          <w:color w:val="auto"/>
          <w:sz w:val="24"/>
          <w:u w:val="single"/>
        </w:rPr>
        <w:t>30</w:t>
      </w:r>
      <w:r>
        <w:rPr>
          <w:rFonts w:hint="eastAsia" w:ascii="宋体" w:hAnsi="宋体" w:eastAsia="宋体"/>
          <w:bCs/>
          <w:color w:val="auto"/>
          <w:sz w:val="24"/>
          <w:u w:val="single"/>
        </w:rPr>
        <w:t xml:space="preserve"> </w:t>
      </w:r>
      <w:r>
        <w:rPr>
          <w:rFonts w:hint="eastAsia" w:ascii="宋体" w:hAnsi="宋体" w:eastAsia="宋体"/>
          <w:bCs/>
          <w:color w:val="auto"/>
          <w:sz w:val="24"/>
        </w:rPr>
        <w:t>日内完成</w:t>
      </w:r>
      <w:r>
        <w:rPr>
          <w:rFonts w:hint="eastAsia" w:ascii="宋体" w:hAnsi="宋体" w:eastAsia="宋体"/>
          <w:bCs/>
          <w:color w:val="auto"/>
          <w:sz w:val="24"/>
          <w:u w:val="single"/>
          <w:lang w:val="en-US" w:eastAsia="zh-CN"/>
        </w:rPr>
        <w:t>MMC软件</w:t>
      </w:r>
      <w:r>
        <w:rPr>
          <w:rFonts w:hint="eastAsia" w:ascii="宋体" w:hAnsi="宋体" w:eastAsia="宋体"/>
          <w:bCs/>
          <w:color w:val="auto"/>
          <w:sz w:val="24"/>
        </w:rPr>
        <w:t>系统升级、安装、实施、调试、验收并交付给甲方使用。</w:t>
      </w:r>
    </w:p>
    <w:p w14:paraId="5AD829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第三条 质量标准、验收</w:t>
      </w:r>
    </w:p>
    <w:p w14:paraId="63F2BB2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 质量标准：乙方提供软件的质量、安装应符合或优于国家标准；如投标文件/响应文件中的技术参数和质量标准高于国家标准，则</w:t>
      </w:r>
      <w:r>
        <w:rPr>
          <w:rFonts w:hint="eastAsia" w:ascii="宋体" w:hAnsi="宋体" w:eastAsia="宋体" w:cs="宋体"/>
          <w:color w:val="auto"/>
          <w:sz w:val="24"/>
          <w:szCs w:val="24"/>
          <w:lang w:val="en-US" w:eastAsia="zh-CN"/>
        </w:rPr>
        <w:t>软件</w:t>
      </w:r>
      <w:r>
        <w:rPr>
          <w:rFonts w:hint="eastAsia" w:ascii="宋体" w:hAnsi="宋体" w:eastAsia="宋体" w:cs="宋体"/>
          <w:color w:val="000000" w:themeColor="text1"/>
          <w:sz w:val="24"/>
          <w:szCs w:val="24"/>
          <w:highlight w:val="none"/>
          <w:lang w:val="en-US" w:eastAsia="zh-CN"/>
          <w14:textFill>
            <w14:solidFill>
              <w14:schemeClr w14:val="tx1"/>
            </w14:solidFill>
          </w14:textFill>
        </w:rPr>
        <w:t>的技术参数和质量标准以投标文件/响应文件为准；如乙方投标/响应时提交了样品并经甲方确认封存的，软件质量标准以样品为准。</w:t>
      </w:r>
    </w:p>
    <w:p w14:paraId="7E21C3C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 乙方完成软件系统升级、安装、实施、调试后，书面通知甲方有关部门共同对合同项目进行验收。甲方收到乙方书面验收通知之日起7个工作日内组织验收，软件正常运行且满足要求和甲方需求方为验收合格，甲方签署总体验收报告单。如经甲方验收不合格，乙方应在 3 日内无条件予以返工并确保总体验收合格，因此产生的违约责任和所有费用由乙方承担。</w:t>
      </w:r>
    </w:p>
    <w:p w14:paraId="10A862E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val="0"/>
          <w:color w:val="auto"/>
          <w:sz w:val="24"/>
          <w:szCs w:val="24"/>
          <w:lang w:val="en-US" w:eastAsia="zh-CN"/>
        </w:rPr>
        <w:t>3.3 甲方验收时如发现乙方所交付的软件系统不符合本合同约定，甲方应做出详尽的现场记录，由甲乙双方签署备忘录，该现场记录和备忘录作为乙方重新返工的有效依据，由此产生的一切经济损失由乙方承担。</w:t>
      </w:r>
    </w:p>
    <w:p w14:paraId="0454B3E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第四条 安装、培训等事项</w:t>
      </w:r>
    </w:p>
    <w:p w14:paraId="4067807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4.1 甲方负责协调、处理与安装、调试有关事宜，为乙方创造良好的安装、调试环境。</w:t>
      </w:r>
    </w:p>
    <w:p w14:paraId="6152F27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4.2 甲方委派</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邓时敏13723814432 </w:t>
      </w:r>
      <w:r>
        <w:rPr>
          <w:rFonts w:hint="eastAsia" w:ascii="宋体" w:hAnsi="宋体" w:eastAsia="宋体" w:cs="宋体"/>
          <w:color w:val="000000" w:themeColor="text1"/>
          <w:sz w:val="24"/>
          <w:szCs w:val="24"/>
          <w:highlight w:val="none"/>
          <w:lang w:val="en-US" w:eastAsia="zh-CN"/>
          <w14:textFill>
            <w14:solidFill>
              <w14:schemeClr w14:val="tx1"/>
            </w14:solidFill>
          </w14:textFill>
        </w:rPr>
        <w:t>作为代表，跟踪、检查安装、调试现场。</w:t>
      </w:r>
    </w:p>
    <w:p w14:paraId="4BF6AA2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4.3 乙方负责对甲方的操作人员进行免费培训。</w:t>
      </w:r>
    </w:p>
    <w:p w14:paraId="40F47E9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第五条 售后服务</w:t>
      </w:r>
    </w:p>
    <w:p w14:paraId="2C1D49BD">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auto"/>
          <w:kern w:val="2"/>
          <w:sz w:val="24"/>
          <w:szCs w:val="24"/>
          <w:lang w:val="en-US" w:eastAsia="zh-CN" w:bidi="ar-SA"/>
        </w:rPr>
        <w:t>5.1本合同软</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件系统免费维保服务期限为</w:t>
      </w:r>
      <w:r>
        <w:rPr>
          <w:rFonts w:hint="eastAsia" w:ascii="宋体" w:hAnsi="宋体" w:eastAsia="宋体" w:cs="宋体"/>
          <w:b w:val="0"/>
          <w:bCs w:val="0"/>
          <w:color w:val="000000" w:themeColor="text1"/>
          <w:kern w:val="2"/>
          <w:sz w:val="24"/>
          <w:szCs w:val="24"/>
          <w:highlight w:val="none"/>
          <w:u w:val="single"/>
          <w:lang w:val="en-US" w:eastAsia="zh-CN" w:bidi="ar-SA"/>
          <w14:textFill>
            <w14:solidFill>
              <w14:schemeClr w14:val="tx1"/>
            </w14:solidFill>
          </w14:textFill>
        </w:rPr>
        <w:t xml:space="preserve"> 5</w:t>
      </w: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年，自甲方总体验收合格之日起算。</w:t>
      </w:r>
    </w:p>
    <w:p w14:paraId="7CA29D6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5.2 服务方式：乙方按甲方要求提供接口升级、调试服务、技术咨询、电话服务、远程服务、现场服务等服务。</w:t>
      </w:r>
    </w:p>
    <w:p w14:paraId="05083B60">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5.3 乙方搭建测试环境，进行测试联调；提供接口方案调试的技术支持，保证数据完成数据传递。</w:t>
      </w:r>
    </w:p>
    <w:p w14:paraId="7833ECB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5.4 远程服务：乙方提供远程监测和远程维护的服务体系，如出现紧急情况，必要时由技术人员通过远程登录系统端，及时进行远程服务。</w:t>
      </w:r>
    </w:p>
    <w:p w14:paraId="0210C758">
      <w:pPr>
        <w:keepNext w:val="0"/>
        <w:keepLines w:val="0"/>
        <w:pageBreakBefore w:val="0"/>
        <w:kinsoku/>
        <w:wordWrap/>
        <w:overflowPunct/>
        <w:topLinePunct w:val="0"/>
        <w:autoSpaceDE/>
        <w:autoSpaceDN/>
        <w:bidi w:val="0"/>
        <w:spacing w:line="480" w:lineRule="exact"/>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000000" w:themeColor="text1"/>
          <w:kern w:val="2"/>
          <w:sz w:val="24"/>
          <w:szCs w:val="24"/>
          <w:highlight w:val="none"/>
          <w:lang w:val="en-US" w:eastAsia="zh-CN" w:bidi="ar-SA"/>
          <w14:textFill>
            <w14:solidFill>
              <w14:schemeClr w14:val="tx1"/>
            </w14:solidFill>
          </w14:textFill>
        </w:rPr>
        <w:t>5.5 在免费维保</w:t>
      </w:r>
      <w:r>
        <w:rPr>
          <w:rFonts w:hint="eastAsia" w:ascii="宋体" w:hAnsi="宋体" w:eastAsia="宋体" w:cs="宋体"/>
          <w:b w:val="0"/>
          <w:bCs w:val="0"/>
          <w:color w:val="auto"/>
          <w:kern w:val="2"/>
          <w:sz w:val="24"/>
          <w:szCs w:val="24"/>
          <w:highlight w:val="none"/>
          <w:lang w:val="en-US" w:eastAsia="zh-CN" w:bidi="ar-SA"/>
        </w:rPr>
        <w:t>服务期限内，乙方每周通过电话、邮件、微信等网络方式为甲方提供7天</w:t>
      </w:r>
      <w:r>
        <w:rPr>
          <w:rFonts w:hint="default" w:ascii="宋体" w:hAnsi="宋体" w:eastAsia="宋体" w:cs="宋体"/>
          <w:b w:val="0"/>
          <w:bCs w:val="0"/>
          <w:color w:val="auto"/>
          <w:kern w:val="2"/>
          <w:sz w:val="24"/>
          <w:szCs w:val="24"/>
          <w:highlight w:val="none"/>
          <w:lang w:val="en-US" w:eastAsia="zh-CN" w:bidi="ar-SA"/>
        </w:rPr>
        <w:t>×</w:t>
      </w:r>
      <w:r>
        <w:rPr>
          <w:rFonts w:hint="eastAsia" w:ascii="宋体" w:hAnsi="宋体" w:eastAsia="宋体" w:cs="宋体"/>
          <w:b w:val="0"/>
          <w:bCs w:val="0"/>
          <w:color w:val="auto"/>
          <w:kern w:val="2"/>
          <w:sz w:val="24"/>
          <w:szCs w:val="24"/>
          <w:highlight w:val="none"/>
          <w:lang w:val="en-US" w:eastAsia="zh-CN" w:bidi="ar-SA"/>
        </w:rPr>
        <w:t>24小时软件技术服务，乙方指定联系人</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、联系电话：</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、电子邮箱</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b w:val="0"/>
          <w:bCs w:val="0"/>
          <w:color w:val="auto"/>
          <w:kern w:val="2"/>
          <w:sz w:val="24"/>
          <w:szCs w:val="24"/>
          <w:highlight w:val="none"/>
          <w:lang w:val="en-US" w:eastAsia="zh-CN" w:bidi="ar-SA"/>
        </w:rPr>
        <w:t>、微信号</w:t>
      </w:r>
      <w:r>
        <w:rPr>
          <w:rFonts w:hint="eastAsia" w:ascii="宋体" w:hAnsi="宋体" w:eastAsia="宋体" w:cs="宋体"/>
          <w:b w:val="0"/>
          <w:bCs w:val="0"/>
          <w:color w:val="auto"/>
          <w:kern w:val="2"/>
          <w:sz w:val="24"/>
          <w:szCs w:val="24"/>
          <w:highlight w:val="none"/>
          <w:u w:val="single"/>
          <w:lang w:val="en-US" w:eastAsia="zh-CN" w:bidi="ar-SA"/>
        </w:rPr>
        <w:t xml:space="preserve">           </w:t>
      </w:r>
      <w:r>
        <w:rPr>
          <w:rFonts w:hint="eastAsia" w:ascii="宋体" w:hAnsi="宋体" w:eastAsia="宋体" w:cs="宋体"/>
          <w:b w:val="0"/>
          <w:bCs w:val="0"/>
          <w:color w:val="auto"/>
          <w:kern w:val="2"/>
          <w:sz w:val="24"/>
          <w:szCs w:val="24"/>
          <w:highlight w:val="none"/>
          <w:lang w:val="en-US" w:eastAsia="zh-CN" w:bidi="ar-SA"/>
        </w:rPr>
        <w:t>专门负责与甲方联络。如系统发生故障，乙方自接到甲方故障通知后30分钟内响应，并通过远程服</w:t>
      </w:r>
      <w:r>
        <w:rPr>
          <w:rFonts w:hint="eastAsia" w:ascii="宋体" w:hAnsi="宋体" w:eastAsia="宋体" w:cs="宋体"/>
          <w:b w:val="0"/>
          <w:bCs w:val="0"/>
          <w:color w:val="auto"/>
          <w:kern w:val="2"/>
          <w:sz w:val="24"/>
          <w:szCs w:val="24"/>
          <w:lang w:val="en-US" w:eastAsia="zh-CN" w:bidi="ar-SA"/>
        </w:rPr>
        <w:t>务进行维护。</w:t>
      </w:r>
    </w:p>
    <w:p w14:paraId="1E2E7BF6">
      <w:pPr>
        <w:keepNext w:val="0"/>
        <w:keepLines w:val="0"/>
        <w:pageBreakBefore w:val="0"/>
        <w:kinsoku/>
        <w:wordWrap/>
        <w:overflowPunct/>
        <w:topLinePunct w:val="0"/>
        <w:autoSpaceDE/>
        <w:autoSpaceDN/>
        <w:bidi w:val="0"/>
        <w:spacing w:line="480" w:lineRule="exact"/>
        <w:ind w:firstLine="480" w:firstLineChars="200"/>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远程服务：一级故障，自接到甲方通知后1小时内确认故障，总故障解决时间不超过4小时；二级故障，自接到甲方通知后2小时内确认故障，并在4小时内由专家到达现场确认并解决，总故障解决时间不超过8小时；三、四级故障，应接到甲方通知后4小时内确认故障，总故障解决时间不超过24小时；特殊故障，与甲方协商，按照经甲方同意的方案和时间表解决故障。</w:t>
      </w:r>
    </w:p>
    <w:p w14:paraId="7D32B382">
      <w:pPr>
        <w:keepNext w:val="0"/>
        <w:keepLines w:val="0"/>
        <w:pageBreakBefore w:val="0"/>
        <w:kinsoku/>
        <w:wordWrap/>
        <w:overflowPunct/>
        <w:topLinePunct w:val="0"/>
        <w:autoSpaceDE/>
        <w:autoSpaceDN/>
        <w:bidi w:val="0"/>
        <w:spacing w:line="480" w:lineRule="exact"/>
        <w:ind w:firstLine="480" w:firstLineChars="200"/>
        <w:rPr>
          <w:rFonts w:hint="eastAsia"/>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现场服务：如远程服务无法解决，乙方应免费上门服务，普通情况应自接到甲方通知后48小时内到达现场，紧急情况应自接到甲方通知后24小时内到达现场，与甲方协商，按照经甲方同意的方案和时间表解决故障。</w:t>
      </w:r>
    </w:p>
    <w:p w14:paraId="25073146">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5.6 在免费维保服务期限内，乙方每月进行一次客户回访，对乙方各类服务人员的服务质量进行监督；乙方客户管理中心在完成客户服务后一个月内对甲方进行回访及满意度调查等工作，并将结果纳入乙方服务人员考核体系。</w:t>
      </w:r>
    </w:p>
    <w:p w14:paraId="058BD243">
      <w:pPr>
        <w:keepNext w:val="0"/>
        <w:keepLines w:val="0"/>
        <w:pageBreakBefore w:val="0"/>
        <w:widowControl/>
        <w:numPr>
          <w:ilvl w:val="-1"/>
          <w:numId w:val="0"/>
        </w:numPr>
        <w:kinsoku/>
        <w:wordWrap/>
        <w:overflowPunct/>
        <w:topLinePunct w:val="0"/>
        <w:autoSpaceDE/>
        <w:autoSpaceDN/>
        <w:bidi w:val="0"/>
        <w:adjustRightInd/>
        <w:snapToGrid/>
        <w:spacing w:line="480" w:lineRule="exact"/>
        <w:ind w:firstLine="436" w:firstLineChars="200"/>
        <w:jc w:val="both"/>
        <w:textAlignment w:val="auto"/>
        <w:rPr>
          <w:rFonts w:hint="eastAsia" w:ascii="宋体" w:hAnsi="宋体" w:eastAsia="宋体" w:cs="宋体"/>
          <w:color w:val="000000" w:themeColor="text1"/>
          <w:spacing w:val="-11"/>
          <w:sz w:val="24"/>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pacing w:val="-11"/>
          <w:kern w:val="2"/>
          <w:sz w:val="24"/>
          <w:szCs w:val="24"/>
          <w:lang w:val="en-US" w:eastAsia="zh-CN" w:bidi="ar-SA"/>
          <w14:textFill>
            <w14:solidFill>
              <w14:schemeClr w14:val="tx1"/>
            </w14:solidFill>
          </w14:textFill>
        </w:rPr>
        <w:t>5.7 免费维保服务期限届满后，甲方依规采购软件维保服务，乙方承诺如成为维保服务单位，向甲方收取的年度维保费用不高于人民币</w:t>
      </w:r>
      <w:r>
        <w:rPr>
          <w:rFonts w:hint="eastAsia" w:ascii="宋体" w:hAnsi="宋体" w:eastAsia="宋体" w:cs="宋体"/>
          <w:b w:val="0"/>
          <w:bCs w:val="0"/>
          <w:color w:val="000000" w:themeColor="text1"/>
          <w:spacing w:val="-11"/>
          <w:kern w:val="2"/>
          <w:sz w:val="24"/>
          <w:szCs w:val="24"/>
          <w:u w:val="single"/>
          <w:lang w:val="en-US" w:eastAsia="zh-CN" w:bidi="ar-SA"/>
          <w14:textFill>
            <w14:solidFill>
              <w14:schemeClr w14:val="tx1"/>
            </w14:solidFill>
          </w14:textFill>
        </w:rPr>
        <w:t xml:space="preserve"> 3000</w:t>
      </w:r>
      <w:r>
        <w:rPr>
          <w:rFonts w:hint="eastAsia" w:ascii="宋体" w:hAnsi="宋体" w:eastAsia="宋体" w:cs="宋体"/>
          <w:b w:val="0"/>
          <w:bCs w:val="0"/>
          <w:color w:val="000000" w:themeColor="text1"/>
          <w:spacing w:val="-11"/>
          <w:kern w:val="2"/>
          <w:sz w:val="24"/>
          <w:szCs w:val="24"/>
          <w:u w:val="none"/>
          <w:lang w:val="en-US" w:eastAsia="zh-CN" w:bidi="ar-SA"/>
          <w14:textFill>
            <w14:solidFill>
              <w14:schemeClr w14:val="tx1"/>
            </w14:solidFill>
          </w14:textFill>
        </w:rPr>
        <w:t>元</w:t>
      </w:r>
      <w:r>
        <w:rPr>
          <w:rFonts w:hint="eastAsia" w:ascii="宋体" w:hAnsi="宋体" w:eastAsia="宋体" w:cs="宋体"/>
          <w:b w:val="0"/>
          <w:bCs w:val="0"/>
          <w:color w:val="000000" w:themeColor="text1"/>
          <w:spacing w:val="-11"/>
          <w:kern w:val="2"/>
          <w:sz w:val="24"/>
          <w:szCs w:val="24"/>
          <w:lang w:val="en-US" w:eastAsia="zh-CN" w:bidi="ar-SA"/>
          <w14:textFill>
            <w14:solidFill>
              <w14:schemeClr w14:val="tx1"/>
            </w14:solidFill>
          </w14:textFill>
        </w:rPr>
        <w:t>，具体费用以后续采购项目确定的费用为准。</w:t>
      </w:r>
    </w:p>
    <w:p w14:paraId="0874B2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lang w:val="en-US" w:eastAsia="zh-CN"/>
        </w:rPr>
      </w:pPr>
      <w:r>
        <w:rPr>
          <w:rFonts w:hint="eastAsia" w:ascii="宋体" w:hAnsi="宋体" w:eastAsia="宋体" w:cs="宋体"/>
          <w:b/>
          <w:bCs/>
          <w:color w:val="auto"/>
          <w:kern w:val="2"/>
          <w:sz w:val="24"/>
          <w:szCs w:val="24"/>
          <w:lang w:val="en-US" w:eastAsia="zh-CN" w:bidi="ar-SA"/>
        </w:rPr>
        <w:t xml:space="preserve">第六条 </w:t>
      </w:r>
      <w:r>
        <w:rPr>
          <w:rFonts w:hint="eastAsia" w:ascii="宋体" w:hAnsi="宋体" w:eastAsia="宋体" w:cs="宋体"/>
          <w:b/>
          <w:bCs/>
          <w:color w:val="auto"/>
          <w:sz w:val="24"/>
          <w:szCs w:val="24"/>
          <w:lang w:val="en-US" w:eastAsia="zh-CN"/>
        </w:rPr>
        <w:t>甲方其他权利和义务</w:t>
      </w:r>
    </w:p>
    <w:p w14:paraId="799414A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6.1 为乙方履行本合同服务提供必要的硬件设备支持，配合乙方顺利完成系统实施工作。</w:t>
      </w:r>
    </w:p>
    <w:p w14:paraId="56CF3C1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6.2 指定</w:t>
      </w:r>
      <w:r>
        <w:rPr>
          <w:rFonts w:hint="eastAsia" w:ascii="宋体" w:hAnsi="宋体" w:eastAsia="宋体" w:cs="宋体"/>
          <w:color w:val="auto"/>
          <w:sz w:val="24"/>
          <w:szCs w:val="24"/>
          <w:u w:val="single"/>
          <w:lang w:val="en-US" w:eastAsia="zh-CN"/>
        </w:rPr>
        <w:t xml:space="preserve"> 邓时敏 </w:t>
      </w:r>
      <w:r>
        <w:rPr>
          <w:rFonts w:hint="eastAsia" w:ascii="宋体" w:hAnsi="宋体" w:eastAsia="宋体" w:cs="宋体"/>
          <w:color w:val="auto"/>
          <w:sz w:val="24"/>
          <w:szCs w:val="24"/>
          <w:u w:val="none"/>
          <w:lang w:val="en-US" w:eastAsia="zh-CN"/>
        </w:rPr>
        <w:t>（联系电话：</w:t>
      </w:r>
      <w:r>
        <w:rPr>
          <w:rFonts w:hint="eastAsia" w:ascii="宋体" w:hAnsi="宋体" w:eastAsia="宋体" w:cs="宋体"/>
          <w:color w:val="auto"/>
          <w:sz w:val="24"/>
          <w:szCs w:val="24"/>
          <w:u w:val="single"/>
          <w:lang w:val="en-US" w:eastAsia="zh-CN"/>
        </w:rPr>
        <w:t>13723814432</w:t>
      </w:r>
      <w:r>
        <w:rPr>
          <w:rFonts w:hint="eastAsia" w:ascii="宋体" w:hAnsi="宋体" w:eastAsia="宋体" w:cs="宋体"/>
          <w:color w:val="auto"/>
          <w:sz w:val="24"/>
          <w:szCs w:val="24"/>
          <w:u w:val="none"/>
          <w:lang w:val="en-US" w:eastAsia="zh-CN"/>
        </w:rPr>
        <w:t>）</w:t>
      </w:r>
      <w:r>
        <w:rPr>
          <w:rFonts w:hint="eastAsia" w:ascii="宋体" w:hAnsi="宋体" w:eastAsia="宋体" w:cs="宋体"/>
          <w:color w:val="auto"/>
          <w:sz w:val="24"/>
          <w:szCs w:val="24"/>
          <w:lang w:val="en-US" w:eastAsia="zh-CN"/>
        </w:rPr>
        <w:t>为甲方项目联系人。</w:t>
      </w:r>
    </w:p>
    <w:p w14:paraId="3500652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6.3 有权监督乙方工作，要求乙方在接到通知后</w:t>
      </w:r>
      <w:r>
        <w:rPr>
          <w:rFonts w:hint="eastAsia" w:ascii="宋体" w:hAnsi="宋体" w:eastAsia="宋体" w:cs="宋体"/>
          <w:b w:val="0"/>
          <w:bCs w:val="0"/>
          <w:color w:val="auto"/>
          <w:sz w:val="24"/>
          <w:szCs w:val="24"/>
          <w:u w:val="single"/>
          <w:lang w:val="en-US" w:eastAsia="zh-CN"/>
        </w:rPr>
        <w:t xml:space="preserve"> 3 </w:t>
      </w:r>
      <w:r>
        <w:rPr>
          <w:rFonts w:hint="eastAsia" w:ascii="宋体" w:hAnsi="宋体" w:eastAsia="宋体" w:cs="宋体"/>
          <w:b w:val="0"/>
          <w:bCs w:val="0"/>
          <w:color w:val="auto"/>
          <w:sz w:val="24"/>
          <w:szCs w:val="24"/>
          <w:u w:val="none"/>
          <w:lang w:val="en-US" w:eastAsia="zh-CN"/>
        </w:rPr>
        <w:t>日内更换不符合质保或维保服务要求的工作人员。</w:t>
      </w:r>
    </w:p>
    <w:p w14:paraId="5D64A2C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宋体" w:hAnsi="宋体" w:eastAsia="宋体" w:cs="宋体"/>
          <w:b/>
          <w:bCs/>
          <w:color w:val="auto"/>
          <w:sz w:val="24"/>
          <w:szCs w:val="24"/>
          <w:u w:val="none"/>
          <w:lang w:val="en-US" w:eastAsia="zh-CN"/>
        </w:rPr>
      </w:pPr>
      <w:r>
        <w:rPr>
          <w:rFonts w:hint="eastAsia" w:ascii="宋体" w:hAnsi="宋体" w:eastAsia="宋体" w:cs="宋体"/>
          <w:b/>
          <w:bCs/>
          <w:color w:val="auto"/>
          <w:kern w:val="2"/>
          <w:sz w:val="24"/>
          <w:szCs w:val="24"/>
          <w:lang w:val="en-US" w:eastAsia="zh-CN" w:bidi="ar-SA"/>
        </w:rPr>
        <w:t xml:space="preserve">第七条 </w:t>
      </w:r>
      <w:r>
        <w:rPr>
          <w:rFonts w:hint="eastAsia" w:ascii="宋体" w:hAnsi="宋体" w:eastAsia="宋体" w:cs="宋体"/>
          <w:b/>
          <w:bCs/>
          <w:color w:val="auto"/>
          <w:sz w:val="24"/>
          <w:szCs w:val="24"/>
          <w:u w:val="none"/>
          <w:lang w:val="en-US" w:eastAsia="zh-CN"/>
        </w:rPr>
        <w:t>乙方其他权利和义务</w:t>
      </w:r>
    </w:p>
    <w:p w14:paraId="63AC67A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7.1 乙方履行本合同必须符合国家法律法规和行业技术规范要求，遵守甲方制度，确保不存在任何网络安全及其他安全隐患，否则由乙方承担全部法律责任和经济赔偿。 </w:t>
      </w:r>
    </w:p>
    <w:p w14:paraId="6A51A05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7.2 乙方确保履行本合同不会引发任何知识产权纠纷，否则由乙方承担全部法律责任和经济赔偿。 </w:t>
      </w:r>
    </w:p>
    <w:p w14:paraId="6CB9457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7.3 提供本合同全部软件的后台管理账号，供甲方管理员及职工使用。</w:t>
      </w:r>
    </w:p>
    <w:p w14:paraId="7E68298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7.4 乙方保证提供的系统管理软件在免费服务期内均为最新版本，且提供最新版本的升级服务，确保该软件能够正常、顺畅、安全地使用；并确保与甲方其他所需系统的数据传输，全程配合院方数据的采集、传输、分析、治理需求。</w:t>
      </w:r>
    </w:p>
    <w:p w14:paraId="21EE73A2">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7.5 指定</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（联系电话：</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）为乙方项目联系人。</w:t>
      </w:r>
    </w:p>
    <w:p w14:paraId="4C95EE3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第八条 付款时间、方式</w:t>
      </w:r>
    </w:p>
    <w:p w14:paraId="187BCA9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8.1 甲方分二次支付费用至乙方指定收款账户：自甲方总体验收合格之日起4个月内，支付总费用的</w:t>
      </w:r>
      <w:r>
        <w:rPr>
          <w:rFonts w:hint="eastAsia" w:ascii="宋体" w:hAnsi="宋体" w:eastAsia="宋体" w:cs="宋体"/>
          <w:color w:val="auto"/>
          <w:sz w:val="24"/>
          <w:szCs w:val="24"/>
          <w:u w:val="single"/>
          <w:lang w:val="en-US" w:eastAsia="zh-CN"/>
        </w:rPr>
        <w:t xml:space="preserve"> 90%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元）；自甲方总体验收合格满</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FF0000"/>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lang w:val="en-US" w:eastAsia="zh-CN"/>
        </w:rPr>
        <w:t>年</w:t>
      </w:r>
      <w:r>
        <w:rPr>
          <w:rFonts w:hint="eastAsia" w:ascii="宋体" w:hAnsi="宋体" w:eastAsia="宋体" w:cs="宋体"/>
          <w:color w:val="0000FF"/>
          <w:sz w:val="24"/>
          <w:szCs w:val="24"/>
          <w:highlight w:val="none"/>
          <w:lang w:val="en-US" w:eastAsia="zh-CN"/>
        </w:rPr>
        <w:t>且不存在需被扣除情形之日起</w:t>
      </w:r>
      <w:r>
        <w:rPr>
          <w:rFonts w:hint="eastAsia" w:ascii="宋体" w:hAnsi="宋体" w:eastAsia="宋体" w:cs="宋体"/>
          <w:color w:val="auto"/>
          <w:sz w:val="24"/>
          <w:szCs w:val="24"/>
          <w:u w:val="single"/>
          <w:lang w:val="en-US" w:eastAsia="zh-CN"/>
        </w:rPr>
        <w:t xml:space="preserve"> 30 </w:t>
      </w:r>
      <w:r>
        <w:rPr>
          <w:rFonts w:hint="eastAsia" w:ascii="宋体" w:hAnsi="宋体" w:eastAsia="宋体" w:cs="宋体"/>
          <w:color w:val="auto"/>
          <w:sz w:val="24"/>
          <w:szCs w:val="24"/>
          <w:lang w:val="en-US" w:eastAsia="zh-CN"/>
        </w:rPr>
        <w:t>个工作日内，支付总费用的</w:t>
      </w:r>
      <w:r>
        <w:rPr>
          <w:rFonts w:hint="eastAsia" w:ascii="宋体" w:hAnsi="宋体" w:eastAsia="宋体" w:cs="宋体"/>
          <w:color w:val="auto"/>
          <w:sz w:val="24"/>
          <w:szCs w:val="24"/>
          <w:u w:val="single"/>
          <w:lang w:val="en-US" w:eastAsia="zh-CN"/>
        </w:rPr>
        <w:t xml:space="preserve"> 10% </w:t>
      </w:r>
      <w:r>
        <w:rPr>
          <w:rFonts w:hint="eastAsia" w:ascii="宋体" w:hAnsi="宋体" w:eastAsia="宋体" w:cs="宋体"/>
          <w:color w:val="auto"/>
          <w:sz w:val="24"/>
          <w:szCs w:val="24"/>
          <w:lang w:val="en-US" w:eastAsia="zh-CN"/>
        </w:rPr>
        <w:t>即人民币</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元整（小写：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元）。</w:t>
      </w:r>
    </w:p>
    <w:p w14:paraId="40E1B92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8.2 乙方指定收款账户为：</w:t>
      </w:r>
    </w:p>
    <w:p w14:paraId="0B10B5E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账户名：</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1727819A">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开户银行：</w:t>
      </w:r>
      <w:r>
        <w:rPr>
          <w:rFonts w:hint="eastAsia" w:ascii="宋体" w:hAnsi="宋体" w:eastAsia="宋体" w:cs="宋体"/>
          <w:i w:val="0"/>
          <w:iCs w:val="0"/>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356DA10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账号：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p>
    <w:p w14:paraId="787EACB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8.3 乙方应在甲方首次支付前提供以乙方名义开具的</w:t>
      </w:r>
      <w:r>
        <w:rPr>
          <w:rFonts w:hint="eastAsia" w:ascii="宋体" w:hAnsi="宋体" w:eastAsia="宋体" w:cs="宋体"/>
          <w:color w:val="FF0000"/>
          <w:sz w:val="24"/>
          <w:szCs w:val="24"/>
          <w:lang w:val="en-US" w:eastAsia="zh-CN"/>
        </w:rPr>
        <w:t>价税合计金额</w:t>
      </w:r>
      <w:r>
        <w:rPr>
          <w:rFonts w:hint="eastAsia" w:ascii="宋体" w:hAnsi="宋体" w:eastAsia="宋体" w:cs="宋体"/>
          <w:color w:val="auto"/>
          <w:sz w:val="24"/>
          <w:szCs w:val="24"/>
          <w:lang w:val="en-US" w:eastAsia="zh-CN"/>
        </w:rPr>
        <w:t>与本合同约定</w:t>
      </w:r>
      <w:r>
        <w:rPr>
          <w:rFonts w:hint="eastAsia" w:ascii="宋体" w:hAnsi="宋体" w:eastAsia="宋体" w:cs="宋体"/>
          <w:color w:val="FF0000"/>
          <w:sz w:val="24"/>
          <w:szCs w:val="24"/>
          <w:lang w:val="en-US" w:eastAsia="zh-CN"/>
        </w:rPr>
        <w:t>货款总额等额</w:t>
      </w:r>
      <w:r>
        <w:rPr>
          <w:rFonts w:hint="eastAsia" w:ascii="宋体" w:hAnsi="宋体" w:eastAsia="宋体" w:cs="宋体"/>
          <w:color w:val="auto"/>
          <w:sz w:val="24"/>
          <w:szCs w:val="24"/>
          <w:lang w:val="en-US" w:eastAsia="zh-CN"/>
        </w:rPr>
        <w:t xml:space="preserve">的增值税普通发票。如乙方未提供发票，甲方有权顺延付款，由此产生的全部责任均由乙方承担。 </w:t>
      </w:r>
    </w:p>
    <w:p w14:paraId="433ECAB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第九条 风险承担</w:t>
      </w:r>
    </w:p>
    <w:p w14:paraId="682E360A">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9.1 乙方履行本合同过程中发生事故，包括但不限于在运输、装卸、安装及调试过程中发生事故，给甲方、乙方或第三方人身、财产造成的所有损失，均由乙方负责处理和承担全部法律责任、经济赔偿。</w:t>
      </w:r>
    </w:p>
    <w:p w14:paraId="39202F7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9.3 如甲方因乙方软件质保服务等原因涉及纠纷、诉讼或被处以行政处罚，由乙方承担甲方因纠纷、诉讼、罚款等造成的全部经济损失。</w:t>
      </w:r>
    </w:p>
    <w:p w14:paraId="1CBCC168">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第十条 廉洁条款</w:t>
      </w:r>
    </w:p>
    <w:p w14:paraId="199E5C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w:t>
      </w:r>
      <w:r>
        <w:rPr>
          <w:rFonts w:hint="default" w:ascii="宋体" w:hAnsi="宋体" w:eastAsia="宋体" w:cs="宋体"/>
          <w:color w:val="000000" w:themeColor="text1"/>
          <w:sz w:val="24"/>
          <w:szCs w:val="24"/>
          <w:highlight w:val="none"/>
          <w:lang w:val="en-US" w:eastAsia="zh-CN"/>
          <w14:textFill>
            <w14:solidFill>
              <w14:schemeClr w14:val="tx1"/>
            </w14:solidFill>
          </w14:textFill>
        </w:rPr>
        <w:t>.1 乙方应严格遵守国家相关法律法规，涉及合同的有关业务活动必须坚持公开、公平、公正、诚信原则，不得为获取不正当利益，损害国家、集体和甲方利益。</w:t>
      </w:r>
    </w:p>
    <w:p w14:paraId="2DC6E41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10</w:t>
      </w:r>
      <w:r>
        <w:rPr>
          <w:rFonts w:hint="default" w:ascii="宋体" w:hAnsi="宋体" w:eastAsia="宋体" w:cs="宋体"/>
          <w:b/>
          <w:bCs/>
          <w:color w:val="000000" w:themeColor="text1"/>
          <w:sz w:val="24"/>
          <w:szCs w:val="24"/>
          <w:highlight w:val="none"/>
          <w:lang w:val="en-US" w:eastAsia="zh-CN"/>
          <w14:textFill>
            <w14:solidFill>
              <w14:schemeClr w14:val="tx1"/>
            </w14:solidFill>
          </w14:textFill>
        </w:rPr>
        <w:t xml:space="preserve">.2 </w:t>
      </w:r>
      <w:r>
        <w:rPr>
          <w:rFonts w:hint="default" w:ascii="宋体" w:hAnsi="宋体" w:eastAsia="宋体" w:cs="宋体"/>
          <w:b/>
          <w:bCs/>
          <w:color w:val="000000" w:themeColor="text1"/>
          <w:sz w:val="24"/>
          <w:szCs w:val="24"/>
          <w:highlight w:val="none"/>
          <w:u w:val="single"/>
          <w:lang w:val="en-US" w:eastAsia="zh-CN"/>
          <w14:textFill>
            <w14:solidFill>
              <w14:schemeClr w14:val="tx1"/>
            </w14:solidFill>
          </w14:textFill>
        </w:rPr>
        <w:t>乙方的任何人员（包括股东、管理人员、普通员工等）及与乙方本业务有关的任何人员（包括与乙方不存在劳动、劳务关系的人员），均不得对甲方工作人员或其亲友、关系人请客、送礼或赠送礼金、有价证券、贵重物品及给予回扣、好处费、感谢费等其他形式的好处，否则甲方有权要求乙方按本合同约定向甲方支付违反廉洁条款的惩罚性违约金。</w:t>
      </w:r>
    </w:p>
    <w:p w14:paraId="577D7BEA">
      <w:pPr>
        <w:keepNext w:val="0"/>
        <w:keepLines w:val="0"/>
        <w:pageBreakBefore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第十一条 保密条款</w:t>
      </w:r>
    </w:p>
    <w:p w14:paraId="48DE035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 双方在磋商、签订、履行本合同过程中知晓的任何形式的信息、资料、数据（以下合称“保密信息”），双方约定如下：</w:t>
      </w:r>
    </w:p>
    <w:p w14:paraId="0ECDA99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 未经任意一方书面同意，不得将保密信息用于任何非本合同之目的用途。</w:t>
      </w:r>
    </w:p>
    <w:p w14:paraId="056CB777">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1.2 未经任意一方书面同意，不得将保密信息透露给任何第三方。不得允许（出借、赠予、出租、转让等处理保密信息的行为皆属于“允许”）或协助未经授权的第三方使用保密信息。</w:t>
      </w:r>
    </w:p>
    <w:p w14:paraId="13092091">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1.3 乙方保证对甲方提供的保密信息予以妥善保存，并至少采取适用于对自己的保密信息同样的保护措施和审慎程度进行保密。</w:t>
      </w:r>
    </w:p>
    <w:p w14:paraId="2EC8CE10">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1.4 乙方不得刺探与本身业务无关的甲方保密信息。</w:t>
      </w:r>
    </w:p>
    <w:p w14:paraId="41BB91A2">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1.5 乙方向甲方提供从甲方获取的保密信息的保密密级及知悉保密信息的范围，在乙方上述人员知悉该保密信息前，应向其提示保密信息的保密性和应承担的义务，并保证上述人员以书面形式同意接受保密条款的约束，确保上述人员承担保密责任的程度不低于本合同规定的程度。</w:t>
      </w:r>
    </w:p>
    <w:p w14:paraId="39B22F1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1.6 项目终止后，乙方应立即将甲方的保密信息全部载体归还甲方，或根据甲方的要求予以销毁，不得以任何形式保留原件或备份。</w:t>
      </w:r>
    </w:p>
    <w:p w14:paraId="1BDA1FE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1.7 未经甲方书面同意许可，乙方无权将甲方现在运行的任何系统的技术信息和数据以及本协议信息等以任何方式透露给任何与合同执行无关的第三方，否则，由乙方承担由此造成的一切法律后果。</w:t>
      </w:r>
    </w:p>
    <w:p w14:paraId="64BE6E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1.8 若乙方与第三方合并、被第三方兼并或被第三方直接或间接控制，不得向该第三方披露任何甲方的保密信息。乙方应立即将甲方的保密信息全部载体归还甲方，或根据甲方的要求予以销毁，不得以任何形式保留原件或备份。但如事先获得甲方的书面同意，乙方可继续使用该保密信息。</w:t>
      </w:r>
    </w:p>
    <w:p w14:paraId="19D9A154">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1.9 如果乙方被要求向政府部门、法院或其他有权部门提供保密信息，乙方应立即向甲方予以通报。</w:t>
      </w:r>
    </w:p>
    <w:p w14:paraId="6159C3E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1.10 任何保密信息的获取并不意味着授予乙方任何有关甲方所有的专利权或版权，也不意味着授予乙方有关甲方保密信息的任何权利，除了乙方有权为履行其在合同项目下的义务合理使用甲方提供的保密信息。</w:t>
      </w:r>
    </w:p>
    <w:p w14:paraId="21B23EE6">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1.11 保密义务同样适用于有关未经注册或未被授予专利权的发明的文件和信息。因对本协议所指保密信息的使用而直接或间接产生的知识产权方面的权利由双方当事人协商决定其归属。</w:t>
      </w:r>
    </w:p>
    <w:p w14:paraId="41DECF68">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1.12 涉密人员包括合同知情人、参与履行本合同的人员。</w:t>
      </w:r>
    </w:p>
    <w:p w14:paraId="68161765">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 本合同中所说“保密信息”指如下信息：</w:t>
      </w:r>
    </w:p>
    <w:p w14:paraId="7E9C1E0C">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2.1 双方就合同订立、履行、变更等产生的研究、商讨、交流等信息。</w:t>
      </w:r>
    </w:p>
    <w:p w14:paraId="7B8169EB">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 与甲方有关为乙方知晓、保存或可能上传、交换的信息，包括但不限于如下：</w:t>
      </w:r>
    </w:p>
    <w:p w14:paraId="373429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2.2.1 技术信息：包括涉及甲方信息化建设中的技术信息，包括软件技术、数据、管理文件等。</w:t>
      </w:r>
    </w:p>
    <w:p w14:paraId="27F3A2C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2.2.2 人事信息：包括涉及甲方的人事档案、薪酬及考核等人力资源管理信息。</w:t>
      </w:r>
    </w:p>
    <w:p w14:paraId="17372879">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2.2.3 医院运行信息：包括涉及甲方业务运行的各种信息，医院经营方向、经营决策、定价政策以及内部掌握的合同、协议、项目方案等。</w:t>
      </w:r>
    </w:p>
    <w:p w14:paraId="7FBC5B9F">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2.2.4 财务信息：包括涉及甲方的各项财务报表、成本及预算报告、员工工资等。</w:t>
      </w:r>
    </w:p>
    <w:p w14:paraId="467010C3">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2.2.5 患者信息：包括涉及甲方门诊、住院患者的相关诊疗信息，如患者基本信息、诊疗计划、病历信息、费用信息、处方等。</w:t>
      </w:r>
    </w:p>
    <w:p w14:paraId="6CCF956D">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2.2.6 应当予以保密的商业秘密、个人隐私等信息。</w:t>
      </w:r>
    </w:p>
    <w:p w14:paraId="2394781E">
      <w:pPr>
        <w:keepNext w:val="0"/>
        <w:keepLines w:val="0"/>
        <w:pageBreakBefore w:val="0"/>
        <w:widowControl w:val="0"/>
        <w:kinsoku/>
        <w:wordWrap/>
        <w:overflowPunct/>
        <w:topLinePunct w:val="0"/>
        <w:autoSpaceDE/>
        <w:autoSpaceDN/>
        <w:bidi w:val="0"/>
        <w:adjustRightInd/>
        <w:snapToGrid/>
        <w:spacing w:line="480" w:lineRule="exact"/>
        <w:ind w:left="0" w:leftChars="0" w:right="0"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11.</w:t>
      </w:r>
      <w:r>
        <w:rPr>
          <w:rFonts w:hint="eastAsia" w:ascii="宋体" w:hAnsi="宋体" w:eastAsia="宋体" w:cs="宋体"/>
          <w:color w:val="auto"/>
          <w:sz w:val="24"/>
          <w:szCs w:val="24"/>
          <w:lang w:val="en-US" w:eastAsia="zh-CN"/>
        </w:rPr>
        <w:t>3 本合同约定的保密信息为永久绝对保密，保密条款在本合同终止后仍然有效。</w:t>
      </w:r>
    </w:p>
    <w:p w14:paraId="0DA4A90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第十二条 </w:t>
      </w:r>
      <w:r>
        <w:rPr>
          <w:rFonts w:hint="default" w:ascii="宋体" w:hAnsi="宋体" w:eastAsia="宋体" w:cs="宋体"/>
          <w:b/>
          <w:bCs/>
          <w:color w:val="000000" w:themeColor="text1"/>
          <w:sz w:val="24"/>
          <w:highlight w:val="none"/>
          <w:lang w:val="en-US" w:eastAsia="zh-CN"/>
          <w14:textFill>
            <w14:solidFill>
              <w14:schemeClr w14:val="tx1"/>
            </w14:solidFill>
          </w14:textFill>
        </w:rPr>
        <w:t>通知</w:t>
      </w:r>
      <w:r>
        <w:rPr>
          <w:rFonts w:hint="eastAsia" w:ascii="宋体" w:hAnsi="宋体" w:eastAsia="宋体" w:cs="宋体"/>
          <w:b/>
          <w:bCs/>
          <w:color w:val="000000" w:themeColor="text1"/>
          <w:sz w:val="24"/>
          <w:highlight w:val="none"/>
          <w:lang w:val="en-US" w:eastAsia="zh-CN"/>
          <w14:textFill>
            <w14:solidFill>
              <w14:schemeClr w14:val="tx1"/>
            </w14:solidFill>
          </w14:textFill>
        </w:rPr>
        <w:t>与送达</w:t>
      </w:r>
    </w:p>
    <w:p w14:paraId="481562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10.1 甲乙双方同意，与本合同有关的任何文书，应以书面方式按照本合同约定发送，书面方式包括手机短信、微信、书面函件、电子邮件等形式。</w:t>
      </w:r>
    </w:p>
    <w:p w14:paraId="7E2FE0E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10.2 双方确认的文书（包括未来可能发生的诉讼或仲裁活动中法院或仲裁机构的送达法律文书）送达地址：</w:t>
      </w:r>
    </w:p>
    <w:p w14:paraId="1B296B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10.2.1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甲方的联系地址：</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娄底市娄星区</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长青中街51号</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娄底市中心医院设备科</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朱振宇</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7248283@qq.com</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15673845559</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52E22B8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 xml:space="preserve">10.2.2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乙方的联系地址：</w:t>
      </w:r>
      <w:r>
        <w:rPr>
          <w:rFonts w:hint="default"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，联系人：</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联系电话：</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，邮箱地址</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或微信号</w:t>
      </w:r>
      <w:r>
        <w:rPr>
          <w:rFonts w:hint="eastAsia" w:ascii="宋体" w:hAnsi="宋体" w:eastAsia="宋体" w:cs="宋体"/>
          <w:b w:val="0"/>
          <w:bCs w:val="0"/>
          <w:color w:val="000000" w:themeColor="text1"/>
          <w:sz w:val="24"/>
          <w:highlight w:val="none"/>
          <w:lang w:val="en-US" w:eastAsia="zh-CN"/>
          <w14:textFill>
            <w14:solidFill>
              <w14:schemeClr w14:val="tx1"/>
            </w14:solidFill>
          </w14:textFill>
        </w:rPr>
        <w:t>：</w:t>
      </w:r>
      <w:r>
        <w:rPr>
          <w:rFonts w:hint="eastAsia" w:ascii="宋体" w:hAnsi="宋体" w:eastAsia="宋体" w:cs="宋体"/>
          <w:b w:val="0"/>
          <w:bCs w:val="0"/>
          <w:color w:val="000000" w:themeColor="text1"/>
          <w:sz w:val="24"/>
          <w:highlight w:val="none"/>
          <w:u w:val="single"/>
          <w:lang w:val="en-US" w:eastAsia="zh-CN"/>
          <w14:textFill>
            <w14:solidFill>
              <w14:schemeClr w14:val="tx1"/>
            </w14:solidFill>
          </w14:textFill>
        </w:rPr>
        <w:t xml:space="preserve">          </w:t>
      </w:r>
      <w:r>
        <w:rPr>
          <w:rFonts w:hint="default" w:ascii="宋体" w:hAnsi="宋体" w:eastAsia="宋体" w:cs="宋体"/>
          <w:b w:val="0"/>
          <w:bCs w:val="0"/>
          <w:color w:val="000000" w:themeColor="text1"/>
          <w:sz w:val="24"/>
          <w:highlight w:val="none"/>
          <w:lang w:val="en-US" w:eastAsia="zh-CN"/>
          <w14:textFill>
            <w14:solidFill>
              <w14:schemeClr w14:val="tx1"/>
            </w14:solidFill>
          </w14:textFill>
        </w:rPr>
        <w:t>。</w:t>
      </w:r>
    </w:p>
    <w:p w14:paraId="2B9DE20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10.3 上述通知应被视为在下列时间送达：以快递或专人发送的，在收件人签收之日或拒收之日；以挂号邮件发出的，在发出之日起7个工作日；以电子邮件发出的，在电子邮件进入收件方电子邮箱服务器之日。</w:t>
      </w:r>
    </w:p>
    <w:p w14:paraId="2D9EAAE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b w:val="0"/>
          <w:bCs w:val="0"/>
          <w:color w:val="000000" w:themeColor="text1"/>
          <w:sz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highlight w:val="none"/>
          <w:lang w:val="en-US" w:eastAsia="zh-CN"/>
          <w14:textFill>
            <w14:solidFill>
              <w14:schemeClr w14:val="tx1"/>
            </w14:solidFill>
          </w14:textFill>
        </w:rPr>
        <w:t>10.4 以上地址和联系方式，任何一方发生变更应在变更之日起3日内通知对方。如未通知，一方按原地址送达的书面资料被退回的，退回之日视为送达之日。任何一方按照确认地址送到另一方的书面资料被拒绝签收导致邮件被退回的，退回之日视为送达之日。</w:t>
      </w:r>
    </w:p>
    <w:p w14:paraId="31477DB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lang w:eastAsia="zh-CN"/>
          <w14:textFill>
            <w14:solidFill>
              <w14:schemeClr w14:val="tx1"/>
            </w14:solidFill>
          </w14:textFill>
        </w:rPr>
        <w:t>第十</w:t>
      </w:r>
      <w:r>
        <w:rPr>
          <w:rFonts w:hint="eastAsia" w:ascii="宋体" w:hAnsi="宋体" w:eastAsia="宋体" w:cs="宋体"/>
          <w:b/>
          <w:bCs/>
          <w:color w:val="000000" w:themeColor="text1"/>
          <w:sz w:val="24"/>
          <w:highlight w:val="none"/>
          <w:lang w:val="en-US" w:eastAsia="zh-CN"/>
          <w14:textFill>
            <w14:solidFill>
              <w14:schemeClr w14:val="tx1"/>
            </w14:solidFill>
          </w14:textFill>
        </w:rPr>
        <w:t>三</w:t>
      </w:r>
      <w:r>
        <w:rPr>
          <w:rFonts w:hint="eastAsia" w:ascii="宋体" w:hAnsi="宋体" w:eastAsia="宋体" w:cs="宋体"/>
          <w:b/>
          <w:bCs/>
          <w:color w:val="000000" w:themeColor="text1"/>
          <w:sz w:val="24"/>
          <w:highlight w:val="none"/>
          <w:lang w:eastAsia="zh-CN"/>
          <w14:textFill>
            <w14:solidFill>
              <w14:schemeClr w14:val="tx1"/>
            </w14:solidFill>
          </w14:textFill>
        </w:rPr>
        <w:t>条</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合同的变更、解除</w:t>
      </w:r>
    </w:p>
    <w:p w14:paraId="0671DDC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11.1 本合同经双方协商一致后可以变更，双方应另行签订补充协议。</w:t>
      </w:r>
    </w:p>
    <w:p w14:paraId="0F2497A4">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11.2 如甲方因政策变化等非自身主观原因不需要购买本合同全部设备，经书面通知乙方后可以提前终止本合同；如甲方因运营需要等原因不需要购买本合同部分设备，不需要购买的部分自动从采购内容中剔除。</w:t>
      </w:r>
    </w:p>
    <w:p w14:paraId="4166F7D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 </w:t>
      </w:r>
      <w:r>
        <w:rPr>
          <w:rFonts w:hint="eastAsia" w:ascii="宋体" w:hAnsi="宋体" w:eastAsia="宋体" w:cs="宋体"/>
          <w:color w:val="000000" w:themeColor="text1"/>
          <w:sz w:val="24"/>
          <w:highlight w:val="none"/>
          <w14:textFill>
            <w14:solidFill>
              <w14:schemeClr w14:val="tx1"/>
            </w14:solidFill>
          </w14:textFill>
        </w:rPr>
        <w:t>乙方出现以下违约情形之一的，甲方有权拒绝支付任何价款并解除合同：</w:t>
      </w:r>
    </w:p>
    <w:p w14:paraId="46C73B2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.1 乙方逾期</w:t>
      </w:r>
      <w:r>
        <w:rPr>
          <w:rFonts w:hint="eastAsia" w:ascii="宋体" w:hAnsi="宋体" w:eastAsia="宋体" w:cs="宋体"/>
          <w:color w:val="000000" w:themeColor="text1"/>
          <w:sz w:val="24"/>
          <w:highlight w:val="none"/>
          <w:u w:val="single"/>
          <w14:textFill>
            <w14:solidFill>
              <w14:schemeClr w14:val="tx1"/>
            </w14:solidFill>
          </w14:textFill>
        </w:rPr>
        <w:t>30</w:t>
      </w:r>
      <w:r>
        <w:rPr>
          <w:rFonts w:hint="eastAsia" w:ascii="宋体" w:hAnsi="宋体" w:eastAsia="宋体" w:cs="宋体"/>
          <w:color w:val="000000" w:themeColor="text1"/>
          <w:sz w:val="24"/>
          <w:highlight w:val="none"/>
          <w14:textFill>
            <w14:solidFill>
              <w14:schemeClr w14:val="tx1"/>
            </w14:solidFill>
          </w14:textFill>
        </w:rPr>
        <w:t>日仍不能供货；</w:t>
      </w:r>
    </w:p>
    <w:p w14:paraId="241261C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.2 乙方提供的设备质量不符合国家标准、本合同标准或</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响应文件约定标准；</w:t>
      </w:r>
    </w:p>
    <w:p w14:paraId="74F0FB39">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both"/>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11.3.3 </w:t>
      </w:r>
      <w:r>
        <w:rPr>
          <w:rFonts w:hint="eastAsia" w:ascii="宋体" w:hAnsi="宋体" w:eastAsia="宋体" w:cs="宋体"/>
          <w:color w:val="000000" w:themeColor="text1"/>
          <w:sz w:val="24"/>
          <w:szCs w:val="24"/>
          <w:highlight w:val="none"/>
          <w:lang w:val="en-US" w:eastAsia="zh-CN"/>
          <w14:textFill>
            <w14:solidFill>
              <w14:schemeClr w14:val="tx1"/>
            </w14:solidFill>
          </w14:textFill>
        </w:rPr>
        <w:t>如乙方提供的软件</w:t>
      </w:r>
      <w:r>
        <w:rPr>
          <w:rFonts w:hint="eastAsia" w:ascii="宋体" w:hAnsi="宋体" w:eastAsia="宋体" w:cs="宋体"/>
          <w:color w:val="auto"/>
          <w:sz w:val="24"/>
          <w:szCs w:val="24"/>
          <w:lang w:val="en-US" w:eastAsia="zh-CN"/>
        </w:rPr>
        <w:t>经甲方验收不合格，且未</w:t>
      </w:r>
      <w:r>
        <w:rPr>
          <w:rFonts w:hint="eastAsia" w:ascii="宋体" w:hAnsi="宋体" w:eastAsia="宋体" w:cs="宋体"/>
          <w:color w:val="FF0000"/>
          <w:sz w:val="24"/>
          <w:szCs w:val="24"/>
          <w:lang w:val="en-US" w:eastAsia="zh-CN"/>
        </w:rPr>
        <w:t>在</w:t>
      </w:r>
      <w:r>
        <w:rPr>
          <w:rFonts w:hint="eastAsia" w:ascii="宋体" w:hAnsi="宋体" w:eastAsia="宋体" w:cs="宋体"/>
          <w:b w:val="0"/>
          <w:bCs w:val="0"/>
          <w:color w:val="FF0000"/>
          <w:sz w:val="24"/>
          <w:szCs w:val="24"/>
          <w:lang w:val="en-US" w:eastAsia="zh-CN"/>
        </w:rPr>
        <w:t>本合同约定时间内更换、返工或更换、返工后未通过甲方再次验收的。</w:t>
      </w:r>
    </w:p>
    <w:p w14:paraId="6357716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 xml:space="preserve"> 乙方将</w:t>
      </w:r>
      <w:r>
        <w:rPr>
          <w:rFonts w:hint="eastAsia" w:ascii="宋体" w:hAnsi="宋体" w:eastAsia="宋体" w:cs="宋体"/>
          <w:color w:val="000000" w:themeColor="text1"/>
          <w:sz w:val="24"/>
          <w:highlight w:val="none"/>
          <w:lang w:val="en-US" w:eastAsia="zh-CN"/>
          <w14:textFill>
            <w14:solidFill>
              <w14:schemeClr w14:val="tx1"/>
            </w14:solidFill>
          </w14:textFill>
        </w:rPr>
        <w:t>本合同权利义务全部或部分转让给</w:t>
      </w:r>
      <w:r>
        <w:rPr>
          <w:rFonts w:hint="eastAsia" w:ascii="宋体" w:hAnsi="宋体" w:eastAsia="宋体" w:cs="宋体"/>
          <w:color w:val="000000" w:themeColor="text1"/>
          <w:sz w:val="24"/>
          <w:highlight w:val="none"/>
          <w14:textFill>
            <w14:solidFill>
              <w14:schemeClr w14:val="tx1"/>
            </w14:solidFill>
          </w14:textFill>
        </w:rPr>
        <w:t>第三方；</w:t>
      </w:r>
    </w:p>
    <w:p w14:paraId="3719B48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bCs/>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11</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3</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5</w:t>
      </w:r>
      <w:r>
        <w:rPr>
          <w:rFonts w:hint="eastAsia" w:ascii="宋体" w:hAnsi="宋体" w:eastAsia="宋体" w:cs="宋体"/>
          <w:color w:val="000000" w:themeColor="text1"/>
          <w:sz w:val="24"/>
          <w:highlight w:val="none"/>
          <w14:textFill>
            <w14:solidFill>
              <w14:schemeClr w14:val="tx1"/>
            </w14:solidFill>
          </w14:textFill>
        </w:rPr>
        <w:t xml:space="preserve"> 其他根本违约的情形。</w:t>
      </w:r>
    </w:p>
    <w:p w14:paraId="06E7C23A">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eastAsia="宋体" w:cs="宋体"/>
          <w:b/>
          <w:bCs/>
          <w:color w:val="000000" w:themeColor="text1"/>
          <w:sz w:val="24"/>
          <w:highlight w:val="none"/>
          <w:lang w:eastAsia="zh-CN"/>
          <w14:textFill>
            <w14:solidFill>
              <w14:schemeClr w14:val="tx1"/>
            </w14:solidFill>
          </w14:textFill>
        </w:rPr>
        <w:t>十</w:t>
      </w:r>
      <w:r>
        <w:rPr>
          <w:rFonts w:hint="eastAsia" w:ascii="宋体" w:hAnsi="宋体" w:eastAsia="宋体" w:cs="宋体"/>
          <w:b/>
          <w:bCs/>
          <w:color w:val="000000" w:themeColor="text1"/>
          <w:sz w:val="24"/>
          <w:highlight w:val="none"/>
          <w:lang w:val="en-US" w:eastAsia="zh-CN"/>
          <w14:textFill>
            <w14:solidFill>
              <w14:schemeClr w14:val="tx1"/>
            </w14:solidFill>
          </w14:textFill>
        </w:rPr>
        <w:t>四</w:t>
      </w:r>
      <w:r>
        <w:rPr>
          <w:rFonts w:hint="eastAsia" w:ascii="宋体" w:hAnsi="宋体" w:eastAsia="宋体" w:cs="宋体"/>
          <w:b/>
          <w:bCs/>
          <w:color w:val="000000" w:themeColor="text1"/>
          <w:sz w:val="24"/>
          <w:highlight w:val="none"/>
          <w14:textFill>
            <w14:solidFill>
              <w14:schemeClr w14:val="tx1"/>
            </w14:solidFill>
          </w14:textFill>
        </w:rPr>
        <w:t>条 违约责任</w:t>
      </w:r>
    </w:p>
    <w:p w14:paraId="171A38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.1 </w:t>
      </w:r>
      <w:r>
        <w:rPr>
          <w:rFonts w:hint="eastAsia" w:ascii="宋体" w:hAnsi="宋体" w:eastAsia="宋体" w:cs="宋体"/>
          <w:color w:val="000000" w:themeColor="text1"/>
          <w:sz w:val="24"/>
          <w:highlight w:val="none"/>
          <w:lang w:eastAsia="zh-CN"/>
          <w14:textFill>
            <w14:solidFill>
              <w14:schemeClr w14:val="tx1"/>
            </w14:solidFill>
          </w14:textFill>
        </w:rPr>
        <w:t>甲方因</w:t>
      </w:r>
      <w:r>
        <w:rPr>
          <w:rFonts w:hint="eastAsia" w:ascii="宋体" w:hAnsi="宋体" w:eastAsia="宋体" w:cs="宋体"/>
          <w:color w:val="000000" w:themeColor="text1"/>
          <w:sz w:val="24"/>
          <w:highlight w:val="none"/>
          <w:lang w:val="en-US" w:eastAsia="zh-CN"/>
          <w14:textFill>
            <w14:solidFill>
              <w14:schemeClr w14:val="tx1"/>
            </w14:solidFill>
          </w14:textFill>
        </w:rPr>
        <w:t>11.2情形提前终止本合同或剔除部分采购内容均无须承担违约责任，乙方不得因此要求甲方予以任何经济赔偿或补偿。</w:t>
      </w:r>
    </w:p>
    <w:p w14:paraId="20FEFF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 xml:space="preserve">.2 </w:t>
      </w:r>
      <w:r>
        <w:rPr>
          <w:rFonts w:hint="eastAsia" w:ascii="宋体" w:hAnsi="宋体" w:eastAsia="宋体" w:cs="宋体"/>
          <w:color w:val="0000FF"/>
          <w:sz w:val="24"/>
          <w:highlight w:val="none"/>
        </w:rPr>
        <w:t>如乙方未在本合同约定时间内</w:t>
      </w:r>
      <w:r>
        <w:rPr>
          <w:rFonts w:hint="eastAsia" w:ascii="宋体" w:hAnsi="宋体" w:eastAsia="宋体" w:cs="宋体"/>
          <w:color w:val="0000FF"/>
          <w:sz w:val="24"/>
          <w:highlight w:val="none"/>
          <w:lang w:val="en-US" w:eastAsia="zh-CN"/>
        </w:rPr>
        <w:t>通过甲方总体验收或在免维期内未按本合同约定时间完成服务的</w:t>
      </w:r>
      <w:r>
        <w:rPr>
          <w:rFonts w:hint="eastAsia" w:ascii="宋体" w:hAnsi="宋体" w:eastAsia="宋体" w:cs="宋体"/>
          <w:color w:val="000000" w:themeColor="text1"/>
          <w:sz w:val="24"/>
          <w:highlight w:val="none"/>
          <w14:textFill>
            <w14:solidFill>
              <w14:schemeClr w14:val="tx1"/>
            </w14:solidFill>
          </w14:textFill>
        </w:rPr>
        <w:t>，除应赔偿甲方因此造成的损失外，每逾期一日，按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本合同约定总价款的</w:t>
      </w:r>
      <w:r>
        <w:rPr>
          <w:rFonts w:hint="eastAsia" w:ascii="宋体" w:hAnsi="宋体" w:eastAsia="宋体" w:cs="宋体"/>
          <w:color w:val="000000" w:themeColor="text1"/>
          <w:sz w:val="24"/>
          <w:highlight w:val="none"/>
          <w:u w:val="none"/>
          <w:lang w:eastAsia="zh-CN"/>
          <w14:textFill>
            <w14:solidFill>
              <w14:schemeClr w14:val="tx1"/>
            </w14:solidFill>
          </w14:textFill>
        </w:rPr>
        <w:t>千分之一</w:t>
      </w:r>
      <w:r>
        <w:rPr>
          <w:rFonts w:hint="eastAsia" w:ascii="宋体" w:hAnsi="宋体" w:eastAsia="宋体" w:cs="宋体"/>
          <w:color w:val="000000" w:themeColor="text1"/>
          <w:sz w:val="24"/>
          <w:highlight w:val="none"/>
          <w:lang w:eastAsia="zh-CN"/>
          <w14:textFill>
            <w14:solidFill>
              <w14:schemeClr w14:val="tx1"/>
            </w14:solidFill>
          </w14:textFill>
        </w:rPr>
        <w:t>）标准</w:t>
      </w:r>
      <w:r>
        <w:rPr>
          <w:rFonts w:hint="eastAsia" w:ascii="宋体" w:hAnsi="宋体" w:eastAsia="宋体" w:cs="宋体"/>
          <w:color w:val="000000" w:themeColor="text1"/>
          <w:sz w:val="24"/>
          <w:highlight w:val="none"/>
          <w14:textFill>
            <w14:solidFill>
              <w14:schemeClr w14:val="tx1"/>
            </w14:solidFill>
          </w14:textFill>
        </w:rPr>
        <w:t>向甲方支付违约金。</w:t>
      </w:r>
    </w:p>
    <w:p w14:paraId="1A4C484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lang w:val="en-US" w:eastAsia="zh-CN"/>
          <w14:textFill>
            <w14:solidFill>
              <w14:schemeClr w14:val="tx1"/>
            </w14:solidFill>
          </w14:textFill>
        </w:rPr>
        <w:t>12</w:t>
      </w:r>
      <w:r>
        <w:rPr>
          <w:rFonts w:hint="eastAsia" w:ascii="宋体" w:hAnsi="宋体" w:eastAsia="宋体" w:cs="宋体"/>
          <w:color w:val="000000" w:themeColor="text1"/>
          <w:sz w:val="24"/>
          <w:highlight w:val="none"/>
          <w14:textFill>
            <w14:solidFill>
              <w14:schemeClr w14:val="tx1"/>
            </w14:solidFill>
          </w14:textFill>
        </w:rPr>
        <w:t>.3 如乙方单方解除合同或甲方因</w:t>
      </w:r>
      <w:r>
        <w:rPr>
          <w:rFonts w:hint="eastAsia" w:ascii="宋体" w:hAnsi="宋体" w:eastAsia="宋体" w:cs="宋体"/>
          <w:color w:val="000000" w:themeColor="text1"/>
          <w:sz w:val="24"/>
          <w:highlight w:val="none"/>
          <w:lang w:val="en-US" w:eastAsia="zh-CN"/>
          <w14:textFill>
            <w14:solidFill>
              <w14:schemeClr w14:val="tx1"/>
            </w14:solidFill>
          </w14:textFill>
        </w:rPr>
        <w:t>11.3情形</w:t>
      </w:r>
      <w:r>
        <w:rPr>
          <w:rFonts w:hint="eastAsia" w:ascii="宋体" w:hAnsi="宋体" w:eastAsia="宋体" w:cs="宋体"/>
          <w:color w:val="000000" w:themeColor="text1"/>
          <w:sz w:val="24"/>
          <w:highlight w:val="none"/>
          <w14:textFill>
            <w14:solidFill>
              <w14:schemeClr w14:val="tx1"/>
            </w14:solidFill>
          </w14:textFill>
        </w:rPr>
        <w:t>解除合同，乙方应赔偿给甲方造成的全部经济损失，并按</w:t>
      </w:r>
      <w:r>
        <w:rPr>
          <w:rFonts w:hint="eastAsia" w:ascii="宋体" w:hAnsi="宋体" w:eastAsia="宋体" w:cs="宋体"/>
          <w:color w:val="000000" w:themeColor="text1"/>
          <w:sz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元 ☑</w:t>
      </w:r>
      <w:r>
        <w:rPr>
          <w:rFonts w:hint="eastAsia" w:ascii="宋体" w:hAnsi="宋体" w:eastAsia="宋体" w:cs="宋体"/>
          <w:color w:val="000000" w:themeColor="text1"/>
          <w:sz w:val="24"/>
          <w:highlight w:val="none"/>
          <w:u w:val="none"/>
          <w14:textFill>
            <w14:solidFill>
              <w14:schemeClr w14:val="tx1"/>
            </w14:solidFill>
          </w14:textFill>
        </w:rPr>
        <w:t>本合同总价款30%</w:t>
      </w:r>
      <w:r>
        <w:rPr>
          <w:rFonts w:hint="eastAsia" w:ascii="宋体" w:hAnsi="宋体" w:eastAsia="宋体" w:cs="宋体"/>
          <w:color w:val="000000" w:themeColor="text1"/>
          <w:sz w:val="24"/>
          <w:highlight w:val="none"/>
          <w:u w:val="none"/>
          <w:lang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标准</w:t>
      </w:r>
      <w:r>
        <w:rPr>
          <w:rFonts w:hint="eastAsia" w:ascii="宋体" w:hAnsi="宋体" w:eastAsia="宋体" w:cs="宋体"/>
          <w:color w:val="000000" w:themeColor="text1"/>
          <w:sz w:val="24"/>
          <w:highlight w:val="none"/>
          <w:lang w:val="en-US" w:eastAsia="zh-CN"/>
          <w14:textFill>
            <w14:solidFill>
              <w14:schemeClr w14:val="tx1"/>
            </w14:solidFill>
          </w14:textFill>
        </w:rPr>
        <w:t>向</w:t>
      </w:r>
      <w:r>
        <w:rPr>
          <w:rFonts w:hint="eastAsia" w:ascii="宋体" w:hAnsi="宋体" w:eastAsia="宋体" w:cs="宋体"/>
          <w:color w:val="000000" w:themeColor="text1"/>
          <w:sz w:val="24"/>
          <w:highlight w:val="none"/>
          <w14:textFill>
            <w14:solidFill>
              <w14:schemeClr w14:val="tx1"/>
            </w14:solidFill>
          </w14:textFill>
        </w:rPr>
        <w:t>甲方支付违约金。</w:t>
      </w:r>
    </w:p>
    <w:p w14:paraId="69A32C4B">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2" w:firstLineChars="200"/>
        <w:jc w:val="both"/>
        <w:textAlignment w:val="auto"/>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u w:val="single"/>
          <w:lang w:val="en-US" w:eastAsia="zh-CN"/>
          <w14:textFill>
            <w14:solidFill>
              <w14:schemeClr w14:val="tx1"/>
            </w14:solidFill>
          </w14:textFill>
        </w:rPr>
        <w:t>12.4 无论甲方在任意时候（不限于本合同履行期间）发现存在违反本合同廉洁条款及供应商考核管理制度约定的行为，乙方均须向甲方支付一次性惩罚性违约金，该违约金金额按以下较高者确定：（1）本合同总费用的10%；（2）根据《娄底市中心医院医疗器械供应商考核管理制度》规定计算的廉政违约金金额。如乙方除需承担违反廉洁条款及供应商考核管理制度的违约责任外，同时存在其他违约行为，乙方仍须就其他违约行为承担相应违约责任。</w:t>
      </w:r>
    </w:p>
    <w:p w14:paraId="1A03FD21">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default" w:ascii="宋体" w:hAnsi="宋体" w:eastAsia="宋体" w:cs="宋体"/>
          <w:b/>
          <w:bCs/>
          <w:color w:val="000000" w:themeColor="text1"/>
          <w:sz w:val="24"/>
          <w:highlight w:val="none"/>
          <w:u w:val="single"/>
          <w:lang w:val="en-US" w:eastAsia="zh-CN"/>
          <w14:textFill>
            <w14:solidFill>
              <w14:schemeClr w14:val="tx1"/>
            </w14:solidFill>
          </w14:textFill>
        </w:rPr>
      </w:pPr>
      <w:r>
        <w:rPr>
          <w:rFonts w:hint="eastAsia" w:ascii="宋体" w:hAnsi="宋体" w:eastAsia="宋体" w:cs="宋体"/>
          <w:b/>
          <w:bCs/>
          <w:color w:val="000000" w:themeColor="text1"/>
          <w:sz w:val="24"/>
          <w:highlight w:val="none"/>
          <w:u w:val="single"/>
          <w:lang w:val="en-US" w:eastAsia="zh-CN"/>
          <w14:textFill>
            <w14:solidFill>
              <w14:schemeClr w14:val="tx1"/>
            </w14:solidFill>
          </w14:textFill>
        </w:rPr>
        <w:t>12.5 依据本合同约定乙方应支付给甲方的违约金，甲方有权在应支付给乙方的任意价款中直接予以扣除，如扣除部分不足，乙方应在接到甲方通知后3日内补足。</w:t>
      </w:r>
    </w:p>
    <w:p w14:paraId="511DABB6">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w:t>
      </w:r>
      <w:r>
        <w:rPr>
          <w:rFonts w:hint="eastAsia" w:ascii="宋体" w:hAnsi="宋体" w:cs="宋体"/>
          <w:b/>
          <w:bCs/>
          <w:color w:val="000000" w:themeColor="text1"/>
          <w:sz w:val="24"/>
          <w:highlight w:val="none"/>
          <w:lang w:val="en-US" w:eastAsia="zh-CN"/>
          <w14:textFill>
            <w14:solidFill>
              <w14:schemeClr w14:val="tx1"/>
            </w14:solidFill>
          </w14:textFill>
        </w:rPr>
        <w:t>十五</w:t>
      </w:r>
      <w:r>
        <w:rPr>
          <w:rFonts w:hint="eastAsia" w:ascii="宋体" w:hAnsi="宋体" w:eastAsia="宋体" w:cs="宋体"/>
          <w:b/>
          <w:bCs/>
          <w:color w:val="000000" w:themeColor="text1"/>
          <w:sz w:val="24"/>
          <w:highlight w:val="none"/>
          <w14:textFill>
            <w14:solidFill>
              <w14:schemeClr w14:val="tx1"/>
            </w14:solidFill>
          </w14:textFill>
        </w:rPr>
        <w:t>条 争议解决</w:t>
      </w:r>
    </w:p>
    <w:p w14:paraId="7D20964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13.1 本合同适用中华人民共和国法律，并按其解释。</w:t>
      </w:r>
    </w:p>
    <w:p w14:paraId="2CAF499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 xml:space="preserve">13.2 </w:t>
      </w:r>
      <w:r>
        <w:rPr>
          <w:rFonts w:hint="eastAsia" w:ascii="宋体" w:hAnsi="宋体" w:eastAsia="宋体" w:cs="宋体"/>
          <w:color w:val="000000" w:themeColor="text1"/>
          <w:sz w:val="24"/>
          <w:highlight w:val="none"/>
          <w14:textFill>
            <w14:solidFill>
              <w14:schemeClr w14:val="tx1"/>
            </w14:solidFill>
          </w14:textFill>
        </w:rPr>
        <w:t>如双方在履行本合同过程中发生争议，双方应先协商解决，协商解决不成的，任一方均可向甲方所在地有管辖权的人民法院提起诉讼解决。</w:t>
      </w:r>
    </w:p>
    <w:p w14:paraId="47AD7399">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ascii="宋体" w:hAnsi="宋体" w:eastAsia="宋体" w:cs="宋体"/>
          <w:b/>
          <w:bCs/>
          <w:color w:val="000000" w:themeColor="text1"/>
          <w:sz w:val="24"/>
          <w:highlight w:val="none"/>
          <w14:textFill>
            <w14:solidFill>
              <w14:schemeClr w14:val="tx1"/>
            </w14:solidFill>
          </w14:textFill>
        </w:rPr>
      </w:pPr>
      <w:r>
        <w:rPr>
          <w:rFonts w:hint="eastAsia" w:ascii="宋体" w:hAnsi="宋体" w:eastAsia="宋体" w:cs="宋体"/>
          <w:b/>
          <w:bCs/>
          <w:color w:val="000000" w:themeColor="text1"/>
          <w:sz w:val="24"/>
          <w:highlight w:val="none"/>
          <w14:textFill>
            <w14:solidFill>
              <w14:schemeClr w14:val="tx1"/>
            </w14:solidFill>
          </w14:textFill>
        </w:rPr>
        <w:t>第十</w:t>
      </w:r>
      <w:r>
        <w:rPr>
          <w:rFonts w:hint="eastAsia" w:ascii="宋体" w:hAnsi="宋体" w:cs="宋体"/>
          <w:b/>
          <w:bCs/>
          <w:color w:val="000000" w:themeColor="text1"/>
          <w:sz w:val="24"/>
          <w:highlight w:val="none"/>
          <w:lang w:val="en-US" w:eastAsia="zh-CN"/>
          <w14:textFill>
            <w14:solidFill>
              <w14:schemeClr w14:val="tx1"/>
            </w14:solidFill>
          </w14:textFill>
        </w:rPr>
        <w:t>六</w:t>
      </w:r>
      <w:r>
        <w:rPr>
          <w:rFonts w:hint="eastAsia" w:ascii="宋体" w:hAnsi="宋体" w:eastAsia="宋体" w:cs="宋体"/>
          <w:b/>
          <w:bCs/>
          <w:color w:val="000000" w:themeColor="text1"/>
          <w:sz w:val="24"/>
          <w:highlight w:val="none"/>
          <w14:textFill>
            <w14:solidFill>
              <w14:schemeClr w14:val="tx1"/>
            </w14:solidFill>
          </w14:textFill>
        </w:rPr>
        <w:t>条 附则</w:t>
      </w:r>
    </w:p>
    <w:p w14:paraId="38AB8A6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val="en-US" w:eastAsia="zh-CN"/>
          <w14:textFill>
            <w14:solidFill>
              <w14:schemeClr w14:val="tx1"/>
            </w14:solidFill>
          </w14:textFill>
        </w:rPr>
        <w:t>1 甲方《娄底市中心医院医疗器械供应商考核管理制度》、</w:t>
      </w:r>
      <w:r>
        <w:rPr>
          <w:rFonts w:hint="eastAsia" w:ascii="宋体" w:hAnsi="宋体" w:eastAsia="宋体" w:cs="宋体"/>
          <w:color w:val="000000" w:themeColor="text1"/>
          <w:sz w:val="24"/>
          <w:highlight w:val="none"/>
          <w:lang w:eastAsia="zh-CN"/>
          <w14:textFill>
            <w14:solidFill>
              <w14:schemeClr w14:val="tx1"/>
            </w14:solidFill>
          </w14:textFill>
        </w:rPr>
        <w:t>乙方加盖公章的资质复印件、售后承诺等作为本合同附件。</w:t>
      </w:r>
    </w:p>
    <w:p w14:paraId="093B863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eastAsia="zh-CN"/>
          <w14:textFill>
            <w14:solidFill>
              <w14:schemeClr w14:val="tx1"/>
            </w14:solidFill>
          </w14:textFill>
        </w:rPr>
        <w:t xml:space="preserve">14.2 </w:t>
      </w:r>
      <w:r>
        <w:rPr>
          <w:rFonts w:hint="eastAsia" w:ascii="宋体" w:hAnsi="宋体" w:eastAsia="宋体" w:cs="宋体"/>
          <w:color w:val="000000" w:themeColor="text1"/>
          <w:sz w:val="24"/>
          <w:highlight w:val="none"/>
          <w14:textFill>
            <w14:solidFill>
              <w14:schemeClr w14:val="tx1"/>
            </w14:solidFill>
          </w14:textFill>
        </w:rPr>
        <w:t>本合同组成文件和优先解释顺序：</w:t>
      </w:r>
      <w:r>
        <w:rPr>
          <w:rFonts w:hint="eastAsia" w:ascii="宋体" w:hAnsi="宋体" w:eastAsia="宋体" w:cs="宋体"/>
          <w:color w:val="000000" w:themeColor="text1"/>
          <w:sz w:val="24"/>
          <w:highlight w:val="none"/>
          <w:lang w:eastAsia="zh-CN"/>
          <w14:textFill>
            <w14:solidFill>
              <w14:schemeClr w14:val="tx1"/>
            </w14:solidFill>
          </w14:textFill>
        </w:rPr>
        <w:t>乙方在履行本合同中作出的书面承诺；</w:t>
      </w:r>
      <w:r>
        <w:rPr>
          <w:rFonts w:hint="eastAsia" w:ascii="宋体" w:hAnsi="宋体" w:eastAsia="宋体" w:cs="宋体"/>
          <w:color w:val="000000" w:themeColor="text1"/>
          <w:sz w:val="24"/>
          <w:highlight w:val="none"/>
          <w14:textFill>
            <w14:solidFill>
              <w14:schemeClr w14:val="tx1"/>
            </w14:solidFill>
          </w14:textFill>
        </w:rPr>
        <w:t>本合同补充协议；本合同及附件；</w:t>
      </w:r>
      <w:r>
        <w:rPr>
          <w:rFonts w:hint="eastAsia" w:ascii="宋体" w:hAnsi="宋体" w:eastAsia="宋体" w:cs="宋体"/>
          <w:color w:val="000000" w:themeColor="text1"/>
          <w:sz w:val="24"/>
          <w:highlight w:val="none"/>
          <w:lang w:eastAsia="zh-CN"/>
          <w14:textFill>
            <w14:solidFill>
              <w14:schemeClr w14:val="tx1"/>
            </w14:solidFill>
          </w14:textFill>
        </w:rPr>
        <w:t>中标通知书</w:t>
      </w:r>
      <w:r>
        <w:rPr>
          <w:rFonts w:hint="eastAsia" w:ascii="宋体" w:hAnsi="宋体" w:eastAsia="宋体" w:cs="宋体"/>
          <w:color w:val="000000" w:themeColor="text1"/>
          <w:sz w:val="24"/>
          <w:highlight w:val="none"/>
          <w:lang w:val="en-US" w:eastAsia="zh-CN"/>
          <w14:textFill>
            <w14:solidFill>
              <w14:schemeClr w14:val="tx1"/>
            </w14:solidFill>
          </w14:textFill>
        </w:rPr>
        <w:t>/成交通知书/</w:t>
      </w:r>
      <w:r>
        <w:rPr>
          <w:rFonts w:hint="eastAsia" w:ascii="宋体" w:hAnsi="宋体" w:eastAsia="宋体" w:cs="宋体"/>
          <w:color w:val="000000" w:themeColor="text1"/>
          <w:sz w:val="24"/>
          <w:highlight w:val="none"/>
          <w14:textFill>
            <w14:solidFill>
              <w14:schemeClr w14:val="tx1"/>
            </w14:solidFill>
          </w14:textFill>
        </w:rPr>
        <w:t>议价结果公示</w:t>
      </w:r>
      <w:r>
        <w:rPr>
          <w:rFonts w:hint="eastAsia" w:ascii="宋体" w:hAnsi="宋体" w:eastAsia="宋体" w:cs="宋体"/>
          <w:color w:val="000000" w:themeColor="text1"/>
          <w:sz w:val="24"/>
          <w:highlight w:val="none"/>
          <w:lang w:val="en-US" w:eastAsia="zh-CN"/>
          <w14:textFill>
            <w14:solidFill>
              <w14:schemeClr w14:val="tx1"/>
            </w14:solidFill>
          </w14:textFill>
        </w:rPr>
        <w:t>/成交公告</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投标文件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响应文件；</w:t>
      </w:r>
      <w:r>
        <w:rPr>
          <w:rFonts w:hint="eastAsia" w:ascii="宋体" w:hAnsi="宋体" w:eastAsia="宋体" w:cs="宋体"/>
          <w:color w:val="000000" w:themeColor="text1"/>
          <w:sz w:val="24"/>
          <w:highlight w:val="none"/>
          <w:lang w:eastAsia="zh-CN"/>
          <w14:textFill>
            <w14:solidFill>
              <w14:schemeClr w14:val="tx1"/>
            </w14:solidFill>
          </w14:textFill>
        </w:rPr>
        <w:t>招标文件</w:t>
      </w:r>
      <w:r>
        <w:rPr>
          <w:rFonts w:hint="eastAsia" w:ascii="宋体" w:hAnsi="宋体" w:eastAsia="宋体" w:cs="宋体"/>
          <w:color w:val="000000" w:themeColor="text1"/>
          <w:sz w:val="24"/>
          <w:highlight w:val="none"/>
          <w:lang w:val="en-US" w:eastAsia="zh-CN"/>
          <w14:textFill>
            <w14:solidFill>
              <w14:schemeClr w14:val="tx1"/>
            </w14:solidFill>
          </w14:textFill>
        </w:rPr>
        <w:t>/</w:t>
      </w:r>
      <w:r>
        <w:rPr>
          <w:rFonts w:hint="eastAsia" w:ascii="宋体" w:hAnsi="宋体" w:eastAsia="宋体" w:cs="宋体"/>
          <w:color w:val="000000" w:themeColor="text1"/>
          <w:sz w:val="24"/>
          <w:highlight w:val="none"/>
          <w14:textFill>
            <w14:solidFill>
              <w14:schemeClr w14:val="tx1"/>
            </w14:solidFill>
          </w14:textFill>
        </w:rPr>
        <w:t>采购文件</w:t>
      </w:r>
      <w:r>
        <w:rPr>
          <w:rFonts w:hint="eastAsia" w:ascii="宋体" w:hAnsi="宋体" w:eastAsia="宋体" w:cs="宋体"/>
          <w:color w:val="000000" w:themeColor="text1"/>
          <w:sz w:val="24"/>
          <w:highlight w:val="none"/>
          <w:lang w:val="en-US" w:eastAsia="zh-CN"/>
          <w14:textFill>
            <w14:solidFill>
              <w14:schemeClr w14:val="tx1"/>
            </w14:solidFill>
          </w14:textFill>
        </w:rPr>
        <w:t>/采购需求</w:t>
      </w:r>
      <w:r>
        <w:rPr>
          <w:rFonts w:hint="eastAsia" w:ascii="宋体" w:hAnsi="宋体" w:eastAsia="宋体" w:cs="宋体"/>
          <w:color w:val="000000" w:themeColor="text1"/>
          <w:sz w:val="24"/>
          <w:highlight w:val="none"/>
          <w14:textFill>
            <w14:solidFill>
              <w14:schemeClr w14:val="tx1"/>
            </w14:solidFill>
          </w14:textFill>
        </w:rPr>
        <w:t>；其他与本合同有关的资料。</w:t>
      </w:r>
    </w:p>
    <w:p w14:paraId="03967F6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w:t>
      </w:r>
      <w:r>
        <w:rPr>
          <w:rFonts w:hint="eastAsia" w:ascii="宋体" w:hAnsi="宋体" w:eastAsia="宋体" w:cs="宋体"/>
          <w:color w:val="000000" w:themeColor="text1"/>
          <w:sz w:val="24"/>
          <w:highlight w:val="none"/>
          <w:lang w:val="en-US" w:eastAsia="zh-CN"/>
          <w14:textFill>
            <w14:solidFill>
              <w14:schemeClr w14:val="tx1"/>
            </w14:solidFill>
          </w14:textFill>
        </w:rPr>
        <w:t>4</w:t>
      </w:r>
      <w:r>
        <w:rPr>
          <w:rFonts w:hint="eastAsia" w:ascii="宋体" w:hAnsi="宋体" w:eastAsia="宋体" w:cs="宋体"/>
          <w:color w:val="000000" w:themeColor="text1"/>
          <w:sz w:val="24"/>
          <w:highlight w:val="none"/>
          <w14:textFill>
            <w14:solidFill>
              <w14:schemeClr w14:val="tx1"/>
            </w14:solidFill>
          </w14:textFill>
        </w:rPr>
        <w:t>.</w:t>
      </w:r>
      <w:r>
        <w:rPr>
          <w:rFonts w:hint="eastAsia" w:ascii="宋体" w:hAnsi="宋体" w:eastAsia="宋体" w:cs="宋体"/>
          <w:color w:val="000000" w:themeColor="text1"/>
          <w:sz w:val="24"/>
          <w:highlight w:val="none"/>
          <w:lang w:eastAsia="zh-CN"/>
          <w14:textFill>
            <w14:solidFill>
              <w14:schemeClr w14:val="tx1"/>
            </w14:solidFill>
          </w14:textFill>
        </w:rPr>
        <w:t xml:space="preserve">3 </w:t>
      </w:r>
      <w:r>
        <w:rPr>
          <w:rFonts w:hint="eastAsia" w:ascii="宋体" w:hAnsi="宋体" w:eastAsia="宋体" w:cs="宋体"/>
          <w:color w:val="000000" w:themeColor="text1"/>
          <w:sz w:val="24"/>
          <w:highlight w:val="none"/>
          <w14:textFill>
            <w14:solidFill>
              <w14:schemeClr w14:val="tx1"/>
            </w14:solidFill>
          </w14:textFill>
        </w:rPr>
        <w:t>本合同一式</w:t>
      </w:r>
      <w:r>
        <w:rPr>
          <w:rFonts w:hint="eastAsia" w:ascii="宋体" w:hAnsi="宋体" w:eastAsia="宋体" w:cs="宋体"/>
          <w:color w:val="000000" w:themeColor="text1"/>
          <w:sz w:val="24"/>
          <w:highlight w:val="none"/>
          <w:lang w:val="en-US" w:eastAsia="zh-CN"/>
          <w14:textFill>
            <w14:solidFill>
              <w14:schemeClr w14:val="tx1"/>
            </w14:solidFill>
          </w14:textFill>
        </w:rPr>
        <w:t>伍</w:t>
      </w:r>
      <w:r>
        <w:rPr>
          <w:rFonts w:hint="eastAsia" w:ascii="宋体" w:hAnsi="宋体" w:eastAsia="宋体" w:cs="宋体"/>
          <w:color w:val="000000" w:themeColor="text1"/>
          <w:sz w:val="24"/>
          <w:highlight w:val="none"/>
          <w14:textFill>
            <w14:solidFill>
              <w14:schemeClr w14:val="tx1"/>
            </w14:solidFill>
          </w14:textFill>
        </w:rPr>
        <w:t>份，甲方执肆份、乙方执壹份，自双方签字并盖章</w:t>
      </w:r>
      <w:r>
        <w:rPr>
          <w:rFonts w:hint="eastAsia" w:ascii="宋体" w:hAnsi="宋体" w:eastAsia="宋体" w:cs="宋体"/>
          <w:color w:val="000000" w:themeColor="text1"/>
          <w:sz w:val="24"/>
          <w:highlight w:val="none"/>
          <w:lang w:eastAsia="zh-CN"/>
          <w14:textFill>
            <w14:solidFill>
              <w14:schemeClr w14:val="tx1"/>
            </w14:solidFill>
          </w14:textFill>
        </w:rPr>
        <w:t>后</w:t>
      </w:r>
      <w:r>
        <w:rPr>
          <w:rFonts w:hint="eastAsia" w:ascii="宋体" w:hAnsi="宋体" w:eastAsia="宋体" w:cs="宋体"/>
          <w:color w:val="000000" w:themeColor="text1"/>
          <w:sz w:val="24"/>
          <w:highlight w:val="none"/>
          <w14:textFill>
            <w14:solidFill>
              <w14:schemeClr w14:val="tx1"/>
            </w14:solidFill>
          </w14:textFill>
        </w:rPr>
        <w:t>生效。</w:t>
      </w:r>
    </w:p>
    <w:p w14:paraId="23B5C89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5D3B609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甲方（盖章）：</w:t>
      </w:r>
      <w:r>
        <w:rPr>
          <w:rFonts w:hint="eastAsia" w:ascii="宋体" w:hAnsi="宋体" w:eastAsia="宋体" w:cs="宋体"/>
          <w:color w:val="000000" w:themeColor="text1"/>
          <w:sz w:val="24"/>
          <w:highlight w:val="none"/>
          <w14:textFill>
            <w14:solidFill>
              <w14:schemeClr w14:val="tx1"/>
            </w14:solidFill>
          </w14:textFill>
        </w:rPr>
        <w:t>娄底市中心医院</w:t>
      </w:r>
      <w:r>
        <w:rPr>
          <w:rFonts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乙方（盖章）</w:t>
      </w:r>
      <w:r>
        <w:rPr>
          <w:rFonts w:hint="eastAsia" w:ascii="宋体" w:hAnsi="宋体" w:eastAsia="宋体" w:cs="宋体"/>
          <w:color w:val="000000" w:themeColor="text1"/>
          <w:sz w:val="24"/>
          <w:highlight w:val="none"/>
          <w14:textFill>
            <w14:solidFill>
              <w14:schemeClr w14:val="tx1"/>
            </w14:solidFill>
          </w14:textFill>
        </w:rPr>
        <w:t>：</w:t>
      </w:r>
    </w:p>
    <w:p w14:paraId="493139A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p>
    <w:p w14:paraId="3C2B144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 xml:space="preserve">法定代表人（签字）：        </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 xml:space="preserve">法定代表人（签字）：  </w:t>
      </w:r>
    </w:p>
    <w:p w14:paraId="0CB0EB67">
      <w:pPr>
        <w:pStyle w:val="13"/>
        <w:keepNext w:val="0"/>
        <w:keepLines w:val="0"/>
        <w:pageBreakBefore w:val="0"/>
        <w:kinsoku/>
        <w:wordWrap/>
        <w:overflowPunct/>
        <w:topLinePunct w:val="0"/>
        <w:autoSpaceDE/>
        <w:autoSpaceDN/>
        <w:bidi w:val="0"/>
        <w:spacing w:line="480" w:lineRule="exact"/>
        <w:ind w:firstLine="480" w:firstLineChars="200"/>
        <w:rPr>
          <w:rFonts w:hint="eastAsia"/>
        </w:rPr>
      </w:pPr>
    </w:p>
    <w:p w14:paraId="7AAD2B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或</w:t>
      </w:r>
      <w:r>
        <w:rPr>
          <w:rFonts w:ascii="宋体" w:hAnsi="宋体" w:eastAsia="宋体" w:cs="宋体"/>
          <w:color w:val="000000" w:themeColor="text1"/>
          <w:sz w:val="24"/>
          <w:highlight w:val="none"/>
          <w14:textFill>
            <w14:solidFill>
              <w14:schemeClr w14:val="tx1"/>
            </w14:solidFill>
          </w14:textFill>
        </w:rPr>
        <w:t xml:space="preserve">委托代理人（签字）：        </w:t>
      </w:r>
      <w:r>
        <w:rPr>
          <w:rFonts w:hint="eastAsia" w:ascii="宋体" w:hAnsi="宋体" w:eastAsia="宋体" w:cs="宋体"/>
          <w:color w:val="000000" w:themeColor="text1"/>
          <w:sz w:val="24"/>
          <w:highlight w:val="none"/>
          <w14:textFill>
            <w14:solidFill>
              <w14:schemeClr w14:val="tx1"/>
            </w14:solidFill>
          </w14:textFill>
        </w:rPr>
        <w:t xml:space="preserve">      或</w:t>
      </w:r>
      <w:r>
        <w:rPr>
          <w:rFonts w:ascii="宋体" w:hAnsi="宋体" w:eastAsia="宋体" w:cs="宋体"/>
          <w:color w:val="000000" w:themeColor="text1"/>
          <w:sz w:val="24"/>
          <w:highlight w:val="none"/>
          <w14:textFill>
            <w14:solidFill>
              <w14:schemeClr w14:val="tx1"/>
            </w14:solidFill>
          </w14:textFill>
        </w:rPr>
        <w:t>委托代理人（签字）：</w:t>
      </w:r>
    </w:p>
    <w:p w14:paraId="540AEFC6">
      <w:pPr>
        <w:pStyle w:val="13"/>
        <w:keepNext w:val="0"/>
        <w:keepLines w:val="0"/>
        <w:pageBreakBefore w:val="0"/>
        <w:kinsoku/>
        <w:wordWrap/>
        <w:overflowPunct/>
        <w:topLinePunct w:val="0"/>
        <w:autoSpaceDE/>
        <w:autoSpaceDN/>
        <w:bidi w:val="0"/>
        <w:spacing w:line="480" w:lineRule="exact"/>
        <w:ind w:firstLine="480" w:firstLineChars="200"/>
      </w:pPr>
    </w:p>
    <w:p w14:paraId="3A766D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ascii="宋体" w:hAnsi="宋体" w:eastAsia="宋体" w:cs="宋体"/>
          <w:color w:val="000000" w:themeColor="text1"/>
          <w:sz w:val="24"/>
          <w:highlight w:val="none"/>
          <w14:textFill>
            <w14:solidFill>
              <w14:schemeClr w14:val="tx1"/>
            </w14:solidFill>
          </w14:textFill>
        </w:rPr>
      </w:pPr>
      <w:r>
        <w:rPr>
          <w:rFonts w:ascii="宋体" w:hAnsi="宋体" w:eastAsia="宋体" w:cs="宋体"/>
          <w:color w:val="000000" w:themeColor="text1"/>
          <w:sz w:val="24"/>
          <w:highlight w:val="none"/>
          <w14:textFill>
            <w14:solidFill>
              <w14:schemeClr w14:val="tx1"/>
            </w14:solidFill>
          </w14:textFill>
        </w:rPr>
        <w:t>合同签订地</w:t>
      </w:r>
      <w:r>
        <w:rPr>
          <w:rFonts w:hint="eastAsia" w:ascii="宋体" w:hAnsi="宋体" w:eastAsia="宋体" w:cs="宋体"/>
          <w:color w:val="000000" w:themeColor="text1"/>
          <w:sz w:val="24"/>
          <w:highlight w:val="none"/>
          <w14:textFill>
            <w14:solidFill>
              <w14:schemeClr w14:val="tx1"/>
            </w14:solidFill>
          </w14:textFill>
        </w:rPr>
        <w:t>履行地</w:t>
      </w:r>
      <w:r>
        <w:rPr>
          <w:rFonts w:ascii="宋体" w:hAnsi="宋体" w:eastAsia="宋体" w:cs="宋体"/>
          <w:color w:val="000000" w:themeColor="text1"/>
          <w:sz w:val="24"/>
          <w:highlight w:val="none"/>
          <w14:textFill>
            <w14:solidFill>
              <w14:schemeClr w14:val="tx1"/>
            </w14:solidFill>
          </w14:textFill>
        </w:rPr>
        <w:t xml:space="preserve">：娄底市娄星区 </w:t>
      </w:r>
      <w:r>
        <w:rPr>
          <w:rFonts w:hint="eastAsia" w:ascii="宋体" w:hAnsi="宋体" w:eastAsia="宋体" w:cs="宋体"/>
          <w:color w:val="000000" w:themeColor="text1"/>
          <w:sz w:val="24"/>
          <w:highlight w:val="none"/>
          <w14:textFill>
            <w14:solidFill>
              <w14:schemeClr w14:val="tx1"/>
            </w14:solidFill>
          </w14:textFill>
        </w:rPr>
        <w:t xml:space="preserve">    </w:t>
      </w:r>
      <w:r>
        <w:rPr>
          <w:rFonts w:hint="eastAsia" w:ascii="宋体" w:hAnsi="宋体" w:eastAsia="宋体" w:cs="宋体"/>
          <w:color w:val="000000" w:themeColor="text1"/>
          <w:sz w:val="24"/>
          <w:highlight w:val="none"/>
          <w:lang w:val="en-US" w:eastAsia="zh-CN"/>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签订时间：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年</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月</w:t>
      </w:r>
      <w:r>
        <w:rPr>
          <w:rFonts w:hint="eastAsia" w:ascii="宋体" w:hAnsi="宋体" w:eastAsia="宋体" w:cs="宋体"/>
          <w:color w:val="000000" w:themeColor="text1"/>
          <w:sz w:val="24"/>
          <w:highlight w:val="none"/>
          <w14:textFill>
            <w14:solidFill>
              <w14:schemeClr w14:val="tx1"/>
            </w14:solidFill>
          </w14:textFill>
        </w:rPr>
        <w:t xml:space="preserve">     </w:t>
      </w:r>
      <w:r>
        <w:rPr>
          <w:rFonts w:ascii="宋体" w:hAnsi="宋体" w:eastAsia="宋体" w:cs="宋体"/>
          <w:color w:val="000000" w:themeColor="text1"/>
          <w:sz w:val="24"/>
          <w:highlight w:val="none"/>
          <w14:textFill>
            <w14:solidFill>
              <w14:schemeClr w14:val="tx1"/>
            </w14:solidFill>
          </w14:textFill>
        </w:rPr>
        <w:t>日</w:t>
      </w:r>
    </w:p>
    <w:p w14:paraId="232811D5">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1F36B0D1">
      <w:pPr>
        <w:keepNext w:val="0"/>
        <w:keepLines w:val="0"/>
        <w:pageBreakBefore w:val="0"/>
        <w:widowControl w:val="0"/>
        <w:kinsoku/>
        <w:wordWrap/>
        <w:overflowPunct/>
        <w:topLinePunct w:val="0"/>
        <w:autoSpaceDE/>
        <w:autoSpaceDN/>
        <w:bidi w:val="0"/>
        <w:adjustRightInd/>
        <w:snapToGrid/>
        <w:spacing w:line="480" w:lineRule="exact"/>
        <w:textAlignment w:val="auto"/>
        <w:rPr>
          <w:rFonts w:ascii="宋体" w:hAnsi="宋体" w:eastAsia="宋体" w:cs="宋体"/>
          <w:color w:val="000000" w:themeColor="text1"/>
          <w:sz w:val="24"/>
          <w:highlight w:val="none"/>
          <w14:textFill>
            <w14:solidFill>
              <w14:schemeClr w14:val="tx1"/>
            </w14:solidFill>
          </w14:textFill>
        </w:rPr>
      </w:pPr>
    </w:p>
    <w:p w14:paraId="6E1EB1A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406F865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1C77077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drawing>
          <wp:inline distT="0" distB="0" distL="114300" distR="114300">
            <wp:extent cx="5682615" cy="8084185"/>
            <wp:effectExtent l="0" t="0" r="13335" b="1206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7"/>
                    <a:stretch>
                      <a:fillRect/>
                    </a:stretch>
                  </pic:blipFill>
                  <pic:spPr>
                    <a:xfrm>
                      <a:off x="0" y="0"/>
                      <a:ext cx="5682615" cy="808418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06135" cy="8448675"/>
            <wp:effectExtent l="0" t="0" r="18415" b="952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8"/>
                    <a:stretch>
                      <a:fillRect/>
                    </a:stretch>
                  </pic:blipFill>
                  <pic:spPr>
                    <a:xfrm>
                      <a:off x="0" y="0"/>
                      <a:ext cx="5906135" cy="844867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897880" cy="8319135"/>
            <wp:effectExtent l="0" t="0" r="7620" b="5715"/>
            <wp:docPr id="8" name="图片 8"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
                    <pic:cNvPicPr>
                      <a:picLocks noChangeAspect="1"/>
                    </pic:cNvPicPr>
                  </pic:nvPicPr>
                  <pic:blipFill>
                    <a:blip r:embed="rId9"/>
                    <a:stretch>
                      <a:fillRect/>
                    </a:stretch>
                  </pic:blipFill>
                  <pic:spPr>
                    <a:xfrm>
                      <a:off x="0" y="0"/>
                      <a:ext cx="5897880" cy="8319135"/>
                    </a:xfrm>
                    <a:prstGeom prst="rect">
                      <a:avLst/>
                    </a:prstGeom>
                  </pic:spPr>
                </pic:pic>
              </a:graphicData>
            </a:graphic>
          </wp:inline>
        </w:drawing>
      </w:r>
      <w:r>
        <w:rPr>
          <w:rFonts w:hint="default" w:ascii="宋体" w:hAnsi="宋体" w:eastAsia="宋体" w:cs="宋体"/>
          <w:color w:val="auto"/>
          <w:sz w:val="24"/>
          <w:szCs w:val="24"/>
          <w:lang w:val="en-US" w:eastAsia="zh-CN"/>
        </w:rPr>
        <w:drawing>
          <wp:inline distT="0" distB="0" distL="114300" distR="114300">
            <wp:extent cx="5936615" cy="8377555"/>
            <wp:effectExtent l="0" t="0" r="6985" b="4445"/>
            <wp:docPr id="9" name="图片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4"/>
                    <pic:cNvPicPr>
                      <a:picLocks noChangeAspect="1"/>
                    </pic:cNvPicPr>
                  </pic:nvPicPr>
                  <pic:blipFill>
                    <a:blip r:embed="rId10"/>
                    <a:stretch>
                      <a:fillRect/>
                    </a:stretch>
                  </pic:blipFill>
                  <pic:spPr>
                    <a:xfrm>
                      <a:off x="0" y="0"/>
                      <a:ext cx="5936615" cy="8377555"/>
                    </a:xfrm>
                    <a:prstGeom prst="rect">
                      <a:avLst/>
                    </a:prstGeom>
                  </pic:spPr>
                </pic:pic>
              </a:graphicData>
            </a:graphic>
          </wp:inline>
        </w:drawing>
      </w:r>
    </w:p>
    <w:p w14:paraId="5884363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default" w:ascii="宋体" w:hAnsi="宋体" w:eastAsia="宋体" w:cs="宋体"/>
          <w:color w:val="auto"/>
          <w:sz w:val="24"/>
          <w:szCs w:val="24"/>
          <w:lang w:val="en-US" w:eastAsia="zh-CN"/>
        </w:rPr>
      </w:pPr>
    </w:p>
    <w:p w14:paraId="2E838F41">
      <w:pPr>
        <w:pStyle w:val="2"/>
        <w:numPr>
          <w:ilvl w:val="0"/>
          <w:numId w:val="0"/>
        </w:numPr>
        <w:spacing w:line="240" w:lineRule="auto"/>
        <w:ind w:left="2940" w:leftChars="0"/>
        <w:jc w:val="both"/>
        <w:rPr>
          <w:rFonts w:hint="eastAsia" w:ascii="宋体" w:hAnsi="宋体" w:cs="宋体"/>
          <w:color w:val="auto"/>
          <w:sz w:val="30"/>
          <w:szCs w:val="30"/>
        </w:rPr>
      </w:pPr>
      <w:bookmarkStart w:id="1" w:name="_Toc16523574"/>
      <w:r>
        <w:rPr>
          <w:rFonts w:hint="eastAsia" w:ascii="宋体" w:hAnsi="宋体" w:cs="宋体"/>
          <w:color w:val="auto"/>
          <w:sz w:val="30"/>
          <w:szCs w:val="30"/>
          <w:lang w:val="en-US" w:eastAsia="zh-CN"/>
        </w:rPr>
        <w:t xml:space="preserve">第三章   </w:t>
      </w:r>
      <w:r>
        <w:rPr>
          <w:rFonts w:hint="eastAsia" w:ascii="宋体" w:hAnsi="宋体" w:cs="宋体"/>
          <w:color w:val="auto"/>
          <w:sz w:val="30"/>
          <w:szCs w:val="30"/>
        </w:rPr>
        <w:t>投标文件的格式</w:t>
      </w:r>
    </w:p>
    <w:p w14:paraId="42075ED1">
      <w:pPr>
        <w:pStyle w:val="2"/>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14:paraId="0011AD09">
      <w:pPr>
        <w:rPr>
          <w:rFonts w:hint="eastAsia" w:ascii="宋体" w:hAnsi="宋体" w:cs="宋体"/>
          <w:color w:val="auto"/>
        </w:rPr>
      </w:pPr>
    </w:p>
    <w:bookmarkEnd w:id="1"/>
    <w:p w14:paraId="6B60CB95">
      <w:pPr>
        <w:rPr>
          <w:rFonts w:hint="eastAsia"/>
          <w:color w:val="auto"/>
        </w:rPr>
      </w:pPr>
    </w:p>
    <w:p w14:paraId="463F9F65">
      <w:pPr>
        <w:jc w:val="center"/>
        <w:rPr>
          <w:b/>
          <w:color w:val="auto"/>
          <w:sz w:val="24"/>
        </w:rPr>
      </w:pPr>
      <w:r>
        <w:rPr>
          <w:b/>
          <w:color w:val="auto"/>
          <w:sz w:val="28"/>
          <w:szCs w:val="28"/>
        </w:rPr>
        <w:t>第一部分、开标一览表</w:t>
      </w:r>
    </w:p>
    <w:p w14:paraId="40105E6A">
      <w:pPr>
        <w:jc w:val="center"/>
        <w:rPr>
          <w:b/>
          <w:color w:val="auto"/>
          <w:sz w:val="24"/>
        </w:rPr>
      </w:pPr>
    </w:p>
    <w:p w14:paraId="60B35180">
      <w:pPr>
        <w:jc w:val="center"/>
        <w:rPr>
          <w:rFonts w:hint="eastAsia" w:eastAsia="宋体"/>
          <w:b/>
          <w:color w:val="auto"/>
          <w:sz w:val="24"/>
          <w:lang w:eastAsia="zh-CN"/>
        </w:rPr>
      </w:pPr>
      <w:r>
        <w:rPr>
          <w:rFonts w:hint="eastAsia"/>
          <w:b/>
          <w:color w:val="auto"/>
          <w:sz w:val="24"/>
          <w:lang w:eastAsia="zh-CN"/>
        </w:rPr>
        <w:t>注：此项内容需包含投标商品名称、数量、品牌、型号、单价、总价、等信息</w:t>
      </w:r>
    </w:p>
    <w:p w14:paraId="71CAD04D">
      <w:pPr>
        <w:pStyle w:val="17"/>
        <w:rPr>
          <w:color w:val="auto"/>
        </w:rPr>
      </w:pPr>
    </w:p>
    <w:p w14:paraId="66551667">
      <w:pPr>
        <w:adjustRightInd w:val="0"/>
        <w:snapToGrid w:val="0"/>
        <w:spacing w:line="360" w:lineRule="auto"/>
        <w:jc w:val="center"/>
        <w:rPr>
          <w:rFonts w:hint="eastAsia" w:ascii="宋体" w:hAnsi="宋体" w:cs="宋体"/>
          <w:b/>
          <w:color w:val="auto"/>
          <w:sz w:val="28"/>
          <w:szCs w:val="28"/>
        </w:rPr>
      </w:pPr>
    </w:p>
    <w:p w14:paraId="28166D50">
      <w:pPr>
        <w:adjustRightInd w:val="0"/>
        <w:snapToGrid w:val="0"/>
        <w:spacing w:line="360" w:lineRule="auto"/>
        <w:jc w:val="center"/>
        <w:rPr>
          <w:rFonts w:hint="eastAsia" w:ascii="宋体" w:hAnsi="宋体" w:cs="宋体"/>
          <w:b/>
          <w:color w:val="auto"/>
          <w:sz w:val="28"/>
          <w:szCs w:val="28"/>
        </w:rPr>
      </w:pPr>
    </w:p>
    <w:p w14:paraId="4E8B8904">
      <w:pPr>
        <w:adjustRightInd w:val="0"/>
        <w:snapToGrid w:val="0"/>
        <w:spacing w:line="360" w:lineRule="auto"/>
        <w:jc w:val="center"/>
        <w:rPr>
          <w:rFonts w:hint="eastAsia" w:ascii="宋体" w:hAnsi="宋体" w:cs="宋体"/>
          <w:b/>
          <w:color w:val="auto"/>
          <w:sz w:val="28"/>
          <w:szCs w:val="28"/>
        </w:rPr>
      </w:pPr>
    </w:p>
    <w:p w14:paraId="2945B527">
      <w:pPr>
        <w:adjustRightInd w:val="0"/>
        <w:snapToGrid w:val="0"/>
        <w:spacing w:line="360" w:lineRule="auto"/>
        <w:jc w:val="center"/>
        <w:rPr>
          <w:rFonts w:hint="eastAsia" w:ascii="宋体" w:hAnsi="宋体" w:cs="宋体"/>
          <w:b/>
          <w:color w:val="auto"/>
          <w:sz w:val="28"/>
          <w:szCs w:val="28"/>
        </w:rPr>
      </w:pPr>
    </w:p>
    <w:p w14:paraId="1FBF603D">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14:paraId="43D168BD">
      <w:pPr>
        <w:pStyle w:val="16"/>
        <w:rPr>
          <w:rFonts w:hint="eastAsia"/>
          <w:lang w:eastAsia="zh-CN"/>
        </w:rPr>
      </w:pPr>
    </w:p>
    <w:p w14:paraId="386689DC">
      <w:pPr>
        <w:adjustRightInd w:val="0"/>
        <w:snapToGrid w:val="0"/>
        <w:spacing w:line="360" w:lineRule="auto"/>
        <w:jc w:val="center"/>
        <w:rPr>
          <w:rFonts w:hint="eastAsia" w:ascii="宋体" w:hAnsi="宋体" w:cs="宋体"/>
          <w:b/>
          <w:color w:val="auto"/>
          <w:sz w:val="24"/>
          <w:szCs w:val="20"/>
        </w:rPr>
      </w:pPr>
    </w:p>
    <w:p w14:paraId="11F0F571">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14:paraId="64449AAA">
      <w:pPr>
        <w:adjustRightInd w:val="0"/>
        <w:snapToGrid w:val="0"/>
        <w:spacing w:line="360" w:lineRule="auto"/>
        <w:rPr>
          <w:rFonts w:hint="eastAsia" w:ascii="宋体" w:hAnsi="宋体" w:cs="宋体"/>
          <w:b/>
          <w:color w:val="auto"/>
          <w:sz w:val="28"/>
          <w:szCs w:val="28"/>
        </w:rPr>
      </w:pPr>
    </w:p>
    <w:p w14:paraId="540590FF">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14:paraId="3381B1A2">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14:paraId="0EF25468">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14:paraId="51BFDC15">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14:paraId="4F084AFC">
      <w:pPr>
        <w:adjustRightInd w:val="0"/>
        <w:snapToGrid w:val="0"/>
        <w:spacing w:line="360" w:lineRule="auto"/>
        <w:ind w:firstLine="480" w:firstLineChars="200"/>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7C87C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14:paraId="252076A9">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14:paraId="637D8040">
      <w:pPr>
        <w:adjustRightInd w:val="0"/>
        <w:snapToGrid w:val="0"/>
        <w:spacing w:line="360" w:lineRule="auto"/>
        <w:rPr>
          <w:rFonts w:hint="eastAsia" w:ascii="宋体" w:hAnsi="宋体" w:cs="宋体"/>
          <w:color w:val="auto"/>
          <w:sz w:val="24"/>
        </w:rPr>
      </w:pPr>
    </w:p>
    <w:tbl>
      <w:tblPr>
        <w:tblStyle w:val="10"/>
        <w:tblW w:w="8278" w:type="dxa"/>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14:paraId="57534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14:paraId="34C02A26">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14:paraId="573075C3">
      <w:pPr>
        <w:adjustRightInd w:val="0"/>
        <w:snapToGrid w:val="0"/>
        <w:spacing w:line="360" w:lineRule="auto"/>
        <w:rPr>
          <w:rFonts w:hint="eastAsia" w:ascii="宋体" w:hAnsi="宋体" w:cs="宋体"/>
          <w:color w:val="auto"/>
          <w:sz w:val="24"/>
        </w:rPr>
      </w:pPr>
    </w:p>
    <w:p w14:paraId="2BBB8A34">
      <w:pPr>
        <w:adjustRightInd w:val="0"/>
        <w:snapToGrid w:val="0"/>
        <w:spacing w:line="360" w:lineRule="auto"/>
        <w:rPr>
          <w:rFonts w:hint="eastAsia" w:ascii="宋体" w:hAnsi="宋体" w:cs="宋体"/>
          <w:color w:val="auto"/>
          <w:sz w:val="24"/>
        </w:rPr>
      </w:pPr>
    </w:p>
    <w:p w14:paraId="1A8CC709">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14:paraId="1CA38E1D">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14:paraId="524E802C">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14:paraId="7E29138A">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18D29777">
      <w:pPr>
        <w:adjustRightInd w:val="0"/>
        <w:snapToGrid w:val="0"/>
        <w:spacing w:line="360" w:lineRule="auto"/>
        <w:rPr>
          <w:rFonts w:hint="eastAsia" w:ascii="宋体" w:hAnsi="宋体" w:cs="宋体"/>
          <w:b/>
          <w:color w:val="auto"/>
          <w:sz w:val="28"/>
          <w:szCs w:val="28"/>
        </w:rPr>
      </w:pPr>
    </w:p>
    <w:p w14:paraId="3F6A11CD">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14:paraId="3E86AAC0">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14:paraId="129B67DC">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w:t>
      </w:r>
      <w:r>
        <w:rPr>
          <w:rFonts w:hint="eastAsia" w:ascii="宋体" w:hAnsi="宋体" w:cs="宋体"/>
          <w:color w:val="auto"/>
          <w:sz w:val="24"/>
          <w:lang w:eastAsia="zh-CN"/>
        </w:rPr>
        <w:t>招标</w:t>
      </w:r>
      <w:r>
        <w:rPr>
          <w:rFonts w:hint="eastAsia" w:ascii="宋体" w:hAnsi="宋体" w:cs="宋体"/>
          <w:color w:val="auto"/>
          <w:sz w:val="24"/>
        </w:rPr>
        <w:t>文件的规定，我单位郑重声明如下：</w:t>
      </w:r>
    </w:p>
    <w:p w14:paraId="5A64E7F8">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14:paraId="21867362">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14:paraId="3CB02BF7">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14:paraId="64223B65">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w:t>
      </w:r>
      <w:r>
        <w:rPr>
          <w:rFonts w:hint="eastAsia" w:asciiTheme="minorEastAsia" w:hAnsiTheme="minorEastAsia" w:eastAsiaTheme="minorEastAsia" w:cstheme="minorEastAsia"/>
          <w:bCs/>
          <w:color w:val="auto"/>
          <w:sz w:val="24"/>
          <w:szCs w:val="24"/>
          <w:lang w:val="en-US" w:eastAsia="zh-CN"/>
        </w:rPr>
        <w:t>采购</w:t>
      </w:r>
      <w:r>
        <w:rPr>
          <w:rFonts w:hint="eastAsia" w:ascii="宋体" w:hAnsi="宋体" w:cs="宋体"/>
          <w:color w:val="auto"/>
          <w:sz w:val="24"/>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14:paraId="0DFF17FA">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14:paraId="149A3161">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14:paraId="4B61AC36">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14:paraId="763F31A9">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14:paraId="1D48A861">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14:paraId="1417F859">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lang w:val="en-US" w:eastAsia="zh-CN"/>
        </w:rPr>
        <w:t>七、我单位承诺参与本项目时不存在围标、串标、陪标等违法行为</w:t>
      </w:r>
      <w:r>
        <w:rPr>
          <w:rFonts w:hint="eastAsia" w:ascii="宋体" w:hAnsi="宋体" w:cs="宋体"/>
          <w:color w:val="auto"/>
          <w:sz w:val="24"/>
        </w:rPr>
        <w:t xml:space="preserve"> </w:t>
      </w:r>
    </w:p>
    <w:p w14:paraId="671259A6">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14:paraId="2A3FCFA6">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14:paraId="5B697C89">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14:paraId="3B055510">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14:paraId="3EF7C52F">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14:paraId="43446278">
      <w:pPr>
        <w:adjustRightInd w:val="0"/>
        <w:snapToGrid w:val="0"/>
        <w:spacing w:line="360" w:lineRule="auto"/>
        <w:jc w:val="center"/>
        <w:rPr>
          <w:rFonts w:hint="eastAsia" w:ascii="宋体" w:hAnsi="宋体" w:cs="宋体"/>
          <w:b/>
          <w:color w:val="auto"/>
          <w:sz w:val="24"/>
          <w:szCs w:val="20"/>
        </w:rPr>
      </w:pPr>
    </w:p>
    <w:p w14:paraId="1346884B">
      <w:pPr>
        <w:adjustRightInd w:val="0"/>
        <w:snapToGrid w:val="0"/>
        <w:spacing w:line="360" w:lineRule="auto"/>
        <w:rPr>
          <w:rFonts w:hint="eastAsia" w:ascii="宋体" w:hAnsi="宋体" w:cs="宋体"/>
          <w:b/>
          <w:color w:val="auto"/>
          <w:sz w:val="24"/>
          <w:szCs w:val="20"/>
        </w:rPr>
      </w:pPr>
    </w:p>
    <w:p w14:paraId="4F9273E1">
      <w:pPr>
        <w:adjustRightInd w:val="0"/>
        <w:snapToGrid w:val="0"/>
        <w:spacing w:line="360" w:lineRule="auto"/>
        <w:rPr>
          <w:rFonts w:hint="eastAsia" w:ascii="宋体" w:hAnsi="宋体" w:cs="宋体"/>
          <w:b/>
          <w:color w:val="auto"/>
          <w:sz w:val="24"/>
          <w:szCs w:val="20"/>
        </w:rPr>
      </w:pPr>
    </w:p>
    <w:p w14:paraId="2D2F2399">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14:paraId="6BD0C8C8">
      <w:pPr>
        <w:adjustRightInd w:val="0"/>
        <w:snapToGrid w:val="0"/>
        <w:spacing w:line="360" w:lineRule="auto"/>
        <w:jc w:val="center"/>
        <w:rPr>
          <w:rFonts w:hint="eastAsia" w:ascii="宋体" w:hAnsi="宋体" w:cs="宋体"/>
          <w:b/>
          <w:color w:val="auto"/>
          <w:sz w:val="24"/>
          <w:szCs w:val="20"/>
        </w:rPr>
      </w:pPr>
    </w:p>
    <w:p w14:paraId="565506E4">
      <w:pPr>
        <w:pStyle w:val="3"/>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及资格要求的证明材料，提供信用中国网页查询截图，</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14:paraId="478C91FB">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14:paraId="0851C70D">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14:paraId="786E0303">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14:paraId="39144592">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14:paraId="50CF0EAC">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14:paraId="71681098">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14:paraId="49FD08FA">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14:paraId="753E4AC7">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14:paraId="575B8451">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14:paraId="32BCE7E4">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14:paraId="059336F3">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cs="Times New Roman"/>
          <w:b w:val="0"/>
          <w:bCs w:val="0"/>
          <w:color w:val="auto"/>
          <w:kern w:val="2"/>
          <w:sz w:val="24"/>
          <w:szCs w:val="24"/>
          <w:lang w:val="en-US" w:eastAsia="zh-CN" w:bidi="ar-SA"/>
        </w:rPr>
        <w:t>2023</w:t>
      </w:r>
      <w:r>
        <w:rPr>
          <w:rFonts w:hint="eastAsia" w:ascii="宋体" w:hAnsi="宋体" w:eastAsia="宋体" w:cs="Times New Roman"/>
          <w:b w:val="0"/>
          <w:bCs w:val="0"/>
          <w:color w:val="auto"/>
          <w:kern w:val="2"/>
          <w:sz w:val="24"/>
          <w:szCs w:val="24"/>
          <w:lang w:val="en-US" w:eastAsia="zh-CN" w:bidi="ar-SA"/>
        </w:rPr>
        <w:t>年     月     日</w:t>
      </w:r>
    </w:p>
    <w:p w14:paraId="0EB9AB22">
      <w:pPr>
        <w:jc w:val="left"/>
        <w:rPr>
          <w:rFonts w:hint="eastAsia" w:ascii="宋体" w:hAnsi="宋体" w:eastAsia="宋体" w:cs="Times New Roman"/>
          <w:b w:val="0"/>
          <w:bCs w:val="0"/>
          <w:color w:val="auto"/>
          <w:kern w:val="2"/>
          <w:sz w:val="24"/>
          <w:szCs w:val="24"/>
          <w:lang w:val="en-US" w:eastAsia="zh-CN" w:bidi="ar-SA"/>
        </w:rPr>
      </w:pPr>
    </w:p>
    <w:p w14:paraId="452F65D0">
      <w:pPr>
        <w:jc w:val="left"/>
        <w:rPr>
          <w:rFonts w:hint="eastAsia" w:ascii="宋体" w:hAnsi="宋体" w:eastAsia="宋体" w:cs="Times New Roman"/>
          <w:b w:val="0"/>
          <w:bCs w:val="0"/>
          <w:color w:val="auto"/>
          <w:kern w:val="2"/>
          <w:sz w:val="24"/>
          <w:szCs w:val="24"/>
          <w:lang w:val="en-US" w:eastAsia="zh-CN" w:bidi="ar-SA"/>
        </w:rPr>
      </w:pPr>
    </w:p>
    <w:p w14:paraId="16A0C581">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14:paraId="4B1AE1FF">
      <w:pPr>
        <w:jc w:val="center"/>
        <w:rPr>
          <w:rFonts w:hint="eastAsia" w:ascii="宋体" w:hAnsi="宋体" w:cs="宋体"/>
          <w:b/>
          <w:color w:val="auto"/>
          <w:sz w:val="24"/>
        </w:rPr>
        <w:sectPr>
          <w:headerReference r:id="rId3" w:type="default"/>
          <w:footerReference r:id="rId4" w:type="default"/>
          <w:pgSz w:w="11906" w:h="16838"/>
          <w:pgMar w:top="1440" w:right="1080" w:bottom="1440" w:left="1080" w:header="567" w:footer="283" w:gutter="0"/>
          <w:pgNumType w:fmt="decimal" w:start="1"/>
          <w:cols w:space="720" w:num="1"/>
          <w:docGrid w:linePitch="312" w:charSpace="0"/>
        </w:sectPr>
      </w:pPr>
    </w:p>
    <w:p w14:paraId="3C2F2BC3">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2" w:name="_Toc476514128"/>
      <w:bookmarkStart w:id="3" w:name="_Toc486424819"/>
    </w:p>
    <w:p w14:paraId="6D90F51D">
      <w:pPr>
        <w:pStyle w:val="16"/>
        <w:rPr>
          <w:rFonts w:hint="eastAsia"/>
          <w:lang w:eastAsia="zh-CN"/>
        </w:rPr>
      </w:pPr>
    </w:p>
    <w:p w14:paraId="6BAEDE60">
      <w:pPr>
        <w:spacing w:before="120" w:beforeLines="50" w:after="120" w:afterLines="50" w:line="276" w:lineRule="auto"/>
        <w:jc w:val="center"/>
        <w:rPr>
          <w:b/>
          <w:color w:val="auto"/>
          <w:sz w:val="24"/>
        </w:rPr>
      </w:pPr>
      <w:r>
        <w:rPr>
          <w:b/>
          <w:color w:val="auto"/>
          <w:sz w:val="24"/>
        </w:rPr>
        <w:t>采购需求响应/偏离表</w:t>
      </w:r>
    </w:p>
    <w:p w14:paraId="3BCF85E9">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835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27"/>
        <w:gridCol w:w="1877"/>
        <w:gridCol w:w="1671"/>
        <w:gridCol w:w="1608"/>
        <w:gridCol w:w="1513"/>
        <w:gridCol w:w="1061"/>
      </w:tblGrid>
      <w:tr w14:paraId="572AF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27" w:type="dxa"/>
            <w:noWrap w:val="0"/>
            <w:vAlign w:val="center"/>
          </w:tcPr>
          <w:p w14:paraId="684B6852">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877" w:type="dxa"/>
            <w:noWrap w:val="0"/>
            <w:vAlign w:val="center"/>
          </w:tcPr>
          <w:p w14:paraId="4257CF67">
            <w:pPr>
              <w:adjustRightInd w:val="0"/>
              <w:snapToGrid w:val="0"/>
              <w:spacing w:before="50" w:line="360" w:lineRule="auto"/>
              <w:ind w:left="-88" w:leftChars="-42"/>
              <w:jc w:val="center"/>
              <w:rPr>
                <w:color w:val="auto"/>
                <w:szCs w:val="21"/>
              </w:rPr>
            </w:pPr>
            <w:r>
              <w:rPr>
                <w:rFonts w:hint="eastAsia"/>
                <w:color w:val="auto"/>
                <w:szCs w:val="21"/>
                <w:lang w:eastAsia="zh-CN"/>
              </w:rPr>
              <w:t>招标</w:t>
            </w:r>
            <w:r>
              <w:rPr>
                <w:color w:val="auto"/>
                <w:szCs w:val="21"/>
              </w:rPr>
              <w:t>文件章节</w:t>
            </w:r>
            <w:r>
              <w:rPr>
                <w:bCs/>
                <w:color w:val="auto"/>
                <w:szCs w:val="21"/>
              </w:rPr>
              <w:t>条</w:t>
            </w:r>
            <w:r>
              <w:rPr>
                <w:color w:val="auto"/>
                <w:szCs w:val="21"/>
              </w:rPr>
              <w:t>款号</w:t>
            </w:r>
          </w:p>
        </w:tc>
        <w:tc>
          <w:tcPr>
            <w:tcW w:w="1671" w:type="dxa"/>
            <w:noWrap w:val="0"/>
            <w:vAlign w:val="top"/>
          </w:tcPr>
          <w:p w14:paraId="769CBF21">
            <w:pPr>
              <w:adjustRightInd w:val="0"/>
              <w:snapToGrid w:val="0"/>
              <w:spacing w:before="50" w:line="360" w:lineRule="auto"/>
              <w:jc w:val="center"/>
              <w:rPr>
                <w:color w:val="auto"/>
              </w:rPr>
            </w:pPr>
            <w:r>
              <w:rPr>
                <w:rFonts w:hint="eastAsia"/>
                <w:color w:val="auto"/>
                <w:lang w:eastAsia="zh-CN"/>
              </w:rPr>
              <w:t>招标</w:t>
            </w:r>
            <w:r>
              <w:rPr>
                <w:color w:val="auto"/>
              </w:rPr>
              <w:t>文件要求</w:t>
            </w:r>
          </w:p>
        </w:tc>
        <w:tc>
          <w:tcPr>
            <w:tcW w:w="1608" w:type="dxa"/>
            <w:noWrap w:val="0"/>
            <w:vAlign w:val="top"/>
          </w:tcPr>
          <w:p w14:paraId="09D4284B">
            <w:pPr>
              <w:adjustRightInd w:val="0"/>
              <w:snapToGrid w:val="0"/>
              <w:spacing w:before="50" w:line="360" w:lineRule="auto"/>
              <w:jc w:val="center"/>
              <w:rPr>
                <w:color w:val="auto"/>
              </w:rPr>
            </w:pPr>
            <w:r>
              <w:rPr>
                <w:color w:val="auto"/>
              </w:rPr>
              <w:t>投标文件应答</w:t>
            </w:r>
          </w:p>
        </w:tc>
        <w:tc>
          <w:tcPr>
            <w:tcW w:w="1513" w:type="dxa"/>
            <w:noWrap w:val="0"/>
            <w:vAlign w:val="center"/>
          </w:tcPr>
          <w:p w14:paraId="67C408D3">
            <w:pPr>
              <w:adjustRightInd w:val="0"/>
              <w:snapToGrid w:val="0"/>
              <w:spacing w:before="50" w:line="360" w:lineRule="auto"/>
              <w:ind w:left="-88" w:leftChars="-42"/>
              <w:jc w:val="center"/>
              <w:rPr>
                <w:color w:val="auto"/>
                <w:szCs w:val="21"/>
              </w:rPr>
            </w:pPr>
            <w:r>
              <w:rPr>
                <w:color w:val="auto"/>
                <w:szCs w:val="21"/>
              </w:rPr>
              <w:t>响应/偏离</w:t>
            </w:r>
          </w:p>
        </w:tc>
        <w:tc>
          <w:tcPr>
            <w:tcW w:w="1061" w:type="dxa"/>
            <w:noWrap w:val="0"/>
            <w:vAlign w:val="center"/>
          </w:tcPr>
          <w:p w14:paraId="333762B8">
            <w:pPr>
              <w:adjustRightInd w:val="0"/>
              <w:snapToGrid w:val="0"/>
              <w:spacing w:before="50" w:line="360" w:lineRule="auto"/>
              <w:ind w:left="-88" w:leftChars="-42"/>
              <w:jc w:val="center"/>
              <w:rPr>
                <w:color w:val="auto"/>
                <w:szCs w:val="21"/>
              </w:rPr>
            </w:pPr>
            <w:r>
              <w:rPr>
                <w:color w:val="auto"/>
                <w:szCs w:val="21"/>
              </w:rPr>
              <w:t>偏离说明</w:t>
            </w:r>
          </w:p>
        </w:tc>
      </w:tr>
      <w:tr w14:paraId="4E0917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1E1580C">
            <w:pPr>
              <w:adjustRightInd w:val="0"/>
              <w:snapToGrid w:val="0"/>
              <w:spacing w:before="50" w:line="360" w:lineRule="auto"/>
              <w:ind w:left="-88" w:leftChars="-42"/>
              <w:jc w:val="center"/>
              <w:rPr>
                <w:color w:val="auto"/>
                <w:szCs w:val="21"/>
              </w:rPr>
            </w:pPr>
          </w:p>
        </w:tc>
        <w:tc>
          <w:tcPr>
            <w:tcW w:w="1877" w:type="dxa"/>
            <w:noWrap w:val="0"/>
            <w:vAlign w:val="center"/>
          </w:tcPr>
          <w:p w14:paraId="774A1D01">
            <w:pPr>
              <w:adjustRightInd w:val="0"/>
              <w:snapToGrid w:val="0"/>
              <w:spacing w:before="50" w:line="360" w:lineRule="auto"/>
              <w:ind w:left="-88" w:leftChars="-42"/>
              <w:jc w:val="center"/>
              <w:rPr>
                <w:color w:val="auto"/>
                <w:szCs w:val="21"/>
              </w:rPr>
            </w:pPr>
          </w:p>
        </w:tc>
        <w:tc>
          <w:tcPr>
            <w:tcW w:w="1671" w:type="dxa"/>
            <w:noWrap w:val="0"/>
            <w:vAlign w:val="center"/>
          </w:tcPr>
          <w:p w14:paraId="5CC39C1D">
            <w:pPr>
              <w:adjustRightInd w:val="0"/>
              <w:snapToGrid w:val="0"/>
              <w:spacing w:before="50" w:line="360" w:lineRule="auto"/>
              <w:ind w:left="-88" w:leftChars="-42"/>
              <w:jc w:val="center"/>
              <w:rPr>
                <w:color w:val="auto"/>
                <w:szCs w:val="21"/>
              </w:rPr>
            </w:pPr>
          </w:p>
        </w:tc>
        <w:tc>
          <w:tcPr>
            <w:tcW w:w="1608" w:type="dxa"/>
            <w:noWrap w:val="0"/>
            <w:vAlign w:val="center"/>
          </w:tcPr>
          <w:p w14:paraId="4C313990">
            <w:pPr>
              <w:adjustRightInd w:val="0"/>
              <w:snapToGrid w:val="0"/>
              <w:spacing w:before="50" w:line="360" w:lineRule="auto"/>
              <w:ind w:left="-88" w:leftChars="-42"/>
              <w:jc w:val="center"/>
              <w:rPr>
                <w:color w:val="auto"/>
                <w:szCs w:val="21"/>
              </w:rPr>
            </w:pPr>
          </w:p>
        </w:tc>
        <w:tc>
          <w:tcPr>
            <w:tcW w:w="1513" w:type="dxa"/>
            <w:noWrap w:val="0"/>
            <w:vAlign w:val="center"/>
          </w:tcPr>
          <w:p w14:paraId="3282AE5D">
            <w:pPr>
              <w:adjustRightInd w:val="0"/>
              <w:snapToGrid w:val="0"/>
              <w:spacing w:before="50" w:line="360" w:lineRule="auto"/>
              <w:ind w:left="-88" w:leftChars="-42"/>
              <w:jc w:val="center"/>
              <w:rPr>
                <w:color w:val="auto"/>
                <w:szCs w:val="21"/>
              </w:rPr>
            </w:pPr>
          </w:p>
        </w:tc>
        <w:tc>
          <w:tcPr>
            <w:tcW w:w="1061" w:type="dxa"/>
            <w:noWrap w:val="0"/>
            <w:vAlign w:val="center"/>
          </w:tcPr>
          <w:p w14:paraId="031F9831">
            <w:pPr>
              <w:adjustRightInd w:val="0"/>
              <w:snapToGrid w:val="0"/>
              <w:spacing w:before="50" w:line="360" w:lineRule="auto"/>
              <w:ind w:left="-88" w:leftChars="-42"/>
              <w:jc w:val="center"/>
              <w:rPr>
                <w:color w:val="auto"/>
                <w:szCs w:val="21"/>
              </w:rPr>
            </w:pPr>
          </w:p>
        </w:tc>
      </w:tr>
      <w:tr w14:paraId="00015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77AAB4EE">
            <w:pPr>
              <w:adjustRightInd w:val="0"/>
              <w:snapToGrid w:val="0"/>
              <w:spacing w:before="50" w:line="360" w:lineRule="auto"/>
              <w:ind w:left="-88" w:leftChars="-42"/>
              <w:jc w:val="center"/>
              <w:rPr>
                <w:color w:val="auto"/>
                <w:szCs w:val="21"/>
              </w:rPr>
            </w:pPr>
          </w:p>
        </w:tc>
        <w:tc>
          <w:tcPr>
            <w:tcW w:w="1877" w:type="dxa"/>
            <w:noWrap w:val="0"/>
            <w:vAlign w:val="center"/>
          </w:tcPr>
          <w:p w14:paraId="50AEF049">
            <w:pPr>
              <w:adjustRightInd w:val="0"/>
              <w:snapToGrid w:val="0"/>
              <w:spacing w:before="50" w:line="360" w:lineRule="auto"/>
              <w:ind w:left="-88" w:leftChars="-42"/>
              <w:jc w:val="center"/>
              <w:rPr>
                <w:color w:val="auto"/>
                <w:szCs w:val="21"/>
              </w:rPr>
            </w:pPr>
          </w:p>
        </w:tc>
        <w:tc>
          <w:tcPr>
            <w:tcW w:w="1671" w:type="dxa"/>
            <w:noWrap w:val="0"/>
            <w:vAlign w:val="center"/>
          </w:tcPr>
          <w:p w14:paraId="2A7B0A3E">
            <w:pPr>
              <w:adjustRightInd w:val="0"/>
              <w:snapToGrid w:val="0"/>
              <w:spacing w:before="50" w:line="360" w:lineRule="auto"/>
              <w:ind w:left="-88" w:leftChars="-42"/>
              <w:jc w:val="center"/>
              <w:rPr>
                <w:color w:val="auto"/>
                <w:szCs w:val="21"/>
              </w:rPr>
            </w:pPr>
          </w:p>
        </w:tc>
        <w:tc>
          <w:tcPr>
            <w:tcW w:w="1608" w:type="dxa"/>
            <w:noWrap w:val="0"/>
            <w:vAlign w:val="center"/>
          </w:tcPr>
          <w:p w14:paraId="4A601AAF">
            <w:pPr>
              <w:adjustRightInd w:val="0"/>
              <w:snapToGrid w:val="0"/>
              <w:spacing w:before="50" w:line="360" w:lineRule="auto"/>
              <w:ind w:left="-88" w:leftChars="-42"/>
              <w:jc w:val="center"/>
              <w:rPr>
                <w:color w:val="auto"/>
                <w:szCs w:val="21"/>
              </w:rPr>
            </w:pPr>
          </w:p>
        </w:tc>
        <w:tc>
          <w:tcPr>
            <w:tcW w:w="1513" w:type="dxa"/>
            <w:noWrap w:val="0"/>
            <w:vAlign w:val="center"/>
          </w:tcPr>
          <w:p w14:paraId="25C22211">
            <w:pPr>
              <w:adjustRightInd w:val="0"/>
              <w:snapToGrid w:val="0"/>
              <w:spacing w:before="50" w:line="360" w:lineRule="auto"/>
              <w:ind w:left="-88" w:leftChars="-42"/>
              <w:jc w:val="center"/>
              <w:rPr>
                <w:color w:val="auto"/>
                <w:szCs w:val="21"/>
              </w:rPr>
            </w:pPr>
          </w:p>
        </w:tc>
        <w:tc>
          <w:tcPr>
            <w:tcW w:w="1061" w:type="dxa"/>
            <w:noWrap w:val="0"/>
            <w:vAlign w:val="center"/>
          </w:tcPr>
          <w:p w14:paraId="571A0A5F">
            <w:pPr>
              <w:adjustRightInd w:val="0"/>
              <w:snapToGrid w:val="0"/>
              <w:spacing w:before="50" w:line="360" w:lineRule="auto"/>
              <w:ind w:left="-88" w:leftChars="-42"/>
              <w:jc w:val="center"/>
              <w:rPr>
                <w:color w:val="auto"/>
                <w:szCs w:val="21"/>
              </w:rPr>
            </w:pPr>
          </w:p>
        </w:tc>
      </w:tr>
      <w:tr w14:paraId="7492E7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27" w:type="dxa"/>
            <w:noWrap w:val="0"/>
            <w:vAlign w:val="center"/>
          </w:tcPr>
          <w:p w14:paraId="5A3B4144">
            <w:pPr>
              <w:adjustRightInd w:val="0"/>
              <w:snapToGrid w:val="0"/>
              <w:spacing w:before="50" w:line="360" w:lineRule="auto"/>
              <w:ind w:left="-88" w:leftChars="-42"/>
              <w:jc w:val="center"/>
              <w:rPr>
                <w:color w:val="auto"/>
                <w:szCs w:val="21"/>
              </w:rPr>
            </w:pPr>
          </w:p>
        </w:tc>
        <w:tc>
          <w:tcPr>
            <w:tcW w:w="1877" w:type="dxa"/>
            <w:noWrap w:val="0"/>
            <w:vAlign w:val="center"/>
          </w:tcPr>
          <w:p w14:paraId="5678C7D8">
            <w:pPr>
              <w:adjustRightInd w:val="0"/>
              <w:snapToGrid w:val="0"/>
              <w:spacing w:before="50" w:line="360" w:lineRule="auto"/>
              <w:ind w:left="-88" w:leftChars="-42"/>
              <w:jc w:val="center"/>
              <w:rPr>
                <w:color w:val="auto"/>
                <w:szCs w:val="21"/>
              </w:rPr>
            </w:pPr>
          </w:p>
        </w:tc>
        <w:tc>
          <w:tcPr>
            <w:tcW w:w="1671" w:type="dxa"/>
            <w:noWrap w:val="0"/>
            <w:vAlign w:val="center"/>
          </w:tcPr>
          <w:p w14:paraId="7AD96B66">
            <w:pPr>
              <w:adjustRightInd w:val="0"/>
              <w:snapToGrid w:val="0"/>
              <w:spacing w:before="50" w:line="360" w:lineRule="auto"/>
              <w:ind w:left="-88" w:leftChars="-42"/>
              <w:jc w:val="center"/>
              <w:rPr>
                <w:color w:val="auto"/>
                <w:szCs w:val="21"/>
              </w:rPr>
            </w:pPr>
          </w:p>
        </w:tc>
        <w:tc>
          <w:tcPr>
            <w:tcW w:w="1608" w:type="dxa"/>
            <w:noWrap w:val="0"/>
            <w:vAlign w:val="center"/>
          </w:tcPr>
          <w:p w14:paraId="368E095E">
            <w:pPr>
              <w:adjustRightInd w:val="0"/>
              <w:snapToGrid w:val="0"/>
              <w:spacing w:before="50" w:line="360" w:lineRule="auto"/>
              <w:ind w:left="-88" w:leftChars="-42"/>
              <w:jc w:val="center"/>
              <w:rPr>
                <w:color w:val="auto"/>
                <w:szCs w:val="21"/>
              </w:rPr>
            </w:pPr>
          </w:p>
        </w:tc>
        <w:tc>
          <w:tcPr>
            <w:tcW w:w="1513" w:type="dxa"/>
            <w:noWrap w:val="0"/>
            <w:vAlign w:val="center"/>
          </w:tcPr>
          <w:p w14:paraId="1E861332">
            <w:pPr>
              <w:adjustRightInd w:val="0"/>
              <w:snapToGrid w:val="0"/>
              <w:spacing w:before="50" w:line="360" w:lineRule="auto"/>
              <w:ind w:left="-88" w:leftChars="-42"/>
              <w:jc w:val="center"/>
              <w:rPr>
                <w:color w:val="auto"/>
                <w:szCs w:val="21"/>
              </w:rPr>
            </w:pPr>
          </w:p>
        </w:tc>
        <w:tc>
          <w:tcPr>
            <w:tcW w:w="1061" w:type="dxa"/>
            <w:noWrap w:val="0"/>
            <w:vAlign w:val="center"/>
          </w:tcPr>
          <w:p w14:paraId="1DDFBBC9">
            <w:pPr>
              <w:adjustRightInd w:val="0"/>
              <w:snapToGrid w:val="0"/>
              <w:spacing w:before="50" w:line="360" w:lineRule="auto"/>
              <w:ind w:left="-88" w:leftChars="-42"/>
              <w:jc w:val="center"/>
              <w:rPr>
                <w:color w:val="auto"/>
                <w:szCs w:val="21"/>
              </w:rPr>
            </w:pPr>
          </w:p>
        </w:tc>
      </w:tr>
      <w:tr w14:paraId="5ECFA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8357" w:type="dxa"/>
            <w:gridSpan w:val="6"/>
            <w:noWrap w:val="0"/>
            <w:vAlign w:val="center"/>
          </w:tcPr>
          <w:p w14:paraId="5564F7E0">
            <w:pPr>
              <w:rPr>
                <w:b/>
                <w:color w:val="auto"/>
              </w:rPr>
            </w:pPr>
          </w:p>
        </w:tc>
      </w:tr>
    </w:tbl>
    <w:p w14:paraId="58C809C7">
      <w:pPr>
        <w:adjustRightInd w:val="0"/>
        <w:snapToGrid w:val="0"/>
        <w:spacing w:before="50" w:line="360" w:lineRule="auto"/>
        <w:ind w:left="-88" w:leftChars="-42"/>
        <w:rPr>
          <w:color w:val="auto"/>
          <w:sz w:val="24"/>
        </w:rPr>
      </w:pPr>
      <w:r>
        <w:rPr>
          <w:b/>
          <w:color w:val="auto"/>
          <w:sz w:val="24"/>
        </w:rPr>
        <w:t>备注</w:t>
      </w:r>
      <w:r>
        <w:rPr>
          <w:color w:val="auto"/>
          <w:sz w:val="24"/>
        </w:rPr>
        <w:t>：</w:t>
      </w:r>
    </w:p>
    <w:bookmarkEnd w:id="2"/>
    <w:bookmarkEnd w:id="3"/>
    <w:p w14:paraId="559CC365">
      <w:pPr>
        <w:adjustRightInd w:val="0"/>
        <w:snapToGrid w:val="0"/>
        <w:spacing w:before="50" w:line="360" w:lineRule="auto"/>
        <w:ind w:left="-88" w:leftChars="-42"/>
        <w:rPr>
          <w:rFonts w:hint="eastAsia"/>
          <w:color w:val="auto"/>
          <w:sz w:val="24"/>
        </w:rPr>
      </w:pPr>
      <w:r>
        <w:rPr>
          <w:color w:val="auto"/>
          <w:sz w:val="24"/>
        </w:rPr>
        <w:t>（1）投标人应根据文件第</w:t>
      </w:r>
      <w:r>
        <w:rPr>
          <w:rFonts w:hint="eastAsia"/>
          <w:color w:val="auto"/>
          <w:sz w:val="24"/>
          <w:lang w:val="en-US" w:eastAsia="zh-CN"/>
        </w:rPr>
        <w:t>二</w:t>
      </w:r>
      <w:r>
        <w:rPr>
          <w:color w:val="auto"/>
          <w:sz w:val="24"/>
        </w:rPr>
        <w:t>章中采购需求填写本表，逐条应答；</w:t>
      </w:r>
    </w:p>
    <w:p w14:paraId="5F3C4965">
      <w:pPr>
        <w:adjustRightInd w:val="0"/>
        <w:snapToGrid w:val="0"/>
        <w:spacing w:before="50" w:line="360" w:lineRule="auto"/>
        <w:ind w:left="-88" w:leftChars="-42"/>
        <w:rPr>
          <w:rFonts w:hint="eastAsia"/>
          <w:color w:val="auto"/>
          <w:sz w:val="24"/>
        </w:rPr>
      </w:pPr>
      <w:r>
        <w:rPr>
          <w:color w:val="auto"/>
          <w:sz w:val="24"/>
        </w:rPr>
        <w:t>（2）如不提供此表，则视为投标人不满足文件第</w:t>
      </w:r>
      <w:r>
        <w:rPr>
          <w:rFonts w:hint="eastAsia"/>
          <w:color w:val="auto"/>
          <w:sz w:val="24"/>
          <w:lang w:eastAsia="zh-CN"/>
        </w:rPr>
        <w:t>二</w:t>
      </w:r>
      <w:r>
        <w:rPr>
          <w:color w:val="auto"/>
          <w:sz w:val="24"/>
        </w:rPr>
        <w:t>章的所有条款要求，其投标无效；</w:t>
      </w:r>
    </w:p>
    <w:p w14:paraId="38E3C596">
      <w:pPr>
        <w:adjustRightInd w:val="0"/>
        <w:snapToGrid w:val="0"/>
        <w:spacing w:before="50" w:line="360" w:lineRule="auto"/>
        <w:ind w:left="-88" w:leftChars="-42"/>
        <w:rPr>
          <w:rFonts w:hint="eastAsia" w:eastAsia="宋体"/>
          <w:color w:val="auto"/>
          <w:lang w:eastAsia="zh-CN"/>
        </w:rPr>
      </w:pPr>
      <w:r>
        <w:rPr>
          <w:color w:val="auto"/>
          <w:sz w:val="24"/>
        </w:rPr>
        <w:t>（3）</w:t>
      </w:r>
      <w:r>
        <w:rPr>
          <w:rFonts w:hint="eastAsia"/>
          <w:color w:val="auto"/>
          <w:sz w:val="24"/>
          <w:lang w:eastAsia="zh-CN"/>
        </w:rPr>
        <w:t>本项目为最低价评分法，所有参数必须全部响应，并在响应表中逐条应答，如有任何一条负偏离，则视为无效投标</w:t>
      </w:r>
    </w:p>
    <w:p w14:paraId="7546D202">
      <w:pPr>
        <w:pStyle w:val="17"/>
        <w:rPr>
          <w:color w:val="auto"/>
        </w:rPr>
      </w:pPr>
    </w:p>
    <w:p w14:paraId="5EEA99A1">
      <w:pPr>
        <w:pStyle w:val="16"/>
        <w:rPr>
          <w:rFonts w:hint="eastAsia"/>
          <w:lang w:eastAsia="zh-CN"/>
        </w:rPr>
      </w:pPr>
    </w:p>
    <w:p w14:paraId="4F73B9B6"/>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4F79">
    <w:pPr>
      <w:pStyle w:val="6"/>
      <w:rPr>
        <w:rFonts w:hint="eastAsia" w:ascii="仿宋_GB2312" w:eastAsia="仿宋_GB2312"/>
        <w:bCs/>
        <w:u w:val="single"/>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1333E6">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1333E6">
                    <w:pPr>
                      <w:pStyle w:val="6"/>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bCs/>
        <w:u w:val="single"/>
      </w:rPr>
      <w:t xml:space="preserve">                                                                                                 </w:t>
    </w:r>
  </w:p>
  <w:p w14:paraId="218840FB">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31645">
    <w:pPr>
      <w:pStyle w:val="6"/>
      <w:rPr>
        <w:rFonts w:hint="eastAsia" w:ascii="仿宋_GB2312" w:eastAsia="仿宋_GB2312"/>
        <w:bCs/>
        <w:u w:val="single"/>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0F794">
                          <w:pPr>
                            <w:pStyle w:val="6"/>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F0F794">
                    <w:pPr>
                      <w:pStyle w:val="6"/>
                    </w:pPr>
                    <w:r>
                      <w:fldChar w:fldCharType="begin"/>
                    </w:r>
                    <w:r>
                      <w:instrText xml:space="preserve"> PAGE  \* MERGEFORMAT </w:instrText>
                    </w:r>
                    <w:r>
                      <w:fldChar w:fldCharType="separate"/>
                    </w:r>
                    <w:r>
                      <w:t>15</w:t>
                    </w:r>
                    <w:r>
                      <w:fldChar w:fldCharType="end"/>
                    </w:r>
                  </w:p>
                </w:txbxContent>
              </v:textbox>
            </v:shape>
          </w:pict>
        </mc:Fallback>
      </mc:AlternateContent>
    </w:r>
    <w:r>
      <w:rPr>
        <w:rFonts w:hint="eastAsia" w:ascii="仿宋_GB2312" w:eastAsia="仿宋_GB2312"/>
        <w:bCs/>
        <w:u w:val="single"/>
      </w:rPr>
      <w:t xml:space="preserve">                                                                                                 </w:t>
    </w:r>
  </w:p>
  <w:p w14:paraId="67F2DAB5">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B277D">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68914C"/>
    <w:multiLevelType w:val="singleLevel"/>
    <w:tmpl w:val="BB68914C"/>
    <w:lvl w:ilvl="0" w:tentative="0">
      <w:start w:val="2"/>
      <w:numFmt w:val="chineseCounting"/>
      <w:suff w:val="nothing"/>
      <w:lvlText w:val="%1、"/>
      <w:lvlJc w:val="left"/>
      <w:rPr>
        <w:rFonts w:hint="eastAsia"/>
      </w:rPr>
    </w:lvl>
  </w:abstractNum>
  <w:abstractNum w:abstractNumId="1">
    <w:nsid w:val="FC781D9E"/>
    <w:multiLevelType w:val="singleLevel"/>
    <w:tmpl w:val="FC781D9E"/>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3YmMxNGQ0NDE0NTRiYjQ3MWFkZjk1MWM2MTc2NWEifQ=="/>
  </w:docVars>
  <w:rsids>
    <w:rsidRoot w:val="6DE375E4"/>
    <w:rsid w:val="00AE556A"/>
    <w:rsid w:val="01350E35"/>
    <w:rsid w:val="02390242"/>
    <w:rsid w:val="03A85628"/>
    <w:rsid w:val="03E43FAE"/>
    <w:rsid w:val="04653F41"/>
    <w:rsid w:val="04B72FC8"/>
    <w:rsid w:val="04F57A38"/>
    <w:rsid w:val="050719CA"/>
    <w:rsid w:val="06934BAA"/>
    <w:rsid w:val="06E91EC4"/>
    <w:rsid w:val="086F75C9"/>
    <w:rsid w:val="09C0303A"/>
    <w:rsid w:val="0A3F4F3C"/>
    <w:rsid w:val="0A6D3244"/>
    <w:rsid w:val="0A8A74D4"/>
    <w:rsid w:val="0CAD77BD"/>
    <w:rsid w:val="0CD87BD4"/>
    <w:rsid w:val="0E331420"/>
    <w:rsid w:val="0EBC028B"/>
    <w:rsid w:val="0EDD1643"/>
    <w:rsid w:val="0FB9029C"/>
    <w:rsid w:val="10897B23"/>
    <w:rsid w:val="10914EF9"/>
    <w:rsid w:val="10B8663C"/>
    <w:rsid w:val="12080B62"/>
    <w:rsid w:val="12994AC5"/>
    <w:rsid w:val="129F447F"/>
    <w:rsid w:val="12C86253"/>
    <w:rsid w:val="14D816D1"/>
    <w:rsid w:val="14E40477"/>
    <w:rsid w:val="15060AC8"/>
    <w:rsid w:val="15125EAE"/>
    <w:rsid w:val="15675A4C"/>
    <w:rsid w:val="15B67DFF"/>
    <w:rsid w:val="17F91BB8"/>
    <w:rsid w:val="193E7D91"/>
    <w:rsid w:val="1943608F"/>
    <w:rsid w:val="19E40286"/>
    <w:rsid w:val="19E91315"/>
    <w:rsid w:val="1AF56B46"/>
    <w:rsid w:val="1CE412C7"/>
    <w:rsid w:val="1D5071B5"/>
    <w:rsid w:val="1DD7486D"/>
    <w:rsid w:val="1E79119D"/>
    <w:rsid w:val="1F334F58"/>
    <w:rsid w:val="1F796B24"/>
    <w:rsid w:val="1FC602A8"/>
    <w:rsid w:val="1FE73549"/>
    <w:rsid w:val="2038045E"/>
    <w:rsid w:val="20AF0900"/>
    <w:rsid w:val="20B41DA7"/>
    <w:rsid w:val="21C61C7A"/>
    <w:rsid w:val="2383771E"/>
    <w:rsid w:val="23F374DB"/>
    <w:rsid w:val="24881A32"/>
    <w:rsid w:val="25266F96"/>
    <w:rsid w:val="267547DF"/>
    <w:rsid w:val="272B6E6C"/>
    <w:rsid w:val="27CF2BB7"/>
    <w:rsid w:val="2821285F"/>
    <w:rsid w:val="28E81B29"/>
    <w:rsid w:val="28FD390A"/>
    <w:rsid w:val="29B45A41"/>
    <w:rsid w:val="2A174DA9"/>
    <w:rsid w:val="2AB010A8"/>
    <w:rsid w:val="2AC66F99"/>
    <w:rsid w:val="2C0A2E19"/>
    <w:rsid w:val="2C7642D0"/>
    <w:rsid w:val="2CC97A35"/>
    <w:rsid w:val="2DD77C64"/>
    <w:rsid w:val="2DDA1E78"/>
    <w:rsid w:val="2DE00B8C"/>
    <w:rsid w:val="2EAC037F"/>
    <w:rsid w:val="2EB67A5C"/>
    <w:rsid w:val="302741D2"/>
    <w:rsid w:val="308B184D"/>
    <w:rsid w:val="309C1E01"/>
    <w:rsid w:val="30BB11DD"/>
    <w:rsid w:val="31F17CD1"/>
    <w:rsid w:val="324F4D43"/>
    <w:rsid w:val="33384C93"/>
    <w:rsid w:val="340F06E9"/>
    <w:rsid w:val="34C12F54"/>
    <w:rsid w:val="34F140E5"/>
    <w:rsid w:val="366241E2"/>
    <w:rsid w:val="36B66AAC"/>
    <w:rsid w:val="36E47928"/>
    <w:rsid w:val="372F7378"/>
    <w:rsid w:val="37BA0809"/>
    <w:rsid w:val="397348CD"/>
    <w:rsid w:val="3A1D1A14"/>
    <w:rsid w:val="3A8E0AB7"/>
    <w:rsid w:val="3A994AB7"/>
    <w:rsid w:val="3B3B544D"/>
    <w:rsid w:val="3B654F2B"/>
    <w:rsid w:val="3BB72BAE"/>
    <w:rsid w:val="3BFC7D2B"/>
    <w:rsid w:val="3C7C799C"/>
    <w:rsid w:val="3C8A61A4"/>
    <w:rsid w:val="3D5E17FF"/>
    <w:rsid w:val="3DC534FA"/>
    <w:rsid w:val="3DF93413"/>
    <w:rsid w:val="3DFD1951"/>
    <w:rsid w:val="3E1F0DA4"/>
    <w:rsid w:val="3E584E51"/>
    <w:rsid w:val="3E6E70D5"/>
    <w:rsid w:val="3EBE1ADE"/>
    <w:rsid w:val="403B4B34"/>
    <w:rsid w:val="4140452A"/>
    <w:rsid w:val="414D7889"/>
    <w:rsid w:val="41BB0BAE"/>
    <w:rsid w:val="425629F5"/>
    <w:rsid w:val="4284152B"/>
    <w:rsid w:val="429A4992"/>
    <w:rsid w:val="435B161D"/>
    <w:rsid w:val="43B25DAC"/>
    <w:rsid w:val="44771DFD"/>
    <w:rsid w:val="45D569C3"/>
    <w:rsid w:val="479B74B7"/>
    <w:rsid w:val="48735221"/>
    <w:rsid w:val="49E92B05"/>
    <w:rsid w:val="4A354E62"/>
    <w:rsid w:val="4AEE1A11"/>
    <w:rsid w:val="4B7F39F4"/>
    <w:rsid w:val="4BAE646F"/>
    <w:rsid w:val="4CAC1559"/>
    <w:rsid w:val="4D754257"/>
    <w:rsid w:val="4DCD6AB3"/>
    <w:rsid w:val="4EE7662F"/>
    <w:rsid w:val="50216DCD"/>
    <w:rsid w:val="50540C20"/>
    <w:rsid w:val="506258C6"/>
    <w:rsid w:val="51AC28BD"/>
    <w:rsid w:val="52183ACC"/>
    <w:rsid w:val="53B55872"/>
    <w:rsid w:val="544055F2"/>
    <w:rsid w:val="54AD4386"/>
    <w:rsid w:val="5587625E"/>
    <w:rsid w:val="55D8243C"/>
    <w:rsid w:val="581A7C72"/>
    <w:rsid w:val="583A4BD7"/>
    <w:rsid w:val="59C74B1F"/>
    <w:rsid w:val="5A886F59"/>
    <w:rsid w:val="604D5946"/>
    <w:rsid w:val="60F32988"/>
    <w:rsid w:val="611B6B1B"/>
    <w:rsid w:val="62C222C2"/>
    <w:rsid w:val="632D7C40"/>
    <w:rsid w:val="64133D6A"/>
    <w:rsid w:val="64245572"/>
    <w:rsid w:val="66C30AF5"/>
    <w:rsid w:val="678E4F5D"/>
    <w:rsid w:val="67F3562A"/>
    <w:rsid w:val="680E122C"/>
    <w:rsid w:val="6A4E1D63"/>
    <w:rsid w:val="6B592423"/>
    <w:rsid w:val="6C486FE4"/>
    <w:rsid w:val="6CA409DF"/>
    <w:rsid w:val="6DE375E4"/>
    <w:rsid w:val="6E8E5287"/>
    <w:rsid w:val="6FAC3B48"/>
    <w:rsid w:val="6FAD463B"/>
    <w:rsid w:val="6FBE332C"/>
    <w:rsid w:val="70CE0BC9"/>
    <w:rsid w:val="71554367"/>
    <w:rsid w:val="71584067"/>
    <w:rsid w:val="71F26E91"/>
    <w:rsid w:val="735201FF"/>
    <w:rsid w:val="737B50A4"/>
    <w:rsid w:val="73F40E72"/>
    <w:rsid w:val="74566F5C"/>
    <w:rsid w:val="750117A8"/>
    <w:rsid w:val="751301BD"/>
    <w:rsid w:val="755B2270"/>
    <w:rsid w:val="75E27514"/>
    <w:rsid w:val="7612420D"/>
    <w:rsid w:val="76920D75"/>
    <w:rsid w:val="76C47877"/>
    <w:rsid w:val="77423DFF"/>
    <w:rsid w:val="783B5EA9"/>
    <w:rsid w:val="79EB699D"/>
    <w:rsid w:val="7B0620DE"/>
    <w:rsid w:val="7BBF44BB"/>
    <w:rsid w:val="7BF15CE4"/>
    <w:rsid w:val="7C1D4FC3"/>
    <w:rsid w:val="7C3A27E5"/>
    <w:rsid w:val="7D9727DD"/>
    <w:rsid w:val="7EFB4F6E"/>
    <w:rsid w:val="7F164138"/>
    <w:rsid w:val="7F1A5E95"/>
    <w:rsid w:val="7FFB08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3">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Indent"/>
    <w:basedOn w:val="1"/>
    <w:qFormat/>
    <w:uiPriority w:val="99"/>
    <w:pPr>
      <w:spacing w:line="400" w:lineRule="exact"/>
      <w:ind w:left="630"/>
    </w:pPr>
    <w:rPr>
      <w:rFonts w:ascii="楷体_GB2312"/>
      <w:sz w:val="30"/>
      <w:szCs w:val="30"/>
    </w:rPr>
  </w:style>
  <w:style w:type="paragraph" w:styleId="5">
    <w:name w:val="Date"/>
    <w:basedOn w:val="1"/>
    <w:next w:val="1"/>
    <w:qFormat/>
    <w:uiPriority w:val="0"/>
    <w:rPr>
      <w:color w:val="000000"/>
      <w:kern w:val="0"/>
      <w:sz w:val="30"/>
    </w:r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4"/>
    <w:qFormat/>
    <w:uiPriority w:val="0"/>
    <w:pPr>
      <w:overflowPunct w:val="0"/>
      <w:adjustRightInd w:val="0"/>
      <w:spacing w:line="500" w:lineRule="exact"/>
      <w:ind w:firstLine="420" w:firstLineChars="200"/>
      <w:textAlignment w:val="baseline"/>
    </w:pPr>
    <w:rPr>
      <w:rFonts w:eastAsia="仿宋_GB2312"/>
      <w:kern w:val="28"/>
      <w:sz w:val="28"/>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正文格式"/>
    <w:basedOn w:val="1"/>
    <w:qFormat/>
    <w:uiPriority w:val="0"/>
    <w:pPr>
      <w:widowControl/>
      <w:adjustRightInd w:val="0"/>
      <w:snapToGrid w:val="0"/>
      <w:spacing w:line="400" w:lineRule="atLeast"/>
      <w:ind w:firstLine="482"/>
      <w:textAlignment w:val="baseline"/>
    </w:pPr>
    <w:rPr>
      <w:kern w:val="0"/>
      <w:sz w:val="24"/>
    </w:rPr>
  </w:style>
  <w:style w:type="paragraph" w:customStyle="1" w:styleId="14">
    <w:name w:val="Default"/>
    <w:next w:val="1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5">
    <w:name w:val="大标题"/>
    <w:basedOn w:val="1"/>
    <w:next w:val="9"/>
    <w:qFormat/>
    <w:uiPriority w:val="0"/>
    <w:pPr>
      <w:jc w:val="center"/>
    </w:pPr>
    <w:rPr>
      <w:rFonts w:ascii="Arial" w:hAnsi="Arial" w:eastAsia="宋体"/>
      <w:b/>
      <w:sz w:val="28"/>
      <w:szCs w:val="24"/>
    </w:rPr>
  </w:style>
  <w:style w:type="paragraph" w:customStyle="1" w:styleId="16">
    <w:name w:val="列出段落1"/>
    <w:basedOn w:val="1"/>
    <w:qFormat/>
    <w:uiPriority w:val="99"/>
    <w:pPr>
      <w:ind w:firstLine="420" w:firstLineChars="200"/>
    </w:pPr>
  </w:style>
  <w:style w:type="paragraph" w:customStyle="1" w:styleId="17">
    <w:name w:val="无间隔1"/>
    <w:qFormat/>
    <w:uiPriority w:val="0"/>
    <w:pPr>
      <w:widowControl w:val="0"/>
      <w:jc w:val="both"/>
    </w:pPr>
    <w:rPr>
      <w:rFonts w:ascii="Calibri" w:hAnsi="Calibri" w:eastAsia="宋体" w:cs="Times New Roman"/>
      <w:kern w:val="2"/>
      <w:sz w:val="21"/>
      <w:szCs w:val="22"/>
      <w:lang w:val="en-US" w:eastAsia="zh-CN" w:bidi="ar-SA"/>
    </w:rPr>
  </w:style>
  <w:style w:type="paragraph" w:styleId="18">
    <w:name w:val="List Paragraph"/>
    <w:basedOn w:val="1"/>
    <w:qFormat/>
    <w:uiPriority w:val="34"/>
    <w:pPr>
      <w:ind w:firstLine="420" w:firstLineChars="200"/>
    </w:pPr>
    <w:rPr>
      <w:rFonts w:ascii="Calibri" w:hAnsi="Calibri"/>
      <w:szCs w:val="22"/>
    </w:rPr>
  </w:style>
  <w:style w:type="paragraph" w:customStyle="1" w:styleId="19">
    <w:name w:val="Table Text"/>
    <w:basedOn w:val="1"/>
    <w:semiHidden/>
    <w:qFormat/>
    <w:uiPriority w:val="0"/>
    <w:rPr>
      <w:rFonts w:ascii="宋体" w:hAnsi="宋体" w:eastAsia="宋体" w:cs="宋体"/>
      <w:sz w:val="22"/>
      <w:szCs w:val="22"/>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10595</Words>
  <Characters>11213</Characters>
  <Lines>0</Lines>
  <Paragraphs>0</Paragraphs>
  <TotalTime>1</TotalTime>
  <ScaleCrop>false</ScaleCrop>
  <LinksUpToDate>false</LinksUpToDate>
  <CharactersWithSpaces>12322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2023-07-17T09:45:00Z</dcterms:created>
  <dc:creator>是小豹子</dc:creator>
  <cp:lastModifiedBy>张思远</cp:lastModifiedBy>
  <dcterms:modified xsi:type="dcterms:W3CDTF">2026-01-09T05:40:06Z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3505A2AB25E048A4A9B0E6A6741CA1BA_11</vt:lpwstr>
  </property>
  <property fmtid="{D5CDD505-2E9C-101B-9397-08002B2CF9AE}" pid="4" name="KSOTemplateDocerSaveRecord">
    <vt:lpwstr>eyJoZGlkIjoiOWU3YmMxNGQ0NDE0NTRiYjQ3MWFkZjk1MWM2MTc2NWEiLCJ1c2VySWQiOiI0NDIzNjcyODQifQ==</vt:lpwstr>
  </property>
</Properties>
</file>