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体检卡参数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1、磁卡符合IS07810标准，严格按照IS09001标准及金融卡和银联卡的检验标 准生产。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2、磁条材质：优质亚美磁条，磁力强度22750 OE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3、卡片质料：采用PVC材料，具有防油、防水、抗折压、色彩保存时间久、不 褪色等优点。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4、卡规格尺寸应符合国标标准尺寸（85. 5mm*54mm*0. 76mm）。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5、湿度条件卡尺寸的稳定性：-10至50,应符合IS07810标准中的规定。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6、耐化学性：不呈现任何有害影响。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7、动态弯曲应力：在1000次弯曲后，卡保持其功能完好，且不应有任何破裂。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8、紫外线：按规定的辐照度和曝光时间，卡片具有可测试的功能。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9、粘连和并块：在规定的时间及环境下，5张样卡堆积在一起，应不呈现有害 影响，并且易于用手分开。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10、静磁场：暴露在标准规定的静磁场中，卡应具有可测试的功能。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11、磁卡使用寿命（次数）N20000次。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12、贴合性须紧密：不能产生圆角开口及透明表层剥落。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13、卡片边绝缘毛边（齿锯状毛边）凸起高度不得超过平面0. 08mm,不影响卡表 面接触读写器。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14、卡片弯曲度：裁制完成之卡必须平直,其曲度、垂直间隙必须在1. 27mm以下。凸字后其 曲度垂直间隙必须在2. 03mm以下，叠合层不得剥离或脱落。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15、正反面印刷按用户指定的图样和文字。卡片正反面为四色胶印，保证印刷 图案清晰，还原度好，无错位；图像精度400dpi；图像色彩模式：必须使用CMYK （Cyan青，Magenta品红，Yellow黄，black黑）四色印刷模式，不得使用RGB （Red红，Green绿，Blue蓝）三原色模式；印刷质量必须保证、通常套色误差 在0. 15mm以下。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16、卡号内容根据客户要求自行定义。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17、磁条轨道写磁由客户自行定义。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18、配合医院LIS系统，可加印条形码（明码或暗码）和二维码，方便医院使用。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19、产品采用统一包装纸箱包装，包装坚韧、牢固、可靠，保证在整个运输过程 中不会发生散落、损坏等，防止受到外力、高温、潮湿、腐蚀、太阳辐射等因素 而引起变形、缺损、污染、氧化、霉烂，并且保证卡片在正常条件下可以平安仓 储；产品采用统一包装，内分小盒，每200张一小盒，每小盒单独塑封，每封5000张一大箱，包装箱外粘贴出货清单，表明箱内装卡的序号、名称、数量。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★20、竞价人需带产品实物来购买人单位，完成与之配套的应用管理程序符合性测试，经确认无兼容性和相关其他问题后，再行报价。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测试联系人：干部保健科/谭主任13873814146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jQ3NzEyNDNkNjliYTRmNGI3YjRjNjU2OGIyY2MifQ=="/>
  </w:docVars>
  <w:rsids>
    <w:rsidRoot w:val="00000000"/>
    <w:rsid w:val="1FB85605"/>
    <w:rsid w:val="53544AC1"/>
    <w:rsid w:val="649B6672"/>
    <w:rsid w:val="7720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2024-03-06T03:22:00Z</dcterms:created>
  <dc:creator>18739</dc:creator>
  <cp:lastModifiedBy>蓝色贝雷</cp:lastModifiedBy>
  <cp:lastPrinted>2024-03-06T10:06:11Z</cp:lastPrinted>
  <dcterms:modified xsi:type="dcterms:W3CDTF">2024-03-06T10:14:01Z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206B3B9A3D3946C4AF284C69935F44E1_12</vt:lpwstr>
  </property>
</Properties>
</file>