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E6CB9">
      <w:pPr>
        <w:pStyle w:val="6"/>
        <w:snapToGrid w:val="0"/>
        <w:jc w:val="center"/>
        <w:rPr>
          <w:rFonts w:ascii="Arial" w:hAnsi="Arial" w:eastAsia="方正小标宋简体" w:cs="Arial"/>
          <w:color w:val="auto"/>
          <w:sz w:val="72"/>
          <w:szCs w:val="72"/>
        </w:rPr>
      </w:pPr>
      <w:bookmarkStart w:id="5" w:name="_GoBack"/>
      <w:bookmarkEnd w:id="5"/>
    </w:p>
    <w:p w14:paraId="2E98DCBA">
      <w:pPr>
        <w:pStyle w:val="6"/>
        <w:tabs>
          <w:tab w:val="left" w:pos="312"/>
        </w:tabs>
        <w:snapToGrid w:val="0"/>
        <w:spacing w:line="288" w:lineRule="auto"/>
        <w:jc w:val="center"/>
        <w:rPr>
          <w:rFonts w:hint="eastAsia" w:ascii="Arial" w:hAnsi="Arial" w:eastAsia="方正小标宋简体" w:cs="Arial"/>
          <w:color w:val="auto"/>
          <w:sz w:val="72"/>
          <w:szCs w:val="72"/>
          <w:lang w:eastAsia="zh-CN"/>
        </w:rPr>
      </w:pPr>
      <w:bookmarkStart w:id="0" w:name="_Toc16523570"/>
      <w:r>
        <w:rPr>
          <w:rFonts w:hint="eastAsia" w:ascii="Arial" w:hAnsi="Arial" w:eastAsia="方正小标宋简体" w:cs="Arial"/>
          <w:color w:val="auto"/>
          <w:sz w:val="72"/>
          <w:szCs w:val="72"/>
        </w:rPr>
        <w:t>娄底市中心医院</w:t>
      </w:r>
      <w:r>
        <w:rPr>
          <w:rFonts w:hint="eastAsia" w:ascii="Arial" w:hAnsi="Arial" w:eastAsia="方正小标宋简体" w:cs="Arial"/>
          <w:color w:val="auto"/>
          <w:sz w:val="72"/>
          <w:szCs w:val="72"/>
          <w:lang w:eastAsia="zh-CN"/>
        </w:rPr>
        <w:t>院内</w:t>
      </w:r>
    </w:p>
    <w:p w14:paraId="2D54DD90">
      <w:pPr>
        <w:pStyle w:val="6"/>
        <w:snapToGrid w:val="0"/>
        <w:jc w:val="center"/>
        <w:rPr>
          <w:rFonts w:ascii="Arial" w:hAnsi="Arial" w:eastAsia="方正小标宋简体" w:cs="Arial"/>
          <w:color w:val="auto"/>
          <w:sz w:val="72"/>
          <w:szCs w:val="72"/>
        </w:rPr>
      </w:pPr>
    </w:p>
    <w:p w14:paraId="692D2DB5">
      <w:pPr>
        <w:pStyle w:val="6"/>
        <w:snapToGrid w:val="0"/>
        <w:jc w:val="center"/>
        <w:rPr>
          <w:rFonts w:hint="eastAsia" w:ascii="Arial" w:hAnsi="Arial" w:eastAsia="方正小标宋简体" w:cs="Arial"/>
          <w:color w:val="auto"/>
          <w:sz w:val="72"/>
          <w:szCs w:val="72"/>
          <w:lang w:eastAsia="zh-CN"/>
        </w:rPr>
      </w:pPr>
      <w:r>
        <w:rPr>
          <w:rFonts w:hint="eastAsia" w:ascii="Arial" w:hAnsi="Arial" w:eastAsia="方正小标宋简体" w:cs="Arial"/>
          <w:color w:val="auto"/>
          <w:sz w:val="72"/>
          <w:szCs w:val="72"/>
          <w:lang w:eastAsia="zh-CN"/>
        </w:rPr>
        <w:t>招</w:t>
      </w:r>
    </w:p>
    <w:p w14:paraId="0DADCB48">
      <w:pPr>
        <w:pStyle w:val="6"/>
        <w:snapToGrid w:val="0"/>
        <w:jc w:val="center"/>
        <w:rPr>
          <w:rFonts w:hint="eastAsia" w:ascii="Arial" w:hAnsi="Arial" w:eastAsia="方正小标宋简体" w:cs="Arial"/>
          <w:color w:val="auto"/>
          <w:sz w:val="72"/>
          <w:szCs w:val="72"/>
          <w:lang w:eastAsia="zh-CN"/>
        </w:rPr>
      </w:pPr>
    </w:p>
    <w:p w14:paraId="788AF8A4">
      <w:pPr>
        <w:pStyle w:val="6"/>
        <w:snapToGrid w:val="0"/>
        <w:jc w:val="center"/>
        <w:rPr>
          <w:rFonts w:ascii="Arial" w:hAnsi="Arial" w:eastAsia="方正小标宋简体" w:cs="Arial"/>
          <w:color w:val="auto"/>
          <w:sz w:val="72"/>
          <w:szCs w:val="72"/>
        </w:rPr>
      </w:pPr>
      <w:r>
        <w:rPr>
          <w:rFonts w:hint="eastAsia" w:ascii="Arial" w:hAnsi="Arial" w:eastAsia="方正小标宋简体" w:cs="Arial"/>
          <w:color w:val="auto"/>
          <w:sz w:val="72"/>
          <w:szCs w:val="72"/>
          <w:lang w:eastAsia="zh-CN"/>
        </w:rPr>
        <w:t>标</w:t>
      </w:r>
    </w:p>
    <w:p w14:paraId="21BB5C33">
      <w:pPr>
        <w:pStyle w:val="6"/>
        <w:snapToGrid w:val="0"/>
        <w:jc w:val="center"/>
        <w:rPr>
          <w:rFonts w:ascii="Arial" w:hAnsi="Arial" w:eastAsia="方正小标宋简体" w:cs="Arial"/>
          <w:color w:val="auto"/>
          <w:sz w:val="72"/>
          <w:szCs w:val="72"/>
        </w:rPr>
      </w:pPr>
    </w:p>
    <w:p w14:paraId="5F69EBCF">
      <w:pPr>
        <w:pStyle w:val="6"/>
        <w:snapToGrid w:val="0"/>
        <w:jc w:val="center"/>
        <w:rPr>
          <w:rFonts w:ascii="Arial" w:hAnsi="Arial" w:eastAsia="方正小标宋简体" w:cs="Arial"/>
          <w:color w:val="auto"/>
          <w:sz w:val="72"/>
          <w:szCs w:val="72"/>
        </w:rPr>
      </w:pPr>
      <w:r>
        <w:rPr>
          <w:rFonts w:ascii="Arial" w:hAnsi="Arial" w:eastAsia="方正小标宋简体" w:cs="Arial"/>
          <w:color w:val="auto"/>
          <w:sz w:val="72"/>
          <w:szCs w:val="72"/>
        </w:rPr>
        <w:t>文</w:t>
      </w:r>
    </w:p>
    <w:p w14:paraId="503B679C">
      <w:pPr>
        <w:pStyle w:val="6"/>
        <w:snapToGrid w:val="0"/>
        <w:jc w:val="center"/>
        <w:rPr>
          <w:rFonts w:ascii="Arial" w:hAnsi="Arial" w:eastAsia="方正小标宋简体" w:cs="Arial"/>
          <w:color w:val="auto"/>
          <w:sz w:val="72"/>
          <w:szCs w:val="72"/>
        </w:rPr>
      </w:pPr>
    </w:p>
    <w:p w14:paraId="2B2937B0">
      <w:pPr>
        <w:pStyle w:val="6"/>
        <w:snapToGrid w:val="0"/>
        <w:jc w:val="center"/>
        <w:rPr>
          <w:rFonts w:ascii="Arial" w:hAnsi="Arial" w:eastAsia="方正小标宋简体" w:cs="Arial"/>
          <w:color w:val="auto"/>
          <w:sz w:val="36"/>
          <w:szCs w:val="36"/>
        </w:rPr>
      </w:pPr>
      <w:r>
        <w:rPr>
          <w:rFonts w:ascii="Arial" w:hAnsi="Arial" w:eastAsia="方正小标宋简体" w:cs="Arial"/>
          <w:color w:val="auto"/>
          <w:sz w:val="72"/>
          <w:szCs w:val="72"/>
        </w:rPr>
        <w:t>件</w:t>
      </w:r>
    </w:p>
    <w:p w14:paraId="1E111AF1">
      <w:pPr>
        <w:pStyle w:val="6"/>
        <w:snapToGrid w:val="0"/>
        <w:jc w:val="center"/>
        <w:rPr>
          <w:rFonts w:ascii="Arial" w:hAnsi="Arial" w:cs="Arial"/>
          <w:color w:val="auto"/>
          <w:sz w:val="32"/>
          <w:szCs w:val="32"/>
        </w:rPr>
      </w:pPr>
    </w:p>
    <w:p w14:paraId="2E067A04">
      <w:pPr>
        <w:pStyle w:val="6"/>
        <w:snapToGrid w:val="0"/>
        <w:jc w:val="center"/>
        <w:rPr>
          <w:rFonts w:ascii="Arial" w:hAnsi="Arial" w:cs="Arial"/>
          <w:color w:val="auto"/>
          <w:sz w:val="32"/>
          <w:szCs w:val="32"/>
        </w:rPr>
      </w:pPr>
    </w:p>
    <w:p w14:paraId="20A09B03">
      <w:pPr>
        <w:pStyle w:val="6"/>
        <w:snapToGrid w:val="0"/>
        <w:jc w:val="center"/>
        <w:rPr>
          <w:rFonts w:ascii="Arial" w:hAnsi="Arial" w:cs="Arial"/>
          <w:color w:val="auto"/>
          <w:sz w:val="32"/>
          <w:szCs w:val="32"/>
        </w:rPr>
      </w:pPr>
    </w:p>
    <w:p w14:paraId="47A0C992">
      <w:pPr>
        <w:spacing w:line="360" w:lineRule="auto"/>
        <w:rPr>
          <w:rFonts w:hint="eastAsia"/>
          <w:bCs/>
          <w:color w:val="auto"/>
          <w:sz w:val="32"/>
          <w:szCs w:val="32"/>
        </w:rPr>
      </w:pPr>
    </w:p>
    <w:p w14:paraId="0ED340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eastAsia="宋体"/>
          <w:bCs/>
          <w:color w:val="auto"/>
          <w:sz w:val="32"/>
          <w:szCs w:val="32"/>
          <w:lang w:eastAsia="zh-CN"/>
        </w:rPr>
      </w:pPr>
      <w:r>
        <w:rPr>
          <w:rFonts w:hint="eastAsia"/>
          <w:bCs/>
          <w:color w:val="auto"/>
          <w:sz w:val="32"/>
          <w:szCs w:val="32"/>
        </w:rPr>
        <w:t>项目名称：</w:t>
      </w:r>
      <w:r>
        <w:rPr>
          <w:rFonts w:hint="eastAsia"/>
          <w:bCs/>
          <w:color w:val="auto"/>
          <w:sz w:val="32"/>
          <w:szCs w:val="32"/>
          <w:lang w:val="en-US" w:eastAsia="zh-CN"/>
        </w:rPr>
        <w:t>娄底市</w:t>
      </w:r>
      <w:r>
        <w:rPr>
          <w:rFonts w:hint="eastAsia"/>
          <w:bCs/>
          <w:color w:val="auto"/>
          <w:sz w:val="32"/>
          <w:szCs w:val="32"/>
        </w:rPr>
        <w:t>中心医院</w:t>
      </w:r>
      <w:r>
        <w:rPr>
          <w:rFonts w:hint="eastAsia" w:cs="Times New Roman"/>
          <w:bCs/>
          <w:color w:val="auto"/>
          <w:sz w:val="32"/>
          <w:szCs w:val="32"/>
          <w:lang w:eastAsia="zh-CN"/>
        </w:rPr>
        <w:t>急诊医技楼电梯维保服务</w:t>
      </w:r>
      <w:r>
        <w:rPr>
          <w:rFonts w:hint="eastAsia"/>
          <w:bCs/>
          <w:color w:val="auto"/>
          <w:sz w:val="32"/>
          <w:szCs w:val="32"/>
          <w:lang w:eastAsia="zh-CN"/>
        </w:rPr>
        <w:t>招标</w:t>
      </w:r>
      <w:r>
        <w:rPr>
          <w:rFonts w:hint="eastAsia"/>
          <w:bCs/>
          <w:color w:val="auto"/>
          <w:sz w:val="32"/>
          <w:szCs w:val="32"/>
        </w:rPr>
        <w:t>文件</w:t>
      </w:r>
      <w:r>
        <w:rPr>
          <w:rFonts w:hint="eastAsia"/>
          <w:bCs/>
          <w:color w:val="auto"/>
          <w:sz w:val="32"/>
          <w:szCs w:val="32"/>
          <w:lang w:val="en-US" w:eastAsia="zh-CN"/>
        </w:rPr>
        <w:t>(第二次)</w:t>
      </w:r>
      <w:r>
        <w:rPr>
          <w:rFonts w:hint="eastAsia"/>
          <w:bCs/>
          <w:color w:val="auto"/>
          <w:sz w:val="32"/>
          <w:szCs w:val="32"/>
          <w:lang w:eastAsia="zh-CN"/>
        </w:rPr>
        <w:t>院内招标</w:t>
      </w:r>
    </w:p>
    <w:p w14:paraId="0752DD91">
      <w:pPr>
        <w:spacing w:line="320" w:lineRule="exact"/>
        <w:jc w:val="left"/>
        <w:rPr>
          <w:color w:val="auto"/>
          <w:sz w:val="24"/>
        </w:rPr>
      </w:pPr>
    </w:p>
    <w:p w14:paraId="05F94062">
      <w:pPr>
        <w:spacing w:line="320" w:lineRule="exact"/>
        <w:ind w:firstLine="3520" w:firstLineChars="1100"/>
        <w:jc w:val="both"/>
        <w:rPr>
          <w:rFonts w:hint="eastAsia" w:ascii="宋体" w:hAnsi="宋体" w:cs="宋体"/>
          <w:bCs/>
          <w:color w:val="auto"/>
          <w:sz w:val="32"/>
          <w:szCs w:val="32"/>
        </w:rPr>
      </w:pPr>
      <w:r>
        <w:rPr>
          <w:rFonts w:hint="eastAsia" w:ascii="宋体" w:hAnsi="宋体" w:cs="宋体"/>
          <w:bCs/>
          <w:color w:val="auto"/>
          <w:sz w:val="32"/>
          <w:szCs w:val="32"/>
        </w:rPr>
        <w:t>二〇二</w:t>
      </w:r>
      <w:r>
        <w:rPr>
          <w:rFonts w:hint="eastAsia" w:ascii="宋体" w:hAnsi="宋体" w:cs="宋体"/>
          <w:bCs/>
          <w:color w:val="auto"/>
          <w:sz w:val="32"/>
          <w:szCs w:val="32"/>
          <w:lang w:val="en-US" w:eastAsia="zh-CN"/>
        </w:rPr>
        <w:t>六</w:t>
      </w:r>
      <w:r>
        <w:rPr>
          <w:rFonts w:hint="eastAsia" w:ascii="宋体" w:hAnsi="宋体" w:cs="宋体"/>
          <w:bCs/>
          <w:color w:val="auto"/>
          <w:sz w:val="32"/>
          <w:szCs w:val="32"/>
        </w:rPr>
        <w:t>年</w:t>
      </w:r>
      <w:r>
        <w:rPr>
          <w:rFonts w:hint="eastAsia" w:ascii="宋体" w:hAnsi="宋体" w:cs="宋体"/>
          <w:bCs/>
          <w:color w:val="auto"/>
          <w:sz w:val="32"/>
          <w:szCs w:val="32"/>
          <w:lang w:val="en-US" w:eastAsia="zh-CN"/>
        </w:rPr>
        <w:t>二</w:t>
      </w:r>
      <w:r>
        <w:rPr>
          <w:rFonts w:hint="eastAsia" w:ascii="宋体" w:hAnsi="宋体" w:cs="宋体"/>
          <w:bCs/>
          <w:color w:val="auto"/>
          <w:sz w:val="32"/>
          <w:szCs w:val="32"/>
        </w:rPr>
        <w:t>月</w:t>
      </w:r>
    </w:p>
    <w:p w14:paraId="02A5E9BC">
      <w:pPr>
        <w:rPr>
          <w:rFonts w:hint="eastAsia" w:ascii="宋体" w:hAnsi="宋体" w:cs="宋体"/>
          <w:color w:val="auto"/>
          <w:sz w:val="44"/>
          <w:szCs w:val="44"/>
          <w:lang w:val="en-US" w:eastAsia="zh-CN"/>
        </w:rPr>
      </w:pPr>
    </w:p>
    <w:p w14:paraId="46E662AB">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bookmarkEnd w:id="0"/>
    </w:p>
    <w:p w14:paraId="211D5364">
      <w:pPr>
        <w:pStyle w:val="6"/>
        <w:numPr>
          <w:ilvl w:val="0"/>
          <w:numId w:val="0"/>
        </w:numPr>
        <w:tabs>
          <w:tab w:val="left" w:pos="312"/>
        </w:tabs>
        <w:snapToGrid w:val="0"/>
        <w:spacing w:line="480" w:lineRule="auto"/>
        <w:ind w:firstLine="560" w:firstLineChars="200"/>
        <w:rPr>
          <w:rFonts w:hint="eastAsia"/>
          <w:bCs/>
          <w:color w:val="auto"/>
          <w:sz w:val="28"/>
          <w:szCs w:val="28"/>
        </w:rPr>
      </w:pPr>
      <w:r>
        <w:rPr>
          <w:rFonts w:hint="eastAsia" w:ascii="仿宋" w:hAnsi="仿宋" w:eastAsia="仿宋" w:cs="仿宋"/>
          <w:i w:val="0"/>
          <w:iCs w:val="0"/>
          <w:caps w:val="0"/>
          <w:color w:val="auto"/>
          <w:spacing w:val="0"/>
          <w:sz w:val="28"/>
          <w:szCs w:val="28"/>
          <w:shd w:val="clear" w:fill="FFFFFF"/>
          <w:lang w:eastAsia="zh-CN"/>
        </w:rPr>
        <w:t>娄底市中心医院急诊医技楼电梯维保服务项目</w:t>
      </w:r>
      <w:r>
        <w:rPr>
          <w:rFonts w:hint="eastAsia"/>
          <w:bCs/>
          <w:color w:val="auto"/>
          <w:sz w:val="28"/>
          <w:szCs w:val="28"/>
          <w:lang w:val="en-US" w:eastAsia="zh-CN"/>
        </w:rPr>
        <w:t>进行挂网</w:t>
      </w:r>
      <w:r>
        <w:rPr>
          <w:rFonts w:hint="eastAsia"/>
          <w:bCs/>
          <w:color w:val="auto"/>
          <w:sz w:val="28"/>
          <w:szCs w:val="28"/>
        </w:rPr>
        <w:t>，公告如下：</w:t>
      </w:r>
    </w:p>
    <w:p w14:paraId="529A8506">
      <w:pPr>
        <w:pStyle w:val="6"/>
        <w:numPr>
          <w:ilvl w:val="0"/>
          <w:numId w:val="0"/>
        </w:numPr>
        <w:tabs>
          <w:tab w:val="left" w:pos="312"/>
        </w:tabs>
        <w:snapToGrid w:val="0"/>
        <w:spacing w:line="480" w:lineRule="auto"/>
        <w:ind w:firstLine="560" w:firstLineChars="200"/>
        <w:rPr>
          <w:rFonts w:hint="default" w:eastAsia="仿宋_GB2312"/>
          <w:bCs/>
          <w:color w:val="auto"/>
          <w:sz w:val="28"/>
          <w:szCs w:val="28"/>
          <w:lang w:val="en-US" w:eastAsia="zh-CN"/>
        </w:rPr>
      </w:pPr>
      <w:r>
        <w:rPr>
          <w:rFonts w:hint="eastAsia"/>
          <w:bCs/>
          <w:color w:val="auto"/>
          <w:sz w:val="28"/>
          <w:szCs w:val="28"/>
          <w:lang w:val="en-US" w:eastAsia="zh-CN"/>
        </w:rPr>
        <w:t>一、项目信息</w:t>
      </w:r>
    </w:p>
    <w:p w14:paraId="4CB04DB2">
      <w:pPr>
        <w:pStyle w:val="6"/>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 w:val="0"/>
          <w:bCs/>
          <w:color w:val="auto"/>
          <w:sz w:val="28"/>
          <w:szCs w:val="28"/>
          <w:lang w:val="en-US" w:eastAsia="zh-CN"/>
        </w:rPr>
        <w:t>项目名称：</w:t>
      </w:r>
      <w:r>
        <w:rPr>
          <w:rFonts w:hint="eastAsia" w:ascii="仿宋" w:hAnsi="仿宋" w:eastAsia="仿宋" w:cs="仿宋"/>
          <w:i w:val="0"/>
          <w:iCs w:val="0"/>
          <w:caps w:val="0"/>
          <w:color w:val="auto"/>
          <w:spacing w:val="0"/>
          <w:sz w:val="28"/>
          <w:szCs w:val="28"/>
          <w:shd w:val="clear" w:fill="FFFFFF"/>
          <w:lang w:eastAsia="zh-CN"/>
        </w:rPr>
        <w:t>娄底市中心医院急诊医技楼电梯22个月维保服务项目</w:t>
      </w:r>
    </w:p>
    <w:p w14:paraId="578DFB3B">
      <w:pPr>
        <w:pStyle w:val="6"/>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二、采购方式</w:t>
      </w:r>
    </w:p>
    <w:p w14:paraId="264727AD">
      <w:pPr>
        <w:pStyle w:val="6"/>
        <w:numPr>
          <w:ilvl w:val="0"/>
          <w:numId w:val="0"/>
        </w:numPr>
        <w:tabs>
          <w:tab w:val="left" w:pos="312"/>
        </w:tabs>
        <w:snapToGrid w:val="0"/>
        <w:spacing w:line="48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医院公开挂网，最低评标价法，在满足所有参数的条件下，报价最低者中标，如有多个并列最低价，则由并列最低价投标人再次报价，直至出现最低报价为止。</w:t>
      </w:r>
    </w:p>
    <w:p w14:paraId="2481ACB4">
      <w:pPr>
        <w:pStyle w:val="6"/>
        <w:numPr>
          <w:ilvl w:val="0"/>
          <w:numId w:val="1"/>
        </w:numPr>
        <w:tabs>
          <w:tab w:val="left" w:pos="312"/>
        </w:tabs>
        <w:snapToGrid w:val="0"/>
        <w:spacing w:line="480" w:lineRule="auto"/>
        <w:ind w:firstLine="560" w:firstLineChars="200"/>
        <w:rPr>
          <w:rFonts w:hint="eastAsia" w:ascii="仿宋" w:hAnsi="仿宋" w:eastAsia="仿宋" w:cs="仿宋"/>
          <w:color w:val="auto"/>
          <w:sz w:val="28"/>
          <w:szCs w:val="28"/>
        </w:rPr>
      </w:pPr>
      <w:r>
        <w:rPr>
          <w:rFonts w:hint="eastAsia"/>
          <w:bCs/>
          <w:color w:val="auto"/>
          <w:sz w:val="28"/>
          <w:szCs w:val="28"/>
          <w:lang w:val="en-US" w:eastAsia="zh-CN"/>
        </w:rPr>
        <w:t>投标人资格要求</w:t>
      </w:r>
    </w:p>
    <w:p w14:paraId="6DB5151B">
      <w:pPr>
        <w:pStyle w:val="6"/>
        <w:numPr>
          <w:ilvl w:val="0"/>
          <w:numId w:val="0"/>
        </w:numPr>
        <w:tabs>
          <w:tab w:val="left" w:pos="312"/>
        </w:tabs>
        <w:snapToGrid w:val="0"/>
        <w:spacing w:line="48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1.</w:t>
      </w:r>
      <w:r>
        <w:rPr>
          <w:rFonts w:hint="eastAsia" w:ascii="仿宋" w:hAnsi="仿宋" w:eastAsia="仿宋" w:cs="仿宋"/>
          <w:color w:val="auto"/>
          <w:sz w:val="28"/>
          <w:szCs w:val="28"/>
        </w:rPr>
        <w:t>投标人的基本资格条件：投标人必须是在中华人民共和国境内注册登记的法人、其他组织或者自然人，且应当符合《</w:t>
      </w:r>
      <w:r>
        <w:rPr>
          <w:rFonts w:hint="eastAsia" w:ascii="仿宋" w:hAnsi="仿宋" w:eastAsia="仿宋" w:cs="仿宋"/>
          <w:color w:val="auto"/>
          <w:sz w:val="28"/>
          <w:szCs w:val="28"/>
          <w:lang w:eastAsia="zh-CN"/>
        </w:rPr>
        <w:t>中华人民共和国政府采购法</w:t>
      </w:r>
      <w:r>
        <w:rPr>
          <w:rFonts w:hint="eastAsia" w:ascii="仿宋" w:hAnsi="仿宋" w:eastAsia="仿宋" w:cs="仿宋"/>
          <w:color w:val="auto"/>
          <w:sz w:val="28"/>
          <w:szCs w:val="28"/>
        </w:rPr>
        <w:t>》第二十二条第一款的规定，即：</w:t>
      </w:r>
    </w:p>
    <w:p w14:paraId="42EE5785">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（1）具有独立承担民事责任的能力；</w:t>
      </w:r>
    </w:p>
    <w:p w14:paraId="3CBAD015">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（2）具有良好的商业信誉和健全的财务会计制度；</w:t>
      </w:r>
    </w:p>
    <w:p w14:paraId="59C3543A">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（3）具有履行合同所必需的设备和专业技术能力；</w:t>
      </w:r>
    </w:p>
    <w:p w14:paraId="1B5317E0">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（4）有依法缴纳税收和社会保障资金的良好记录；</w:t>
      </w:r>
    </w:p>
    <w:p w14:paraId="038AE15C">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（5）参加政府采购活动前三年内，在经营活动中没有重大违法记录；</w:t>
      </w:r>
    </w:p>
    <w:p w14:paraId="167EB11D">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（6）法律、行政法规规定的其他条件。</w:t>
      </w:r>
    </w:p>
    <w:p w14:paraId="6A49AF48">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联合体投标</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本次招标不接受联合体投标。</w:t>
      </w:r>
    </w:p>
    <w:p w14:paraId="3D052ED2">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3.</w:t>
      </w:r>
      <w:r>
        <w:rPr>
          <w:rFonts w:hint="eastAsia" w:ascii="仿宋" w:hAnsi="仿宋" w:eastAsia="仿宋" w:cs="仿宋"/>
          <w:color w:val="auto"/>
          <w:sz w:val="28"/>
          <w:szCs w:val="28"/>
        </w:rPr>
        <w:t>单位负责人为同一人或者存在直接控股、管理关系的不同投标人，不得参加同一合同项下的政府采购活动。</w:t>
      </w:r>
    </w:p>
    <w:p w14:paraId="0FE93EB5">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4.</w:t>
      </w:r>
      <w:r>
        <w:rPr>
          <w:rFonts w:hint="eastAsia" w:ascii="仿宋" w:hAnsi="仿宋" w:eastAsia="仿宋" w:cs="仿宋"/>
          <w:color w:val="auto"/>
          <w:sz w:val="28"/>
          <w:szCs w:val="28"/>
        </w:rPr>
        <w:t>列入失信被执行人、重大税收违法案件当事人名单，列入政府采购严重违法失信行为记录名单的，拒绝其参与政府采购活动。</w:t>
      </w:r>
    </w:p>
    <w:p w14:paraId="5E6A522D">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p>
    <w:p w14:paraId="4D779DB1">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四、投标截止时间、开标时间及地点：</w:t>
      </w:r>
    </w:p>
    <w:p w14:paraId="396E2A4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1、报名方式及报名内容：包含但不限于将以下信息发至邮箱（28693680@QQ,COM）参与项目名称、公司名称、联系人、联系方式，公司相关资质等；</w:t>
      </w:r>
    </w:p>
    <w:p w14:paraId="3F6D496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2、报名截止时间：自本报名信息发布之日起5个工作日；</w:t>
      </w:r>
    </w:p>
    <w:p w14:paraId="2012B7F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3、开标时间：202</w:t>
      </w:r>
      <w:r>
        <w:rPr>
          <w:rFonts w:hint="eastAsia" w:cs="仿宋_GB2312"/>
          <w:bCs/>
          <w:color w:val="auto"/>
          <w:kern w:val="0"/>
          <w:sz w:val="28"/>
          <w:szCs w:val="28"/>
          <w:lang w:val="en-US" w:eastAsia="zh-CN" w:bidi="ar-SA"/>
        </w:rPr>
        <w:t>6</w:t>
      </w:r>
      <w:r>
        <w:rPr>
          <w:rFonts w:hint="eastAsia" w:ascii="仿宋_GB2312" w:hAnsi="Times New Roman" w:eastAsia="仿宋_GB2312" w:cs="仿宋_GB2312"/>
          <w:bCs/>
          <w:color w:val="auto"/>
          <w:kern w:val="0"/>
          <w:sz w:val="28"/>
          <w:szCs w:val="28"/>
          <w:lang w:val="en-US" w:eastAsia="zh-CN" w:bidi="ar-SA"/>
        </w:rPr>
        <w:t>年</w:t>
      </w:r>
      <w:r>
        <w:rPr>
          <w:rFonts w:hint="eastAsia" w:cs="仿宋_GB2312"/>
          <w:bCs/>
          <w:color w:val="auto"/>
          <w:kern w:val="0"/>
          <w:sz w:val="28"/>
          <w:szCs w:val="28"/>
          <w:lang w:val="en-US" w:eastAsia="zh-CN" w:bidi="ar-SA"/>
        </w:rPr>
        <w:t>2</w:t>
      </w:r>
      <w:r>
        <w:rPr>
          <w:rFonts w:hint="eastAsia" w:ascii="仿宋_GB2312" w:hAnsi="Times New Roman" w:eastAsia="仿宋_GB2312" w:cs="仿宋_GB2312"/>
          <w:bCs/>
          <w:color w:val="auto"/>
          <w:kern w:val="0"/>
          <w:sz w:val="28"/>
          <w:szCs w:val="28"/>
          <w:lang w:val="en-US" w:eastAsia="zh-CN" w:bidi="ar-SA"/>
        </w:rPr>
        <w:t>月</w:t>
      </w:r>
      <w:r>
        <w:rPr>
          <w:rFonts w:hint="eastAsia" w:cs="仿宋_GB2312"/>
          <w:bCs/>
          <w:color w:val="auto"/>
          <w:kern w:val="0"/>
          <w:sz w:val="28"/>
          <w:szCs w:val="28"/>
          <w:lang w:val="en-US" w:eastAsia="zh-CN" w:bidi="ar-SA"/>
        </w:rPr>
        <w:t>26</w:t>
      </w:r>
      <w:r>
        <w:rPr>
          <w:rFonts w:hint="eastAsia" w:ascii="仿宋_GB2312" w:hAnsi="Times New Roman" w:eastAsia="仿宋_GB2312" w:cs="仿宋_GB2312"/>
          <w:bCs/>
          <w:color w:val="auto"/>
          <w:kern w:val="0"/>
          <w:sz w:val="28"/>
          <w:szCs w:val="28"/>
          <w:lang w:val="en-US" w:eastAsia="zh-CN" w:bidi="ar-SA"/>
        </w:rPr>
        <w:t>日</w:t>
      </w:r>
      <w:r>
        <w:rPr>
          <w:rFonts w:hint="eastAsia" w:cs="仿宋_GB2312"/>
          <w:bCs/>
          <w:color w:val="auto"/>
          <w:kern w:val="0"/>
          <w:sz w:val="28"/>
          <w:szCs w:val="28"/>
          <w:lang w:val="en-US" w:eastAsia="zh-CN" w:bidi="ar-SA"/>
        </w:rPr>
        <w:t>9:00</w:t>
      </w:r>
      <w:r>
        <w:rPr>
          <w:rFonts w:hint="eastAsia" w:ascii="仿宋_GB2312" w:hAnsi="Times New Roman" w:eastAsia="仿宋_GB2312" w:cs="仿宋_GB2312"/>
          <w:bCs/>
          <w:color w:val="auto"/>
          <w:kern w:val="0"/>
          <w:sz w:val="28"/>
          <w:szCs w:val="28"/>
          <w:lang w:val="en-US" w:eastAsia="zh-CN" w:bidi="ar-SA"/>
        </w:rPr>
        <w:t>；</w:t>
      </w:r>
    </w:p>
    <w:p w14:paraId="0F04DBBD">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4、开标地点;娄底市中心医院综合楼420室。</w:t>
      </w:r>
    </w:p>
    <w:p w14:paraId="76911C32">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五、招标人地址和联系方法：</w:t>
      </w:r>
    </w:p>
    <w:p w14:paraId="0449468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1、招标人名称：娄底市中心医院</w:t>
      </w:r>
    </w:p>
    <w:p w14:paraId="22CFF104">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2、联系人及联系方式：廖海星 15873871616</w:t>
      </w:r>
    </w:p>
    <w:p w14:paraId="5141471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3、招标人地址：娄底市长青中街51号</w:t>
      </w:r>
    </w:p>
    <w:p w14:paraId="376A01D2">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六、投标须知</w:t>
      </w:r>
    </w:p>
    <w:p w14:paraId="2256C154">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1、否决投标的情形：</w:t>
      </w:r>
    </w:p>
    <w:p w14:paraId="00C887C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1.1、投标人以他人名义投标、串通投标、以行贿手段谋取中标的；</w:t>
      </w:r>
    </w:p>
    <w:p w14:paraId="32666238">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1.2、资格评审时，投标人资格条件不符合国家有关规定或者招标文件要求的，或者拒不按照要求对投标文件进行澄清、说明或补正，或者其说明补正无法证明其为合格投标人的；</w:t>
      </w:r>
    </w:p>
    <w:p w14:paraId="02DB57C6">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1.3、评标委员会认定投标人以低于成本报价竞标的；</w:t>
      </w:r>
    </w:p>
    <w:p w14:paraId="12A7472B">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1.4、投标人未按照要求出席开标会的；</w:t>
      </w:r>
    </w:p>
    <w:p w14:paraId="43B3A0F6">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1.5、投标报价有错误的，评标委员会将要求投标人作出书面澄清说明和确认，投标人拒不作出澄清说明和确认的；</w:t>
      </w:r>
    </w:p>
    <w:p w14:paraId="322FAE91">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1.6、投标文件存在弄虚作假或者隐瞒事实，或者未按照招标文件要求如实提供有关情况和文件，以及证明资料且对投标人有利的，应当否决其投标。被列为中标候选人的，应当取消其中标候选人资格。</w:t>
      </w:r>
    </w:p>
    <w:p w14:paraId="357C720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2、有下列情形之一的，招标人将重新招标：</w:t>
      </w:r>
    </w:p>
    <w:p w14:paraId="58B98DEA">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2.1、投标截止时间止，投标人少于3家的；</w:t>
      </w:r>
    </w:p>
    <w:p w14:paraId="71BCFD3A">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2.2、经评标委员会评审后，符合资格审查的投标人少于3家的。</w:t>
      </w:r>
    </w:p>
    <w:p w14:paraId="573EED2D">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default"/>
          <w:bCs/>
          <w:color w:val="auto"/>
          <w:sz w:val="28"/>
          <w:szCs w:val="28"/>
          <w:lang w:val="en-US" w:eastAsia="zh-CN"/>
        </w:rPr>
      </w:pPr>
      <w:r>
        <w:rPr>
          <w:rFonts w:hint="eastAsia" w:ascii="仿宋_GB2312" w:hAnsi="Times New Roman" w:eastAsia="仿宋_GB2312" w:cs="仿宋_GB2312"/>
          <w:bCs/>
          <w:color w:val="auto"/>
          <w:kern w:val="0"/>
          <w:sz w:val="28"/>
          <w:szCs w:val="28"/>
          <w:lang w:val="en-US" w:eastAsia="zh-CN" w:bidi="ar-SA"/>
        </w:rPr>
        <w:t>3、投标单位必须提供纸质投标文件及电子版投标文件（PDF格式签字盖章版本）</w:t>
      </w:r>
    </w:p>
    <w:p w14:paraId="2AF177D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14:paraId="793AD0A9">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sectPr>
          <w:headerReference r:id="rId3" w:type="default"/>
          <w:footerReference r:id="rId4" w:type="default"/>
          <w:pgSz w:w="11906" w:h="16838"/>
          <w:pgMar w:top="1191" w:right="1587" w:bottom="1020" w:left="1587" w:header="567" w:footer="283" w:gutter="0"/>
          <w:pgNumType w:start="1"/>
          <w:cols w:space="720" w:num="1"/>
          <w:docGrid w:linePitch="312" w:charSpace="0"/>
        </w:sectPr>
      </w:pPr>
    </w:p>
    <w:p w14:paraId="0BDF83F3">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626BB1E6">
      <w:pPr>
        <w:spacing w:line="360" w:lineRule="auto"/>
        <w:ind w:firstLine="560" w:firstLineChars="200"/>
        <w:rPr>
          <w:rFonts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一、采购清单、采购项目交付或者实施的时间和地点</w:t>
      </w:r>
    </w:p>
    <w:p w14:paraId="374A3519">
      <w:pPr>
        <w:spacing w:line="360" w:lineRule="auto"/>
        <w:ind w:firstLine="560" w:firstLineChars="200"/>
        <w:rPr>
          <w:rFonts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1.采购项目</w:t>
      </w:r>
    </w:p>
    <w:tbl>
      <w:tblPr>
        <w:tblStyle w:val="13"/>
        <w:tblW w:w="8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2917"/>
        <w:gridCol w:w="1759"/>
        <w:gridCol w:w="1342"/>
        <w:gridCol w:w="2007"/>
      </w:tblGrid>
      <w:tr w14:paraId="0D1BC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7" w:type="dxa"/>
            <w:tcBorders>
              <w:top w:val="single" w:color="auto" w:sz="4" w:space="0"/>
              <w:left w:val="single" w:color="auto" w:sz="4" w:space="0"/>
              <w:bottom w:val="single" w:color="auto" w:sz="4" w:space="0"/>
              <w:right w:val="single" w:color="auto" w:sz="4" w:space="0"/>
            </w:tcBorders>
            <w:vAlign w:val="center"/>
          </w:tcPr>
          <w:p w14:paraId="25774FB3">
            <w:pPr>
              <w:spacing w:line="360" w:lineRule="auto"/>
              <w:jc w:val="center"/>
              <w:rPr>
                <w:rFonts w:ascii="仿宋_GB2312" w:eastAsia="仿宋_GB2312" w:cs="仿宋_GB2312"/>
                <w:bCs/>
                <w:color w:val="auto"/>
                <w:kern w:val="0"/>
                <w:sz w:val="24"/>
              </w:rPr>
            </w:pPr>
            <w:r>
              <w:rPr>
                <w:rFonts w:ascii="仿宋_GB2312" w:eastAsia="仿宋_GB2312" w:cs="仿宋_GB2312"/>
                <w:bCs/>
                <w:color w:val="auto"/>
                <w:kern w:val="0"/>
                <w:sz w:val="24"/>
              </w:rPr>
              <w:t>序号</w:t>
            </w:r>
          </w:p>
        </w:tc>
        <w:tc>
          <w:tcPr>
            <w:tcW w:w="2917" w:type="dxa"/>
            <w:tcBorders>
              <w:top w:val="single" w:color="auto" w:sz="4" w:space="0"/>
              <w:left w:val="single" w:color="auto" w:sz="4" w:space="0"/>
              <w:bottom w:val="single" w:color="auto" w:sz="4" w:space="0"/>
              <w:right w:val="single" w:color="auto" w:sz="4" w:space="0"/>
            </w:tcBorders>
            <w:vAlign w:val="center"/>
          </w:tcPr>
          <w:p w14:paraId="3AAD0101">
            <w:pPr>
              <w:spacing w:line="360" w:lineRule="auto"/>
              <w:jc w:val="center"/>
              <w:rPr>
                <w:rFonts w:ascii="仿宋_GB2312" w:eastAsia="仿宋_GB2312" w:cs="仿宋_GB2312"/>
                <w:bCs/>
                <w:color w:val="auto"/>
                <w:kern w:val="0"/>
                <w:sz w:val="24"/>
              </w:rPr>
            </w:pPr>
            <w:r>
              <w:rPr>
                <w:rFonts w:ascii="仿宋_GB2312" w:eastAsia="仿宋_GB2312" w:cs="仿宋_GB2312"/>
                <w:bCs/>
                <w:color w:val="auto"/>
                <w:kern w:val="0"/>
                <w:sz w:val="24"/>
              </w:rPr>
              <w:t>项目名称</w:t>
            </w:r>
          </w:p>
        </w:tc>
        <w:tc>
          <w:tcPr>
            <w:tcW w:w="1759" w:type="dxa"/>
            <w:tcBorders>
              <w:top w:val="single" w:color="auto" w:sz="4" w:space="0"/>
              <w:left w:val="single" w:color="auto" w:sz="4" w:space="0"/>
              <w:bottom w:val="single" w:color="auto" w:sz="4" w:space="0"/>
              <w:right w:val="single" w:color="auto" w:sz="4" w:space="0"/>
            </w:tcBorders>
            <w:vAlign w:val="center"/>
          </w:tcPr>
          <w:p w14:paraId="55AB8912">
            <w:pPr>
              <w:spacing w:line="360" w:lineRule="auto"/>
              <w:jc w:val="center"/>
              <w:rPr>
                <w:rFonts w:ascii="仿宋_GB2312" w:eastAsia="仿宋_GB2312" w:cs="仿宋_GB2312"/>
                <w:bCs/>
                <w:color w:val="auto"/>
                <w:kern w:val="0"/>
                <w:sz w:val="24"/>
              </w:rPr>
            </w:pPr>
            <w:r>
              <w:rPr>
                <w:rFonts w:hint="eastAsia" w:ascii="仿宋_GB2312" w:eastAsia="仿宋_GB2312" w:cs="仿宋_GB2312"/>
                <w:bCs/>
                <w:color w:val="auto"/>
                <w:kern w:val="0"/>
                <w:sz w:val="24"/>
              </w:rPr>
              <w:t>总预算</w:t>
            </w:r>
          </w:p>
        </w:tc>
        <w:tc>
          <w:tcPr>
            <w:tcW w:w="1342" w:type="dxa"/>
            <w:tcBorders>
              <w:top w:val="single" w:color="auto" w:sz="4" w:space="0"/>
              <w:left w:val="single" w:color="auto" w:sz="4" w:space="0"/>
              <w:bottom w:val="single" w:color="auto" w:sz="4" w:space="0"/>
              <w:right w:val="single" w:color="auto" w:sz="4" w:space="0"/>
            </w:tcBorders>
            <w:vAlign w:val="center"/>
          </w:tcPr>
          <w:p w14:paraId="40E49F03">
            <w:pPr>
              <w:spacing w:line="360" w:lineRule="auto"/>
              <w:jc w:val="center"/>
              <w:rPr>
                <w:rFonts w:ascii="仿宋_GB2312" w:eastAsia="仿宋_GB2312" w:cs="仿宋_GB2312"/>
                <w:bCs/>
                <w:color w:val="auto"/>
                <w:kern w:val="0"/>
                <w:sz w:val="24"/>
              </w:rPr>
            </w:pPr>
            <w:r>
              <w:rPr>
                <w:rFonts w:hint="eastAsia" w:ascii="仿宋_GB2312" w:eastAsia="仿宋_GB2312" w:cs="仿宋_GB2312"/>
                <w:bCs/>
                <w:color w:val="auto"/>
                <w:kern w:val="0"/>
                <w:sz w:val="24"/>
              </w:rPr>
              <w:t>电梯数量</w:t>
            </w:r>
          </w:p>
        </w:tc>
        <w:tc>
          <w:tcPr>
            <w:tcW w:w="2007" w:type="dxa"/>
            <w:tcBorders>
              <w:top w:val="single" w:color="auto" w:sz="4" w:space="0"/>
              <w:left w:val="single" w:color="auto" w:sz="4" w:space="0"/>
              <w:bottom w:val="single" w:color="auto" w:sz="4" w:space="0"/>
              <w:right w:val="single" w:color="auto" w:sz="4" w:space="0"/>
            </w:tcBorders>
            <w:vAlign w:val="center"/>
          </w:tcPr>
          <w:p w14:paraId="3E277FA1">
            <w:pPr>
              <w:spacing w:line="360" w:lineRule="auto"/>
              <w:jc w:val="center"/>
              <w:rPr>
                <w:rFonts w:ascii="仿宋_GB2312" w:eastAsia="仿宋_GB2312" w:cs="仿宋_GB2312"/>
                <w:bCs/>
                <w:color w:val="auto"/>
                <w:kern w:val="0"/>
                <w:sz w:val="24"/>
              </w:rPr>
            </w:pPr>
            <w:r>
              <w:rPr>
                <w:rFonts w:hint="eastAsia" w:ascii="仿宋_GB2312" w:eastAsia="仿宋_GB2312" w:cs="仿宋_GB2312"/>
                <w:bCs/>
                <w:color w:val="auto"/>
                <w:kern w:val="0"/>
                <w:sz w:val="24"/>
              </w:rPr>
              <w:t>单价限价</w:t>
            </w:r>
          </w:p>
        </w:tc>
      </w:tr>
      <w:tr w14:paraId="37192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707" w:type="dxa"/>
            <w:tcBorders>
              <w:top w:val="single" w:color="auto" w:sz="4" w:space="0"/>
              <w:left w:val="single" w:color="auto" w:sz="4" w:space="0"/>
              <w:bottom w:val="single" w:color="auto" w:sz="4" w:space="0"/>
              <w:right w:val="single" w:color="auto" w:sz="4" w:space="0"/>
            </w:tcBorders>
            <w:vAlign w:val="center"/>
          </w:tcPr>
          <w:p w14:paraId="2E86F615">
            <w:pPr>
              <w:spacing w:line="360" w:lineRule="auto"/>
              <w:jc w:val="center"/>
              <w:rPr>
                <w:rFonts w:ascii="仿宋_GB2312" w:eastAsia="仿宋_GB2312" w:cs="仿宋_GB2312"/>
                <w:bCs/>
                <w:color w:val="auto"/>
                <w:kern w:val="0"/>
                <w:sz w:val="24"/>
              </w:rPr>
            </w:pPr>
            <w:r>
              <w:rPr>
                <w:rFonts w:ascii="仿宋_GB2312" w:eastAsia="仿宋_GB2312" w:cs="仿宋_GB2312"/>
                <w:bCs/>
                <w:color w:val="auto"/>
                <w:kern w:val="0"/>
                <w:sz w:val="24"/>
              </w:rPr>
              <w:t>1</w:t>
            </w:r>
          </w:p>
        </w:tc>
        <w:tc>
          <w:tcPr>
            <w:tcW w:w="2917" w:type="dxa"/>
            <w:tcBorders>
              <w:top w:val="single" w:color="auto" w:sz="4" w:space="0"/>
              <w:left w:val="single" w:color="auto" w:sz="4" w:space="0"/>
              <w:bottom w:val="single" w:color="auto" w:sz="4" w:space="0"/>
              <w:right w:val="single" w:color="auto" w:sz="4" w:space="0"/>
            </w:tcBorders>
            <w:vAlign w:val="center"/>
          </w:tcPr>
          <w:p w14:paraId="64F64F94">
            <w:pPr>
              <w:spacing w:line="360" w:lineRule="auto"/>
              <w:jc w:val="center"/>
              <w:rPr>
                <w:rFonts w:ascii="仿宋_GB2312" w:eastAsia="仿宋_GB2312" w:cs="仿宋_GB2312"/>
                <w:bCs/>
                <w:color w:val="auto"/>
                <w:kern w:val="0"/>
                <w:sz w:val="24"/>
              </w:rPr>
            </w:pPr>
            <w:r>
              <w:rPr>
                <w:rFonts w:hint="eastAsia" w:ascii="仿宋_GB2312" w:eastAsia="仿宋_GB2312" w:cs="仿宋_GB2312"/>
                <w:bCs/>
                <w:color w:val="auto"/>
                <w:kern w:val="0"/>
                <w:sz w:val="24"/>
              </w:rPr>
              <w:t>娄底市中心医院</w:t>
            </w:r>
            <w:r>
              <w:rPr>
                <w:rFonts w:hint="eastAsia" w:ascii="仿宋_GB2312" w:eastAsia="仿宋_GB2312" w:cs="仿宋_GB2312"/>
                <w:bCs/>
                <w:color w:val="auto"/>
                <w:kern w:val="0"/>
                <w:sz w:val="24"/>
                <w:lang w:val="en-US" w:eastAsia="zh-CN"/>
              </w:rPr>
              <w:t>急诊医技楼</w:t>
            </w:r>
            <w:r>
              <w:rPr>
                <w:rFonts w:hint="eastAsia" w:ascii="仿宋_GB2312" w:eastAsia="仿宋_GB2312" w:cs="仿宋_GB2312"/>
                <w:bCs/>
                <w:color w:val="auto"/>
                <w:kern w:val="0"/>
                <w:sz w:val="24"/>
              </w:rPr>
              <w:t>电梯</w:t>
            </w:r>
            <w:r>
              <w:rPr>
                <w:rFonts w:hint="eastAsia" w:ascii="仿宋_GB2312" w:eastAsia="仿宋_GB2312" w:cs="仿宋_GB2312"/>
                <w:bCs/>
                <w:color w:val="auto"/>
                <w:kern w:val="0"/>
                <w:sz w:val="24"/>
                <w:lang w:val="en-US" w:eastAsia="zh-CN"/>
              </w:rPr>
              <w:t>22个月</w:t>
            </w:r>
            <w:r>
              <w:rPr>
                <w:rFonts w:hint="eastAsia" w:ascii="仿宋_GB2312" w:eastAsia="仿宋_GB2312" w:cs="仿宋_GB2312"/>
                <w:bCs/>
                <w:color w:val="auto"/>
                <w:kern w:val="0"/>
                <w:sz w:val="24"/>
              </w:rPr>
              <w:t>维保服务</w:t>
            </w:r>
          </w:p>
        </w:tc>
        <w:tc>
          <w:tcPr>
            <w:tcW w:w="1759" w:type="dxa"/>
            <w:tcBorders>
              <w:top w:val="single" w:color="auto" w:sz="4" w:space="0"/>
              <w:left w:val="single" w:color="auto" w:sz="4" w:space="0"/>
              <w:bottom w:val="single" w:color="auto" w:sz="4" w:space="0"/>
              <w:right w:val="single" w:color="auto" w:sz="4" w:space="0"/>
            </w:tcBorders>
            <w:vAlign w:val="center"/>
          </w:tcPr>
          <w:p w14:paraId="60729B6A">
            <w:pPr>
              <w:spacing w:line="360" w:lineRule="auto"/>
              <w:jc w:val="center"/>
              <w:rPr>
                <w:rFonts w:hint="default" w:ascii="仿宋_GB2312" w:eastAsia="仿宋_GB2312" w:cs="仿宋_GB2312"/>
                <w:bCs/>
                <w:color w:val="auto"/>
                <w:kern w:val="0"/>
                <w:sz w:val="24"/>
                <w:lang w:val="en-US" w:eastAsia="zh-CN"/>
              </w:rPr>
            </w:pPr>
            <w:r>
              <w:rPr>
                <w:rFonts w:hint="eastAsia" w:ascii="仿宋_GB2312" w:eastAsia="仿宋_GB2312" w:cs="仿宋_GB2312"/>
                <w:bCs/>
                <w:color w:val="auto"/>
                <w:kern w:val="0"/>
                <w:sz w:val="24"/>
                <w:lang w:val="en-US" w:eastAsia="zh-CN"/>
              </w:rPr>
              <w:t>252824元</w:t>
            </w:r>
          </w:p>
        </w:tc>
        <w:tc>
          <w:tcPr>
            <w:tcW w:w="1342" w:type="dxa"/>
            <w:tcBorders>
              <w:top w:val="single" w:color="auto" w:sz="4" w:space="0"/>
              <w:left w:val="single" w:color="auto" w:sz="4" w:space="0"/>
              <w:bottom w:val="single" w:color="auto" w:sz="4" w:space="0"/>
              <w:right w:val="single" w:color="auto" w:sz="4" w:space="0"/>
            </w:tcBorders>
            <w:vAlign w:val="center"/>
          </w:tcPr>
          <w:p w14:paraId="56230E6E">
            <w:pPr>
              <w:spacing w:line="360" w:lineRule="auto"/>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34台</w:t>
            </w:r>
          </w:p>
        </w:tc>
        <w:tc>
          <w:tcPr>
            <w:tcW w:w="2007" w:type="dxa"/>
            <w:tcBorders>
              <w:top w:val="single" w:color="auto" w:sz="4" w:space="0"/>
              <w:left w:val="single" w:color="auto" w:sz="4" w:space="0"/>
              <w:bottom w:val="single" w:color="auto" w:sz="4" w:space="0"/>
              <w:right w:val="single" w:color="auto" w:sz="4" w:space="0"/>
            </w:tcBorders>
            <w:vAlign w:val="center"/>
          </w:tcPr>
          <w:p w14:paraId="2385E271">
            <w:pPr>
              <w:spacing w:line="360" w:lineRule="auto"/>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338元/台/月</w:t>
            </w:r>
          </w:p>
        </w:tc>
      </w:tr>
    </w:tbl>
    <w:p w14:paraId="744027C5">
      <w:pPr>
        <w:spacing w:line="360" w:lineRule="auto"/>
        <w:ind w:firstLine="560" w:firstLineChars="200"/>
        <w:rPr>
          <w:rFonts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2、服务时间：双方签订合同</w:t>
      </w:r>
      <w:r>
        <w:rPr>
          <w:rFonts w:hint="eastAsia" w:ascii="仿宋" w:hAnsi="仿宋" w:eastAsia="仿宋" w:cs="仿宋"/>
          <w:color w:val="auto"/>
          <w:sz w:val="30"/>
          <w:szCs w:val="30"/>
          <w:shd w:val="clear" w:color="auto" w:fill="FFFFFF"/>
        </w:rPr>
        <w:t>之</w:t>
      </w:r>
      <w:r>
        <w:rPr>
          <w:rFonts w:hint="eastAsia" w:ascii="仿宋_GB2312" w:eastAsia="仿宋_GB2312" w:cs="仿宋_GB2312"/>
          <w:bCs/>
          <w:color w:val="auto"/>
          <w:kern w:val="0"/>
          <w:sz w:val="28"/>
          <w:szCs w:val="28"/>
        </w:rPr>
        <w:t>日起</w:t>
      </w:r>
      <w:r>
        <w:rPr>
          <w:rFonts w:hint="eastAsia" w:ascii="仿宋_GB2312" w:eastAsia="仿宋_GB2312" w:cs="仿宋_GB2312"/>
          <w:bCs/>
          <w:color w:val="auto"/>
          <w:kern w:val="0"/>
          <w:sz w:val="28"/>
          <w:szCs w:val="28"/>
          <w:lang w:val="en-US" w:eastAsia="zh-CN"/>
        </w:rPr>
        <w:t>22个月</w:t>
      </w:r>
      <w:r>
        <w:rPr>
          <w:rFonts w:hint="eastAsia" w:ascii="仿宋_GB2312" w:eastAsia="仿宋_GB2312" w:cs="仿宋_GB2312"/>
          <w:bCs/>
          <w:color w:val="auto"/>
          <w:kern w:val="0"/>
          <w:sz w:val="28"/>
          <w:szCs w:val="28"/>
        </w:rPr>
        <w:t>。</w:t>
      </w:r>
    </w:p>
    <w:p w14:paraId="6D637F87">
      <w:pPr>
        <w:spacing w:line="360" w:lineRule="auto"/>
        <w:ind w:firstLine="560" w:firstLineChars="200"/>
        <w:rPr>
          <w:rFonts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3、服务地点：娄底市中心医院。</w:t>
      </w:r>
    </w:p>
    <w:p w14:paraId="4D4D8E51">
      <w:pPr>
        <w:spacing w:line="360" w:lineRule="auto"/>
        <w:ind w:firstLine="560" w:firstLineChars="200"/>
        <w:rPr>
          <w:rFonts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二、项目内容及要求，以下内容均需满足，不满足的视为无效投标</w:t>
      </w:r>
    </w:p>
    <w:p w14:paraId="7AF39521">
      <w:pPr>
        <w:spacing w:line="360" w:lineRule="auto"/>
        <w:ind w:firstLine="562" w:firstLineChars="200"/>
        <w:rPr>
          <w:rFonts w:ascii="仿宋_GB2312" w:eastAsia="仿宋_GB2312" w:cs="仿宋_GB2312"/>
          <w:b/>
          <w:color w:val="auto"/>
          <w:kern w:val="0"/>
          <w:sz w:val="28"/>
          <w:szCs w:val="28"/>
        </w:rPr>
      </w:pPr>
      <w:r>
        <w:rPr>
          <w:rFonts w:hint="eastAsia" w:ascii="仿宋_GB2312" w:eastAsia="仿宋_GB2312" w:cs="仿宋_GB2312"/>
          <w:b/>
          <w:color w:val="auto"/>
          <w:kern w:val="0"/>
          <w:sz w:val="28"/>
          <w:szCs w:val="28"/>
        </w:rPr>
        <w:t>电梯数量及型号(共3</w:t>
      </w:r>
      <w:r>
        <w:rPr>
          <w:rFonts w:hint="eastAsia" w:ascii="仿宋_GB2312" w:eastAsia="仿宋_GB2312" w:cs="仿宋_GB2312"/>
          <w:b/>
          <w:color w:val="auto"/>
          <w:kern w:val="0"/>
          <w:sz w:val="28"/>
          <w:szCs w:val="28"/>
          <w:lang w:val="en-US" w:eastAsia="zh-CN"/>
        </w:rPr>
        <w:t>4</w:t>
      </w:r>
      <w:r>
        <w:rPr>
          <w:rFonts w:hint="eastAsia" w:ascii="仿宋_GB2312" w:eastAsia="仿宋_GB2312" w:cs="仿宋_GB2312"/>
          <w:b/>
          <w:color w:val="auto"/>
          <w:kern w:val="0"/>
          <w:sz w:val="28"/>
          <w:szCs w:val="28"/>
        </w:rPr>
        <w:t>台)：</w:t>
      </w:r>
    </w:p>
    <w:p w14:paraId="6440B743">
      <w:pPr>
        <w:spacing w:line="360" w:lineRule="auto"/>
        <w:ind w:firstLine="560" w:firstLineChars="200"/>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1.沃克斯迅达直梯3台，3/3/3（</w:t>
      </w:r>
      <w:r>
        <w:rPr>
          <w:rFonts w:hint="eastAsia" w:ascii="仿宋_GB2312" w:eastAsia="仿宋_GB2312" w:cs="仿宋_GB2312"/>
          <w:bCs/>
          <w:color w:val="auto"/>
          <w:kern w:val="0"/>
          <w:sz w:val="28"/>
          <w:szCs w:val="28"/>
          <w:lang w:val="en-US" w:eastAsia="zh-CN"/>
        </w:rPr>
        <w:t>急诊医技</w:t>
      </w:r>
      <w:r>
        <w:rPr>
          <w:rFonts w:hint="eastAsia" w:ascii="仿宋_GB2312" w:eastAsia="仿宋_GB2312" w:cs="仿宋_GB2312"/>
          <w:bCs/>
          <w:color w:val="auto"/>
          <w:kern w:val="0"/>
          <w:sz w:val="28"/>
          <w:szCs w:val="28"/>
        </w:rPr>
        <w:t>综合楼）</w:t>
      </w:r>
    </w:p>
    <w:p w14:paraId="0831FC29">
      <w:pPr>
        <w:spacing w:line="360" w:lineRule="auto"/>
        <w:ind w:firstLine="560" w:firstLineChars="200"/>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2.沃克斯迅达直梯1台 ，4/4/4（</w:t>
      </w:r>
      <w:r>
        <w:rPr>
          <w:rFonts w:hint="eastAsia" w:ascii="仿宋_GB2312" w:eastAsia="仿宋_GB2312" w:cs="仿宋_GB2312"/>
          <w:bCs/>
          <w:color w:val="auto"/>
          <w:kern w:val="0"/>
          <w:sz w:val="28"/>
          <w:szCs w:val="28"/>
          <w:lang w:val="en-US" w:eastAsia="zh-CN"/>
        </w:rPr>
        <w:t>急诊医技</w:t>
      </w:r>
      <w:r>
        <w:rPr>
          <w:rFonts w:hint="eastAsia" w:ascii="仿宋_GB2312" w:eastAsia="仿宋_GB2312" w:cs="仿宋_GB2312"/>
          <w:bCs/>
          <w:color w:val="auto"/>
          <w:kern w:val="0"/>
          <w:sz w:val="28"/>
          <w:szCs w:val="28"/>
        </w:rPr>
        <w:t>综合楼）</w:t>
      </w:r>
    </w:p>
    <w:p w14:paraId="5AD96029">
      <w:pPr>
        <w:spacing w:line="360" w:lineRule="auto"/>
        <w:ind w:firstLine="560" w:firstLineChars="200"/>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3.沃克斯迅达直梯1台， 8/8/8（</w:t>
      </w:r>
      <w:r>
        <w:rPr>
          <w:rFonts w:hint="eastAsia" w:ascii="仿宋_GB2312" w:eastAsia="仿宋_GB2312" w:cs="仿宋_GB2312"/>
          <w:bCs/>
          <w:color w:val="auto"/>
          <w:kern w:val="0"/>
          <w:sz w:val="28"/>
          <w:szCs w:val="28"/>
          <w:lang w:val="en-US" w:eastAsia="zh-CN"/>
        </w:rPr>
        <w:t>急诊医技</w:t>
      </w:r>
      <w:r>
        <w:rPr>
          <w:rFonts w:hint="eastAsia" w:ascii="仿宋_GB2312" w:eastAsia="仿宋_GB2312" w:cs="仿宋_GB2312"/>
          <w:bCs/>
          <w:color w:val="auto"/>
          <w:kern w:val="0"/>
          <w:sz w:val="28"/>
          <w:szCs w:val="28"/>
        </w:rPr>
        <w:t>综合楼）</w:t>
      </w:r>
    </w:p>
    <w:p w14:paraId="718F652D">
      <w:pPr>
        <w:spacing w:line="360" w:lineRule="auto"/>
        <w:ind w:firstLine="560" w:firstLineChars="200"/>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4.沃克斯迅达直梯2台， 10/10/10（</w:t>
      </w:r>
      <w:r>
        <w:rPr>
          <w:rFonts w:hint="eastAsia" w:ascii="仿宋_GB2312" w:eastAsia="仿宋_GB2312" w:cs="仿宋_GB2312"/>
          <w:bCs/>
          <w:color w:val="auto"/>
          <w:kern w:val="0"/>
          <w:sz w:val="28"/>
          <w:szCs w:val="28"/>
          <w:lang w:val="en-US" w:eastAsia="zh-CN"/>
        </w:rPr>
        <w:t>急诊医技</w:t>
      </w:r>
      <w:r>
        <w:rPr>
          <w:rFonts w:hint="eastAsia" w:ascii="仿宋_GB2312" w:eastAsia="仿宋_GB2312" w:cs="仿宋_GB2312"/>
          <w:bCs/>
          <w:color w:val="auto"/>
          <w:kern w:val="0"/>
          <w:sz w:val="28"/>
          <w:szCs w:val="28"/>
        </w:rPr>
        <w:t>综合楼）</w:t>
      </w:r>
    </w:p>
    <w:p w14:paraId="5D9EAE95">
      <w:pPr>
        <w:spacing w:line="360" w:lineRule="auto"/>
        <w:ind w:firstLine="560" w:firstLineChars="200"/>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5.沃克斯迅达直梯1台 ，11/11/11（</w:t>
      </w:r>
      <w:r>
        <w:rPr>
          <w:rFonts w:hint="eastAsia" w:ascii="仿宋_GB2312" w:eastAsia="仿宋_GB2312" w:cs="仿宋_GB2312"/>
          <w:bCs/>
          <w:color w:val="auto"/>
          <w:kern w:val="0"/>
          <w:sz w:val="28"/>
          <w:szCs w:val="28"/>
          <w:lang w:val="en-US" w:eastAsia="zh-CN"/>
        </w:rPr>
        <w:t>急诊医技</w:t>
      </w:r>
      <w:r>
        <w:rPr>
          <w:rFonts w:hint="eastAsia" w:ascii="仿宋_GB2312" w:eastAsia="仿宋_GB2312" w:cs="仿宋_GB2312"/>
          <w:bCs/>
          <w:color w:val="auto"/>
          <w:kern w:val="0"/>
          <w:sz w:val="28"/>
          <w:szCs w:val="28"/>
        </w:rPr>
        <w:t>综合楼）</w:t>
      </w:r>
    </w:p>
    <w:p w14:paraId="22806501">
      <w:pPr>
        <w:spacing w:line="360" w:lineRule="auto"/>
        <w:ind w:firstLine="560" w:firstLineChars="200"/>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6.沃克斯迅达直梯4台 ，15/15/15（</w:t>
      </w:r>
      <w:r>
        <w:rPr>
          <w:rFonts w:hint="eastAsia" w:ascii="仿宋_GB2312" w:eastAsia="仿宋_GB2312" w:cs="仿宋_GB2312"/>
          <w:bCs/>
          <w:color w:val="auto"/>
          <w:kern w:val="0"/>
          <w:sz w:val="28"/>
          <w:szCs w:val="28"/>
          <w:lang w:val="en-US" w:eastAsia="zh-CN"/>
        </w:rPr>
        <w:t>急诊医技</w:t>
      </w:r>
      <w:r>
        <w:rPr>
          <w:rFonts w:hint="eastAsia" w:ascii="仿宋_GB2312" w:eastAsia="仿宋_GB2312" w:cs="仿宋_GB2312"/>
          <w:bCs/>
          <w:color w:val="auto"/>
          <w:kern w:val="0"/>
          <w:sz w:val="28"/>
          <w:szCs w:val="28"/>
        </w:rPr>
        <w:t>综合楼大厅）</w:t>
      </w:r>
    </w:p>
    <w:p w14:paraId="6585FA5A">
      <w:pPr>
        <w:spacing w:line="360" w:lineRule="auto"/>
        <w:ind w:firstLine="560" w:firstLineChars="200"/>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7.沃克斯迅达直梯9台 ，18/18/18（</w:t>
      </w:r>
      <w:r>
        <w:rPr>
          <w:rFonts w:hint="eastAsia" w:ascii="仿宋_GB2312" w:eastAsia="仿宋_GB2312" w:cs="仿宋_GB2312"/>
          <w:bCs/>
          <w:color w:val="auto"/>
          <w:kern w:val="0"/>
          <w:sz w:val="28"/>
          <w:szCs w:val="28"/>
          <w:lang w:val="en-US" w:eastAsia="zh-CN"/>
        </w:rPr>
        <w:t>急诊医技</w:t>
      </w:r>
      <w:r>
        <w:rPr>
          <w:rFonts w:hint="eastAsia" w:ascii="仿宋_GB2312" w:eastAsia="仿宋_GB2312" w:cs="仿宋_GB2312"/>
          <w:bCs/>
          <w:color w:val="auto"/>
          <w:kern w:val="0"/>
          <w:sz w:val="28"/>
          <w:szCs w:val="28"/>
        </w:rPr>
        <w:t>综合楼）</w:t>
      </w:r>
    </w:p>
    <w:p w14:paraId="6624A0AF">
      <w:pPr>
        <w:spacing w:line="360" w:lineRule="auto"/>
        <w:ind w:firstLine="560" w:firstLineChars="200"/>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8.沃克斯迅达直梯1台 ，19/19/19（</w:t>
      </w:r>
      <w:r>
        <w:rPr>
          <w:rFonts w:hint="eastAsia" w:ascii="仿宋_GB2312" w:eastAsia="仿宋_GB2312" w:cs="仿宋_GB2312"/>
          <w:bCs/>
          <w:color w:val="auto"/>
          <w:kern w:val="0"/>
          <w:sz w:val="28"/>
          <w:szCs w:val="28"/>
          <w:lang w:val="en-US" w:eastAsia="zh-CN"/>
        </w:rPr>
        <w:t>急诊医技</w:t>
      </w:r>
      <w:r>
        <w:rPr>
          <w:rFonts w:hint="eastAsia" w:ascii="仿宋_GB2312" w:eastAsia="仿宋_GB2312" w:cs="仿宋_GB2312"/>
          <w:bCs/>
          <w:color w:val="auto"/>
          <w:kern w:val="0"/>
          <w:sz w:val="28"/>
          <w:szCs w:val="28"/>
        </w:rPr>
        <w:t>综合楼）</w:t>
      </w:r>
    </w:p>
    <w:p w14:paraId="1B4D5432">
      <w:pPr>
        <w:spacing w:line="360" w:lineRule="auto"/>
        <w:ind w:firstLine="560" w:firstLineChars="200"/>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9.沃克斯迅达扶梯12台，（</w:t>
      </w:r>
      <w:r>
        <w:rPr>
          <w:rFonts w:hint="eastAsia" w:ascii="仿宋_GB2312" w:eastAsia="仿宋_GB2312" w:cs="仿宋_GB2312"/>
          <w:bCs/>
          <w:color w:val="auto"/>
          <w:kern w:val="0"/>
          <w:sz w:val="28"/>
          <w:szCs w:val="28"/>
          <w:lang w:val="en-US" w:eastAsia="zh-CN"/>
        </w:rPr>
        <w:t>急诊医技</w:t>
      </w:r>
      <w:r>
        <w:rPr>
          <w:rFonts w:hint="eastAsia" w:ascii="仿宋_GB2312" w:eastAsia="仿宋_GB2312" w:cs="仿宋_GB2312"/>
          <w:bCs/>
          <w:color w:val="auto"/>
          <w:kern w:val="0"/>
          <w:sz w:val="28"/>
          <w:szCs w:val="28"/>
        </w:rPr>
        <w:t>综合楼1-6楼）</w:t>
      </w:r>
    </w:p>
    <w:p w14:paraId="793EEA2C">
      <w:pPr>
        <w:spacing w:line="360" w:lineRule="auto"/>
        <w:jc w:val="left"/>
        <w:rPr>
          <w:rFonts w:ascii="仿宋" w:hAnsi="仿宋" w:eastAsia="仿宋" w:cs="仿宋"/>
          <w:b/>
          <w:bCs/>
          <w:color w:val="auto"/>
          <w:sz w:val="30"/>
          <w:szCs w:val="30"/>
        </w:rPr>
      </w:pPr>
      <w:r>
        <w:rPr>
          <w:rFonts w:hint="eastAsia" w:ascii="仿宋" w:hAnsi="仿宋" w:eastAsia="仿宋" w:cs="仿宋"/>
          <w:b/>
          <w:bCs/>
          <w:color w:val="auto"/>
          <w:sz w:val="30"/>
          <w:szCs w:val="30"/>
        </w:rPr>
        <w:t>维保要求：</w:t>
      </w:r>
    </w:p>
    <w:p w14:paraId="28BEFD2F">
      <w:pPr>
        <w:spacing w:line="360" w:lineRule="auto"/>
        <w:ind w:firstLine="560" w:firstLineChars="200"/>
        <w:rPr>
          <w:rFonts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1、在签订合同时，必须向我院提供国家质量技术监督部门颁发的B级客梯电梯维保许可资质证明、公司营业执照、税务登记证、组织机构代码证等相关证明，并向我院提交相关资质证明的复印件以备案。</w:t>
      </w:r>
    </w:p>
    <w:p w14:paraId="1CA7A489">
      <w:pPr>
        <w:spacing w:line="360" w:lineRule="auto"/>
        <w:ind w:firstLine="560" w:firstLineChars="200"/>
        <w:rPr>
          <w:rFonts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2、中标人必须以《湖南省电梯维修保养管理办法》为执行标准。</w:t>
      </w:r>
    </w:p>
    <w:p w14:paraId="751D85AB">
      <w:pPr>
        <w:spacing w:line="360" w:lineRule="auto"/>
        <w:ind w:firstLine="560" w:firstLineChars="200"/>
        <w:rPr>
          <w:rFonts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3、中标人须具有电梯维保持证技术人员10人以上（提供佐证材料），常驻医院的电梯维保持证技术人员至少1人（提供在中标人公司任职的佐证材料）。</w:t>
      </w:r>
    </w:p>
    <w:p w14:paraId="694F80F7">
      <w:pPr>
        <w:spacing w:line="360" w:lineRule="auto"/>
        <w:ind w:firstLine="560" w:firstLineChars="200"/>
        <w:rPr>
          <w:rFonts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4、中标人必须根据我院的工作要求并不影响我院正常工作的前提下对维保电梯(扶梯)提供全年(含国家法定节假日)每天24小时维护保养服务，并且不另行计费。我院设备若发生故障需要处理时，中标人在接到我院或第三方通知后，必须15分钟内赶到现场进行处理，如未能按时赶到每次扣除维保费200元，投诉服务态度不好的，经我院主管科室（总务科）确认后，每次扣除维保费l00元。在规定的时间内若两次(含两次)以上未按时赶到现场，或有人投诉服务态度不好累计10次(含10次)以上，或两小时内不能处理好的故障未及时报告我院的，我院有权解除维保合同。</w:t>
      </w:r>
    </w:p>
    <w:p w14:paraId="0D6783A3">
      <w:pPr>
        <w:spacing w:line="360" w:lineRule="auto"/>
        <w:ind w:firstLine="560" w:firstLineChars="200"/>
        <w:rPr>
          <w:rFonts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5、中标人派遣的维保人员必须佩戴《特种设备操作人员资格证》胸卡，并应遵守我院的有关规定制度。每次工作完毕，中标方维护人员应请我院管理人员在《电梯(扶梯)维护保养报告书》上签字确认。中标人每次维保后对机房卫生进行清理，每月对机房进行一次大扫除且对自身维护人员人身、财产安全负全部责任；中标人承担因合同执行给我院及第三方造成的人身或财产损失的全部责任。</w:t>
      </w:r>
    </w:p>
    <w:p w14:paraId="13DD0D7A">
      <w:pPr>
        <w:spacing w:line="360" w:lineRule="auto"/>
        <w:ind w:firstLine="560" w:firstLineChars="200"/>
        <w:rPr>
          <w:rFonts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6、不论何种原因，价格在500元以内的单个零配件(含轿厢内外照明灯具等)由中标人负责，500元以上的单个零配件更换需报我院认可。零配件必须在我院规定的时间内配置到位。若电梯底坑积水由我院和投标方双方共同协商解决。</w:t>
      </w:r>
    </w:p>
    <w:p w14:paraId="5B6AF736">
      <w:pPr>
        <w:spacing w:line="360" w:lineRule="auto"/>
        <w:ind w:firstLine="560" w:firstLineChars="200"/>
        <w:rPr>
          <w:rFonts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7、至少每两周一次对安全装置、钢丝绳、制动器、接触器和其他运转部位的外观和运转情况进行检查；每半年中标人必须对安全装置、限速器、缓冲器进行安全试验：每年必须对设备至少进行1次机械制动器的制动能力试验，并每年不少于l次对电梯(扶梯)运转情况进行全面检查，保持电梯机房和底坑卫生整洁。以上检查投标方每次须到我院管理科室书面登记。</w:t>
      </w:r>
    </w:p>
    <w:p w14:paraId="27DD45A0">
      <w:pPr>
        <w:spacing w:line="360" w:lineRule="auto"/>
        <w:ind w:firstLine="560" w:firstLineChars="200"/>
        <w:rPr>
          <w:rFonts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8、中标人应在轿厢的显著位置标明投标方的单位名称、紧急救援电话、投诉电话和我院总值班电话。</w:t>
      </w:r>
    </w:p>
    <w:p w14:paraId="3591D2FD">
      <w:pPr>
        <w:spacing w:line="360" w:lineRule="auto"/>
        <w:ind w:firstLine="560" w:firstLineChars="200"/>
        <w:rPr>
          <w:rFonts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9、中标人需终止合同时，必须提前2个月书面通知我院，经我院书面回复同意后方可终止合同。</w:t>
      </w:r>
    </w:p>
    <w:p w14:paraId="10DC692A">
      <w:pPr>
        <w:spacing w:line="360" w:lineRule="auto"/>
        <w:ind w:firstLine="560" w:firstLineChars="200"/>
        <w:rPr>
          <w:rFonts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10、由中标人具体负责电梯年检所有事宜。若电梯(扶梯)的年度检验属投标方原因造成的不合格，由中标人负责整改并承担全部费用。如因中标人维保原因造成电梯(扶梯)不能正常使用而引起的一切安全事故或纠纷，造成我院或第三方损失的，由中标人承担全部责任。</w:t>
      </w:r>
    </w:p>
    <w:p w14:paraId="3A77E755">
      <w:pPr>
        <w:spacing w:line="360" w:lineRule="auto"/>
        <w:ind w:firstLine="560" w:firstLineChars="200"/>
        <w:rPr>
          <w:rFonts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11、在合同维保期内，因中标人维护不当造成安全事故或人身损害及财产损失的，由中标人承担全部责任，并承担事故处理全部费用，同时负责免费维修。</w:t>
      </w:r>
    </w:p>
    <w:p w14:paraId="74D97675">
      <w:pPr>
        <w:spacing w:line="360" w:lineRule="auto"/>
        <w:ind w:firstLine="560" w:firstLineChars="200"/>
        <w:rPr>
          <w:rFonts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12、中标人须提供电梯（扶梯）保养项目及计划。</w:t>
      </w:r>
    </w:p>
    <w:p w14:paraId="4882CD94">
      <w:pPr>
        <w:spacing w:line="360" w:lineRule="auto"/>
        <w:ind w:firstLine="560" w:firstLineChars="200"/>
        <w:rPr>
          <w:rFonts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13、中标人对我院电梯（扶梯）进行日常维护保养时，在严格按照电梯（扶梯）设备要求维保程序及标准进行保养时，单台电梯（扶梯）维保时间（停梯时间）一般应控制在1小时内完成。我院电梯（扶梯）发生故障，一般故障投标方应确保在2小时内予以修复，重大故障经我院共同确认后应在12小时内予以修复。</w:t>
      </w:r>
    </w:p>
    <w:p w14:paraId="553C6D7A">
      <w:pPr>
        <w:spacing w:line="360" w:lineRule="auto"/>
        <w:ind w:firstLine="560" w:firstLineChars="200"/>
        <w:rPr>
          <w:rFonts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14、中标人必须指定专人与我院联系且投标方维保人员与我院应保持24小时通讯畅通，不得以任何原因影响工作。</w:t>
      </w:r>
    </w:p>
    <w:p w14:paraId="28A17877">
      <w:pPr>
        <w:spacing w:line="360" w:lineRule="auto"/>
        <w:ind w:firstLine="560" w:firstLineChars="200"/>
        <w:rPr>
          <w:rFonts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15、中标人有责任对我院的每一台电梯（扶梯）进行运行安全检查，确保电梯（扶梯）无运行安全隐患。</w:t>
      </w:r>
    </w:p>
    <w:p w14:paraId="655C4E3C">
      <w:pPr>
        <w:spacing w:line="360" w:lineRule="auto"/>
        <w:ind w:firstLine="560" w:firstLineChars="200"/>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16、中标人须列出电梯配件的品名、单价清单。</w:t>
      </w:r>
    </w:p>
    <w:p w14:paraId="708FDEB0">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default" w:ascii="仿宋" w:hAnsi="仿宋" w:eastAsia="仿宋" w:cs="仿宋"/>
          <w:color w:val="auto"/>
          <w:sz w:val="28"/>
          <w:szCs w:val="28"/>
          <w:lang w:val="en-US" w:eastAsia="zh-CN"/>
        </w:rPr>
      </w:pPr>
      <w:r>
        <w:rPr>
          <w:rFonts w:hint="eastAsia" w:ascii="仿宋_GB2312" w:eastAsia="仿宋_GB2312" w:cs="仿宋_GB2312"/>
          <w:b w:val="0"/>
          <w:bCs w:val="0"/>
          <w:color w:val="auto"/>
          <w:kern w:val="0"/>
          <w:sz w:val="28"/>
          <w:szCs w:val="28"/>
          <w:lang w:val="en-US" w:eastAsia="zh-CN"/>
        </w:rPr>
        <w:t>17、</w:t>
      </w:r>
      <w:r>
        <w:rPr>
          <w:rFonts w:hint="eastAsia" w:ascii="仿宋" w:hAnsi="仿宋" w:eastAsia="仿宋" w:cs="仿宋"/>
          <w:color w:val="auto"/>
          <w:sz w:val="28"/>
          <w:szCs w:val="28"/>
          <w:lang w:val="en-US" w:eastAsia="zh-CN"/>
        </w:rPr>
        <w:t>在合同期限内负责每年度电梯检验、检测费用，并确保甲方获得年度检验检测合格证，如未通过检验、检测造成的损失由乙方承担。</w:t>
      </w:r>
    </w:p>
    <w:p w14:paraId="7A44C71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rPr>
          <w:rFonts w:hint="eastAsia" w:ascii="仿宋_GB2312" w:eastAsia="仿宋_GB2312" w:cs="仿宋_GB2312"/>
          <w:bCs/>
          <w:color w:val="auto"/>
          <w:kern w:val="0"/>
          <w:sz w:val="28"/>
          <w:szCs w:val="28"/>
          <w:lang w:val="en-US" w:eastAsia="zh-CN" w:bidi="ar-SA"/>
        </w:rPr>
      </w:pPr>
    </w:p>
    <w:p w14:paraId="41EA669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三</w:t>
      </w:r>
      <w:r>
        <w:rPr>
          <w:rFonts w:hint="eastAsia" w:ascii="仿宋_GB2312" w:hAnsi="Times New Roman" w:eastAsia="仿宋_GB2312" w:cs="仿宋_GB2312"/>
          <w:bCs/>
          <w:color w:val="auto"/>
          <w:kern w:val="0"/>
          <w:sz w:val="28"/>
          <w:szCs w:val="28"/>
          <w:lang w:val="en-US" w:eastAsia="zh-CN" w:bidi="ar-SA"/>
        </w:rPr>
        <w:t>、</w:t>
      </w:r>
      <w:r>
        <w:rPr>
          <w:rFonts w:hint="default" w:ascii="仿宋_GB2312" w:hAnsi="Times New Roman" w:eastAsia="仿宋_GB2312" w:cs="仿宋_GB2312"/>
          <w:bCs/>
          <w:color w:val="auto"/>
          <w:kern w:val="0"/>
          <w:sz w:val="28"/>
          <w:szCs w:val="28"/>
          <w:lang w:val="en-US" w:eastAsia="zh-CN" w:bidi="ar-SA"/>
        </w:rPr>
        <w:t>标书要求</w:t>
      </w:r>
    </w:p>
    <w:p w14:paraId="2CC67DB6">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1、封面：需注明标的名称、投标文件、单位、时间；</w:t>
      </w:r>
    </w:p>
    <w:p w14:paraId="2199F5FB">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2、“三证合一”或“五证合一”营业执照；</w:t>
      </w:r>
    </w:p>
    <w:p w14:paraId="45409F28">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3</w:t>
      </w:r>
      <w:r>
        <w:rPr>
          <w:rFonts w:hint="eastAsia" w:ascii="仿宋_GB2312" w:hAnsi="Times New Roman" w:eastAsia="仿宋_GB2312" w:cs="仿宋_GB2312"/>
          <w:bCs/>
          <w:color w:val="auto"/>
          <w:kern w:val="0"/>
          <w:sz w:val="28"/>
          <w:szCs w:val="28"/>
          <w:lang w:val="en-US" w:eastAsia="zh-CN" w:bidi="ar-SA"/>
        </w:rPr>
        <w:t>、履行本项目所必需的资质证明；</w:t>
      </w:r>
    </w:p>
    <w:p w14:paraId="7CA238F1">
      <w:pPr>
        <w:pageBreakBefore w:val="0"/>
        <w:kinsoku/>
        <w:wordWrap/>
        <w:overflowPunct/>
        <w:topLinePunct w:val="0"/>
        <w:bidi w:val="0"/>
        <w:spacing w:line="440" w:lineRule="exact"/>
        <w:ind w:firstLine="560" w:firstLineChars="200"/>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4</w:t>
      </w:r>
      <w:r>
        <w:rPr>
          <w:rFonts w:hint="eastAsia" w:ascii="仿宋_GB2312" w:hAnsi="Times New Roman" w:eastAsia="仿宋_GB2312" w:cs="仿宋_GB2312"/>
          <w:bCs/>
          <w:color w:val="auto"/>
          <w:kern w:val="0"/>
          <w:sz w:val="28"/>
          <w:szCs w:val="28"/>
          <w:lang w:val="en-US" w:eastAsia="zh-CN" w:bidi="ar-SA"/>
        </w:rPr>
        <w:t>、投标人认为需提供的其他和评审有关的资料；</w:t>
      </w:r>
    </w:p>
    <w:p w14:paraId="0572E21A">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r>
        <w:rPr>
          <w:rFonts w:hint="eastAsia" w:ascii="仿宋_GB2312" w:hAnsi="Times New Roman" w:eastAsia="仿宋_GB2312" w:cs="仿宋_GB2312"/>
          <w:bCs/>
          <w:color w:val="auto"/>
          <w:kern w:val="0"/>
          <w:sz w:val="28"/>
          <w:szCs w:val="28"/>
          <w:lang w:val="en-US" w:eastAsia="zh-CN" w:bidi="ar-SA"/>
        </w:rPr>
        <w:t>、投标文件的每一页都必须加盖投标单位的公章；</w:t>
      </w:r>
    </w:p>
    <w:p w14:paraId="0ADCA157">
      <w:pPr>
        <w:pStyle w:val="12"/>
        <w:pageBreakBefore w:val="0"/>
        <w:kinsoku/>
        <w:wordWrap/>
        <w:overflowPunct/>
        <w:topLinePunct w:val="0"/>
        <w:bidi w:val="0"/>
        <w:spacing w:line="440" w:lineRule="exact"/>
        <w:ind w:left="0" w:leftChars="0"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6、投标文件一正一副，均需加盖公章；</w:t>
      </w:r>
    </w:p>
    <w:p w14:paraId="7AA24E65">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7、投标文件参数响应表中必须标注响应项佐证材料所对应页面。</w:t>
      </w:r>
    </w:p>
    <w:p w14:paraId="6844EC8E">
      <w:pPr>
        <w:pageBreakBefore w:val="0"/>
        <w:kinsoku/>
        <w:wordWrap/>
        <w:overflowPunct/>
        <w:topLinePunct w:val="0"/>
        <w:bidi w:val="0"/>
        <w:spacing w:line="440" w:lineRule="exact"/>
        <w:ind w:firstLine="560" w:firstLineChars="200"/>
        <w:textAlignment w:val="auto"/>
        <w:rPr>
          <w:rFonts w:hint="default"/>
          <w:color w:val="auto"/>
          <w:lang w:val="en-US" w:eastAsia="zh-CN"/>
        </w:rPr>
      </w:pPr>
      <w:r>
        <w:rPr>
          <w:rFonts w:hint="eastAsia" w:ascii="仿宋_GB2312" w:hAnsi="Times New Roman" w:eastAsia="仿宋_GB2312" w:cs="仿宋_GB2312"/>
          <w:bCs/>
          <w:color w:val="auto"/>
          <w:kern w:val="0"/>
          <w:sz w:val="28"/>
          <w:szCs w:val="28"/>
          <w:lang w:val="en-US" w:eastAsia="zh-CN" w:bidi="ar-SA"/>
        </w:rPr>
        <w:t>8、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5CEC1E4F">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420" w:leftChars="0"/>
        <w:jc w:val="both"/>
        <w:textAlignment w:val="auto"/>
        <w:rPr>
          <w:rFonts w:hint="eastAsia" w:ascii="仿宋" w:hAnsi="仿宋" w:eastAsia="仿宋" w:cs="仿宋"/>
          <w:b w:val="0"/>
          <w:bCs/>
          <w:color w:val="auto"/>
          <w:sz w:val="28"/>
          <w:szCs w:val="28"/>
        </w:rPr>
      </w:pPr>
      <w:r>
        <w:rPr>
          <w:rFonts w:hint="eastAsia" w:ascii="仿宋_GB2312" w:eastAsia="仿宋_GB2312" w:cs="仿宋_GB2312"/>
          <w:bCs/>
          <w:color w:val="auto"/>
          <w:kern w:val="0"/>
          <w:sz w:val="28"/>
          <w:szCs w:val="28"/>
          <w:lang w:val="en-US" w:eastAsia="zh-CN" w:bidi="ar-SA"/>
        </w:rPr>
        <w:t>四、合同</w:t>
      </w:r>
      <w:r>
        <w:rPr>
          <w:rFonts w:hint="eastAsia" w:ascii="仿宋" w:hAnsi="仿宋" w:eastAsia="仿宋" w:cs="仿宋"/>
          <w:b w:val="0"/>
          <w:bCs/>
          <w:color w:val="auto"/>
          <w:sz w:val="28"/>
          <w:szCs w:val="28"/>
        </w:rPr>
        <w:t xml:space="preserve"> </w:t>
      </w:r>
    </w:p>
    <w:p w14:paraId="2AAEAA8B">
      <w:pPr>
        <w:keepNext w:val="0"/>
        <w:keepLines w:val="0"/>
        <w:pageBreakBefore w:val="0"/>
        <w:widowControl w:val="0"/>
        <w:kinsoku/>
        <w:wordWrap/>
        <w:overflowPunct/>
        <w:topLinePunct w:val="0"/>
        <w:bidi w:val="0"/>
        <w:spacing w:line="560" w:lineRule="exact"/>
        <w:jc w:val="center"/>
        <w:textAlignment w:val="auto"/>
        <w:rPr>
          <w:rFonts w:hint="default" w:ascii="仿宋" w:hAnsi="仿宋" w:eastAsia="仿宋" w:cs="仿宋"/>
          <w:b w:val="0"/>
          <w:bCs/>
          <w:color w:val="auto"/>
          <w:sz w:val="28"/>
          <w:szCs w:val="28"/>
          <w:lang w:val="en-US" w:eastAsia="zh-CN"/>
        </w:rPr>
      </w:pPr>
      <w:bookmarkStart w:id="1" w:name="OLE_LINK2"/>
      <w:r>
        <w:rPr>
          <w:rFonts w:hint="eastAsia" w:ascii="仿宋" w:hAnsi="仿宋" w:eastAsia="仿宋" w:cs="仿宋"/>
          <w:b w:val="0"/>
          <w:bCs w:val="0"/>
          <w:color w:val="auto"/>
          <w:sz w:val="28"/>
          <w:szCs w:val="28"/>
          <w:lang w:val="en-US" w:eastAsia="zh-CN"/>
        </w:rPr>
        <w:t xml:space="preserve">     </w:t>
      </w:r>
      <w:r>
        <w:rPr>
          <w:rFonts w:hint="eastAsia" w:ascii="仿宋" w:hAnsi="仿宋" w:eastAsia="仿宋" w:cs="仿宋"/>
          <w:b w:val="0"/>
          <w:bCs/>
          <w:color w:val="auto"/>
          <w:sz w:val="28"/>
          <w:szCs w:val="28"/>
          <w:lang w:val="en-US" w:eastAsia="zh-CN"/>
        </w:rPr>
        <w:t xml:space="preserve">                                                 合同编号：</w:t>
      </w:r>
    </w:p>
    <w:p w14:paraId="521D0CD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44"/>
          <w:szCs w:val="44"/>
        </w:rPr>
        <w:t>娄底市中心医院电梯维保合同</w:t>
      </w:r>
    </w:p>
    <w:p w14:paraId="335F3E0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 xml:space="preserve">                </w:t>
      </w:r>
    </w:p>
    <w:p w14:paraId="05AB4286">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甲方：</w:t>
      </w:r>
      <w:r>
        <w:rPr>
          <w:rFonts w:hint="eastAsia" w:ascii="仿宋" w:hAnsi="仿宋" w:eastAsia="仿宋" w:cs="仿宋"/>
          <w:b w:val="0"/>
          <w:bCs/>
          <w:color w:val="auto"/>
          <w:sz w:val="28"/>
          <w:szCs w:val="28"/>
        </w:rPr>
        <w:t>娄底市中心医院</w:t>
      </w:r>
    </w:p>
    <w:p w14:paraId="643A841A">
      <w:pPr>
        <w:keepNext w:val="0"/>
        <w:keepLines w:val="0"/>
        <w:pageBreakBefore w:val="0"/>
        <w:widowControl w:val="0"/>
        <w:kinsoku/>
        <w:wordWrap/>
        <w:overflowPunct/>
        <w:topLinePunct w:val="0"/>
        <w:bidi w:val="0"/>
        <w:spacing w:line="560" w:lineRule="exac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法定代表人：</w:t>
      </w:r>
      <w:r>
        <w:rPr>
          <w:rFonts w:hint="eastAsia" w:ascii="仿宋" w:hAnsi="仿宋" w:eastAsia="仿宋" w:cs="仿宋"/>
          <w:color w:val="auto"/>
          <w:sz w:val="28"/>
          <w:szCs w:val="28"/>
          <w:lang w:val="en-US" w:eastAsia="zh-CN"/>
        </w:rPr>
        <w:t>杨吉军</w:t>
      </w:r>
    </w:p>
    <w:p w14:paraId="25001CB4">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统一社会信用代码：12431300447162073W</w:t>
      </w:r>
    </w:p>
    <w:p w14:paraId="412EC521">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地  址： 湖南省娄底市娄星区长青中街51号 </w:t>
      </w:r>
    </w:p>
    <w:p w14:paraId="5EA99D79">
      <w:pPr>
        <w:pStyle w:val="12"/>
        <w:keepNext w:val="0"/>
        <w:keepLines w:val="0"/>
        <w:pageBreakBefore w:val="0"/>
        <w:widowControl w:val="0"/>
        <w:kinsoku/>
        <w:wordWrap/>
        <w:overflowPunct/>
        <w:topLinePunct w:val="0"/>
        <w:bidi w:val="0"/>
        <w:spacing w:after="0" w:line="560" w:lineRule="exact"/>
        <w:ind w:left="0" w:leftChars="0" w:firstLine="480"/>
        <w:textAlignment w:val="auto"/>
        <w:rPr>
          <w:rFonts w:hint="eastAsia" w:ascii="仿宋" w:hAnsi="仿宋" w:eastAsia="仿宋" w:cs="仿宋"/>
          <w:color w:val="auto"/>
          <w:sz w:val="28"/>
          <w:szCs w:val="28"/>
        </w:rPr>
      </w:pPr>
    </w:p>
    <w:p w14:paraId="034D17E6">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b/>
          <w:color w:val="auto"/>
          <w:sz w:val="28"/>
          <w:szCs w:val="28"/>
          <w:u w:val="single"/>
        </w:rPr>
      </w:pPr>
      <w:r>
        <w:rPr>
          <w:rFonts w:hint="eastAsia" w:ascii="仿宋" w:hAnsi="仿宋" w:eastAsia="仿宋" w:cs="仿宋"/>
          <w:b/>
          <w:color w:val="auto"/>
          <w:sz w:val="28"/>
          <w:szCs w:val="28"/>
        </w:rPr>
        <w:t>乙方：</w:t>
      </w:r>
      <w:r>
        <w:rPr>
          <w:rFonts w:hint="eastAsia" w:ascii="仿宋" w:hAnsi="仿宋" w:eastAsia="仿宋" w:cs="仿宋"/>
          <w:b/>
          <w:color w:val="auto"/>
          <w:sz w:val="28"/>
          <w:szCs w:val="28"/>
          <w:u w:val="single"/>
        </w:rPr>
        <w:t xml:space="preserve">               </w:t>
      </w:r>
    </w:p>
    <w:p w14:paraId="4CC62556">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法定代表人：</w:t>
      </w:r>
      <w:r>
        <w:rPr>
          <w:rFonts w:hint="eastAsia" w:ascii="仿宋" w:hAnsi="仿宋" w:eastAsia="仿宋" w:cs="仿宋"/>
          <w:color w:val="auto"/>
          <w:sz w:val="28"/>
          <w:szCs w:val="28"/>
          <w:u w:val="single"/>
        </w:rPr>
        <w:t xml:space="preserve">         </w:t>
      </w:r>
    </w:p>
    <w:p w14:paraId="7B881C11">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统一社会信用代码：</w:t>
      </w:r>
      <w:r>
        <w:rPr>
          <w:rFonts w:hint="eastAsia" w:ascii="仿宋" w:hAnsi="仿宋" w:eastAsia="仿宋" w:cs="仿宋"/>
          <w:bCs/>
          <w:color w:val="auto"/>
          <w:sz w:val="28"/>
          <w:szCs w:val="28"/>
          <w:u w:val="single"/>
        </w:rPr>
        <w:t xml:space="preserve">                </w:t>
      </w:r>
    </w:p>
    <w:p w14:paraId="225462ED">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地  址：</w:t>
      </w:r>
      <w:r>
        <w:rPr>
          <w:rFonts w:hint="eastAsia" w:ascii="仿宋" w:hAnsi="仿宋" w:eastAsia="仿宋" w:cs="仿宋"/>
          <w:color w:val="auto"/>
          <w:sz w:val="28"/>
          <w:szCs w:val="28"/>
          <w:u w:val="single"/>
        </w:rPr>
        <w:t xml:space="preserve">               </w:t>
      </w:r>
    </w:p>
    <w:p w14:paraId="6E0A56B4">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p>
    <w:p w14:paraId="53E3B1E1">
      <w:pPr>
        <w:pStyle w:val="22"/>
        <w:keepNext w:val="0"/>
        <w:keepLines w:val="0"/>
        <w:pageBreakBefore w:val="0"/>
        <w:widowControl w:val="0"/>
        <w:tabs>
          <w:tab w:val="left" w:pos="8100"/>
        </w:tabs>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甲方通过</w:t>
      </w:r>
      <w:r>
        <w:rPr>
          <w:rFonts w:hint="eastAsia" w:ascii="仿宋" w:hAnsi="仿宋" w:eastAsia="仿宋" w:cs="仿宋"/>
          <w:color w:val="auto"/>
          <w:sz w:val="28"/>
          <w:szCs w:val="28"/>
          <w:u w:val="single"/>
          <w:lang w:val="en-US" w:eastAsia="zh-CN"/>
        </w:rPr>
        <w:t xml:space="preserve"> 医院公开挂网 </w:t>
      </w:r>
      <w:r>
        <w:rPr>
          <w:rFonts w:hint="eastAsia" w:ascii="仿宋" w:hAnsi="仿宋" w:eastAsia="仿宋" w:cs="仿宋"/>
          <w:color w:val="auto"/>
          <w:sz w:val="28"/>
          <w:szCs w:val="28"/>
          <w:u w:val="none"/>
          <w:lang w:val="en-US" w:eastAsia="zh-CN"/>
        </w:rPr>
        <w:t>采购</w:t>
      </w:r>
      <w:r>
        <w:rPr>
          <w:rFonts w:hint="eastAsia" w:ascii="仿宋" w:hAnsi="仿宋" w:eastAsia="仿宋" w:cs="仿宋"/>
          <w:color w:val="auto"/>
          <w:sz w:val="28"/>
          <w:szCs w:val="28"/>
        </w:rPr>
        <w:t>方式，选定乙方为</w:t>
      </w:r>
      <w:r>
        <w:rPr>
          <w:rFonts w:hint="eastAsia" w:ascii="仿宋" w:hAnsi="仿宋" w:eastAsia="仿宋" w:cs="仿宋"/>
          <w:color w:val="auto"/>
          <w:sz w:val="28"/>
          <w:szCs w:val="28"/>
          <w:lang w:val="en-US" w:eastAsia="zh-CN"/>
        </w:rPr>
        <w:t>电梯维保公司，项目编号：</w:t>
      </w:r>
      <w:r>
        <w:rPr>
          <w:rFonts w:hint="eastAsia" w:ascii="仿宋" w:hAnsi="仿宋" w:eastAsia="仿宋" w:cs="仿宋"/>
          <w:color w:val="auto"/>
          <w:sz w:val="28"/>
          <w:szCs w:val="28"/>
          <w:u w:val="single"/>
          <w:lang w:val="en-US" w:eastAsia="zh-CN"/>
        </w:rPr>
        <w:t xml:space="preserve"> / </w:t>
      </w:r>
      <w:r>
        <w:rPr>
          <w:rFonts w:hint="eastAsia" w:ascii="仿宋" w:hAnsi="仿宋" w:eastAsia="仿宋" w:cs="仿宋"/>
          <w:color w:val="auto"/>
          <w:sz w:val="28"/>
          <w:szCs w:val="28"/>
        </w:rPr>
        <w:t>。甲乙双方根据《中华人民共和国民法典》</w:t>
      </w:r>
      <w:r>
        <w:rPr>
          <w:rFonts w:hint="eastAsia" w:ascii="仿宋" w:hAnsi="仿宋" w:eastAsia="仿宋" w:cs="仿宋"/>
          <w:color w:val="auto"/>
          <w:sz w:val="28"/>
          <w:szCs w:val="28"/>
          <w:lang w:val="en-US" w:eastAsia="zh-CN"/>
        </w:rPr>
        <w:t>《中华人民共和国政府采购法》</w:t>
      </w:r>
      <w:r>
        <w:rPr>
          <w:rFonts w:hint="eastAsia" w:ascii="仿宋" w:hAnsi="仿宋" w:eastAsia="仿宋" w:cs="仿宋"/>
          <w:color w:val="auto"/>
          <w:sz w:val="28"/>
          <w:szCs w:val="28"/>
        </w:rPr>
        <w:t>《中华人民共和国特种设备安全法》等有关法律法规的规定，秉着友好合作、互惠互利的原则，在项目采购确定内容的基础上，就电梯</w:t>
      </w:r>
      <w:r>
        <w:rPr>
          <w:rFonts w:hint="eastAsia" w:ascii="仿宋" w:hAnsi="仿宋" w:eastAsia="仿宋" w:cs="仿宋"/>
          <w:color w:val="auto"/>
          <w:sz w:val="28"/>
          <w:szCs w:val="28"/>
          <w:lang w:val="en-US" w:eastAsia="zh-CN"/>
        </w:rPr>
        <w:t>维保服务</w:t>
      </w:r>
      <w:r>
        <w:rPr>
          <w:rFonts w:hint="eastAsia" w:ascii="仿宋" w:hAnsi="仿宋" w:eastAsia="仿宋" w:cs="仿宋"/>
          <w:color w:val="auto"/>
          <w:sz w:val="28"/>
          <w:szCs w:val="28"/>
        </w:rPr>
        <w:t>项目相关事宜充分协商，订立本合同，以资共同遵守。</w:t>
      </w:r>
    </w:p>
    <w:p w14:paraId="0582019D">
      <w:pPr>
        <w:pStyle w:val="11"/>
        <w:keepNext w:val="0"/>
        <w:keepLines w:val="0"/>
        <w:pageBreakBefore w:val="0"/>
        <w:widowControl/>
        <w:numPr>
          <w:ilvl w:val="0"/>
          <w:numId w:val="2"/>
        </w:numPr>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项目名称、数量、单价</w:t>
      </w:r>
    </w:p>
    <w:tbl>
      <w:tblPr>
        <w:tblStyle w:val="13"/>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0"/>
        <w:gridCol w:w="2637"/>
        <w:gridCol w:w="2624"/>
      </w:tblGrid>
      <w:tr w14:paraId="4687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0" w:type="dxa"/>
            <w:vAlign w:val="center"/>
          </w:tcPr>
          <w:p w14:paraId="1012FA4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项目名称</w:t>
            </w:r>
          </w:p>
        </w:tc>
        <w:tc>
          <w:tcPr>
            <w:tcW w:w="2637" w:type="dxa"/>
            <w:vAlign w:val="center"/>
          </w:tcPr>
          <w:p w14:paraId="26E6A5D5">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数量</w:t>
            </w:r>
          </w:p>
        </w:tc>
        <w:tc>
          <w:tcPr>
            <w:tcW w:w="2624" w:type="dxa"/>
            <w:vAlign w:val="center"/>
          </w:tcPr>
          <w:p w14:paraId="4DAAA11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单价</w:t>
            </w:r>
          </w:p>
        </w:tc>
      </w:tr>
      <w:tr w14:paraId="795A5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0" w:type="dxa"/>
            <w:vAlign w:val="center"/>
          </w:tcPr>
          <w:p w14:paraId="32B7DF3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电梯维保服务</w:t>
            </w:r>
          </w:p>
        </w:tc>
        <w:tc>
          <w:tcPr>
            <w:tcW w:w="2637" w:type="dxa"/>
            <w:vAlign w:val="center"/>
          </w:tcPr>
          <w:p w14:paraId="284BE3E5">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台</w:t>
            </w:r>
          </w:p>
        </w:tc>
        <w:tc>
          <w:tcPr>
            <w:tcW w:w="2624" w:type="dxa"/>
            <w:vAlign w:val="center"/>
          </w:tcPr>
          <w:p w14:paraId="6ABF3242">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元/台</w:t>
            </w:r>
          </w:p>
        </w:tc>
      </w:tr>
      <w:tr w14:paraId="29005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3"/>
            <w:vAlign w:val="center"/>
          </w:tcPr>
          <w:p w14:paraId="0F3F49D4">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合计价款金额人民币（大写）：         元整  （小写）：        元</w:t>
            </w:r>
          </w:p>
        </w:tc>
      </w:tr>
    </w:tbl>
    <w:p w14:paraId="792CBBFA">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jc w:val="left"/>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注：1.本合同价格为固定价格，已经包</w:t>
      </w:r>
      <w:r>
        <w:rPr>
          <w:rFonts w:hint="eastAsia" w:ascii="仿宋" w:hAnsi="仿宋" w:eastAsia="仿宋" w:cs="仿宋"/>
          <w:b w:val="0"/>
          <w:bCs w:val="0"/>
          <w:color w:val="auto"/>
          <w:sz w:val="28"/>
          <w:szCs w:val="28"/>
        </w:rPr>
        <w:t>含</w:t>
      </w:r>
      <w:r>
        <w:rPr>
          <w:rFonts w:hint="eastAsia" w:ascii="仿宋" w:hAnsi="仿宋" w:eastAsia="仿宋" w:cs="仿宋"/>
          <w:b w:val="0"/>
          <w:bCs w:val="0"/>
          <w:color w:val="auto"/>
          <w:sz w:val="28"/>
          <w:szCs w:val="28"/>
          <w:lang w:eastAsia="zh-CN"/>
        </w:rPr>
        <w:t>乙方履行合同产生的</w:t>
      </w:r>
      <w:r>
        <w:rPr>
          <w:rFonts w:hint="eastAsia" w:ascii="仿宋" w:hAnsi="仿宋" w:eastAsia="仿宋" w:cs="仿宋"/>
          <w:b w:val="0"/>
          <w:bCs w:val="0"/>
          <w:color w:val="auto"/>
          <w:sz w:val="28"/>
          <w:szCs w:val="28"/>
          <w:lang w:val="en-US" w:eastAsia="zh-CN"/>
        </w:rPr>
        <w:t>人工费、</w:t>
      </w:r>
      <w:r>
        <w:rPr>
          <w:rFonts w:hint="eastAsia" w:ascii="仿宋" w:hAnsi="仿宋" w:eastAsia="仿宋" w:cs="仿宋"/>
          <w:b w:val="0"/>
          <w:bCs w:val="0"/>
          <w:color w:val="auto"/>
          <w:sz w:val="28"/>
          <w:szCs w:val="28"/>
        </w:rPr>
        <w:t>材料费、</w:t>
      </w:r>
      <w:r>
        <w:rPr>
          <w:rFonts w:hint="eastAsia" w:ascii="仿宋" w:hAnsi="仿宋" w:eastAsia="仿宋" w:cs="仿宋"/>
          <w:color w:val="auto"/>
          <w:sz w:val="28"/>
          <w:szCs w:val="28"/>
        </w:rPr>
        <w:t>500元以下的单个零配件</w:t>
      </w:r>
      <w:r>
        <w:rPr>
          <w:rFonts w:hint="eastAsia" w:ascii="仿宋" w:hAnsi="仿宋" w:eastAsia="仿宋" w:cs="仿宋"/>
          <w:color w:val="auto"/>
          <w:sz w:val="28"/>
          <w:szCs w:val="28"/>
          <w:lang w:val="en-US" w:eastAsia="zh-CN"/>
        </w:rPr>
        <w:t>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维保费、</w:t>
      </w:r>
      <w:r>
        <w:rPr>
          <w:rFonts w:hint="eastAsia" w:ascii="仿宋" w:hAnsi="仿宋" w:eastAsia="仿宋" w:cs="仿宋"/>
          <w:b w:val="0"/>
          <w:bCs w:val="0"/>
          <w:color w:val="auto"/>
          <w:sz w:val="28"/>
          <w:szCs w:val="28"/>
          <w:lang w:val="en-US" w:eastAsia="zh-CN"/>
        </w:rPr>
        <w:t>安装费、电梯年度检验检测费用、</w:t>
      </w:r>
      <w:r>
        <w:rPr>
          <w:rFonts w:hint="eastAsia" w:ascii="仿宋" w:hAnsi="仿宋" w:eastAsia="仿宋" w:cs="仿宋"/>
          <w:b w:val="0"/>
          <w:bCs w:val="0"/>
          <w:color w:val="auto"/>
          <w:sz w:val="28"/>
          <w:szCs w:val="28"/>
        </w:rPr>
        <w:t>设施设备费、运输装卸费、税费</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本合同约定的</w:t>
      </w:r>
      <w:r>
        <w:rPr>
          <w:rFonts w:hint="eastAsia" w:ascii="仿宋" w:hAnsi="仿宋" w:eastAsia="仿宋" w:cs="仿宋"/>
          <w:b w:val="0"/>
          <w:bCs w:val="0"/>
          <w:color w:val="auto"/>
          <w:sz w:val="28"/>
          <w:szCs w:val="28"/>
        </w:rPr>
        <w:t>配件费等所有费用。</w:t>
      </w:r>
    </w:p>
    <w:p w14:paraId="28039D83">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jc w:val="left"/>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rPr>
        <w:t>在本合同履行过程中，</w:t>
      </w:r>
      <w:r>
        <w:rPr>
          <w:rFonts w:hint="eastAsia" w:ascii="仿宋" w:hAnsi="仿宋" w:eastAsia="仿宋" w:cs="仿宋"/>
          <w:b w:val="0"/>
          <w:bCs w:val="0"/>
          <w:color w:val="auto"/>
          <w:sz w:val="28"/>
          <w:szCs w:val="28"/>
          <w:lang w:val="en-US" w:eastAsia="zh-CN"/>
        </w:rPr>
        <w:t>价格</w:t>
      </w:r>
      <w:r>
        <w:rPr>
          <w:rFonts w:hint="eastAsia" w:ascii="仿宋" w:hAnsi="仿宋" w:eastAsia="仿宋" w:cs="仿宋"/>
          <w:b w:val="0"/>
          <w:bCs w:val="0"/>
          <w:color w:val="auto"/>
          <w:sz w:val="28"/>
          <w:szCs w:val="28"/>
        </w:rPr>
        <w:t>不因材料、人工等市场价格波动作任何调整，也不再计取其他任何费用。</w:t>
      </w:r>
    </w:p>
    <w:p w14:paraId="18E2A6B1">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二、电梯品牌、数量（共</w:t>
      </w:r>
      <w:r>
        <w:rPr>
          <w:rFonts w:hint="eastAsia" w:ascii="仿宋" w:hAnsi="仿宋" w:eastAsia="仿宋" w:cs="仿宋"/>
          <w:b/>
          <w:bCs/>
          <w:color w:val="auto"/>
          <w:sz w:val="28"/>
          <w:szCs w:val="28"/>
          <w:highlight w:val="none"/>
          <w:lang w:val="en-US" w:eastAsia="zh-CN"/>
        </w:rPr>
        <w:t>34</w:t>
      </w:r>
      <w:r>
        <w:rPr>
          <w:rFonts w:hint="eastAsia" w:ascii="仿宋" w:hAnsi="仿宋" w:eastAsia="仿宋" w:cs="仿宋"/>
          <w:b/>
          <w:bCs/>
          <w:color w:val="auto"/>
          <w:sz w:val="28"/>
          <w:szCs w:val="28"/>
        </w:rPr>
        <w:t>台）、所在位置等</w:t>
      </w:r>
    </w:p>
    <w:p w14:paraId="51F66CEE">
      <w:pPr>
        <w:keepNext w:val="0"/>
        <w:keepLines w:val="0"/>
        <w:pageBreakBefore w:val="0"/>
        <w:widowControl w:val="0"/>
        <w:kinsoku/>
        <w:wordWrap/>
        <w:overflowPunct/>
        <w:topLinePunct w:val="0"/>
        <w:bidi w:val="0"/>
        <w:snapToGrid/>
        <w:spacing w:line="480" w:lineRule="exact"/>
        <w:ind w:left="0" w:right="0" w:rightChars="0"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1.沃克斯迅达直梯3台，3/3/3（</w:t>
      </w:r>
      <w:r>
        <w:rPr>
          <w:rFonts w:hint="eastAsia" w:ascii="仿宋" w:hAnsi="仿宋" w:eastAsia="仿宋" w:cs="仿宋"/>
          <w:color w:val="auto"/>
          <w:sz w:val="28"/>
          <w:szCs w:val="28"/>
          <w:lang w:val="en-US" w:eastAsia="zh-CN"/>
        </w:rPr>
        <w:t>急诊医技</w:t>
      </w:r>
      <w:r>
        <w:rPr>
          <w:rFonts w:hint="eastAsia" w:ascii="仿宋" w:hAnsi="仿宋" w:eastAsia="仿宋" w:cs="仿宋"/>
          <w:color w:val="auto"/>
          <w:sz w:val="28"/>
          <w:szCs w:val="28"/>
        </w:rPr>
        <w:t>综合楼）</w:t>
      </w:r>
    </w:p>
    <w:p w14:paraId="04C441E6">
      <w:pPr>
        <w:keepNext w:val="0"/>
        <w:keepLines w:val="0"/>
        <w:pageBreakBefore w:val="0"/>
        <w:widowControl w:val="0"/>
        <w:kinsoku/>
        <w:wordWrap/>
        <w:overflowPunct/>
        <w:topLinePunct w:val="0"/>
        <w:bidi w:val="0"/>
        <w:snapToGrid/>
        <w:spacing w:line="480" w:lineRule="exact"/>
        <w:ind w:left="0" w:right="0" w:rightChars="0"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2.沃克斯迅达直梯1台，4/4/4（</w:t>
      </w:r>
      <w:r>
        <w:rPr>
          <w:rFonts w:hint="eastAsia" w:ascii="仿宋" w:hAnsi="仿宋" w:eastAsia="仿宋" w:cs="仿宋"/>
          <w:color w:val="auto"/>
          <w:sz w:val="28"/>
          <w:szCs w:val="28"/>
          <w:lang w:val="en-US" w:eastAsia="zh-CN"/>
        </w:rPr>
        <w:t>急诊医技</w:t>
      </w:r>
      <w:r>
        <w:rPr>
          <w:rFonts w:hint="eastAsia" w:ascii="仿宋" w:hAnsi="仿宋" w:eastAsia="仿宋" w:cs="仿宋"/>
          <w:color w:val="auto"/>
          <w:sz w:val="28"/>
          <w:szCs w:val="28"/>
        </w:rPr>
        <w:t>综合楼）</w:t>
      </w:r>
    </w:p>
    <w:p w14:paraId="7EAA5CF6">
      <w:pPr>
        <w:keepNext w:val="0"/>
        <w:keepLines w:val="0"/>
        <w:pageBreakBefore w:val="0"/>
        <w:widowControl w:val="0"/>
        <w:kinsoku/>
        <w:wordWrap/>
        <w:overflowPunct/>
        <w:topLinePunct w:val="0"/>
        <w:bidi w:val="0"/>
        <w:snapToGrid/>
        <w:spacing w:line="480" w:lineRule="exact"/>
        <w:ind w:left="0" w:right="0" w:rightChars="0"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3.沃克斯迅达直梯1台，8/8/8（</w:t>
      </w:r>
      <w:r>
        <w:rPr>
          <w:rFonts w:hint="eastAsia" w:ascii="仿宋" w:hAnsi="仿宋" w:eastAsia="仿宋" w:cs="仿宋"/>
          <w:color w:val="auto"/>
          <w:sz w:val="28"/>
          <w:szCs w:val="28"/>
          <w:lang w:val="en-US" w:eastAsia="zh-CN"/>
        </w:rPr>
        <w:t>急诊医技</w:t>
      </w:r>
      <w:r>
        <w:rPr>
          <w:rFonts w:hint="eastAsia" w:ascii="仿宋" w:hAnsi="仿宋" w:eastAsia="仿宋" w:cs="仿宋"/>
          <w:color w:val="auto"/>
          <w:sz w:val="28"/>
          <w:szCs w:val="28"/>
        </w:rPr>
        <w:t>综合楼）</w:t>
      </w:r>
    </w:p>
    <w:p w14:paraId="0C5A797C">
      <w:pPr>
        <w:keepNext w:val="0"/>
        <w:keepLines w:val="0"/>
        <w:pageBreakBefore w:val="0"/>
        <w:widowControl w:val="0"/>
        <w:kinsoku/>
        <w:wordWrap/>
        <w:overflowPunct/>
        <w:topLinePunct w:val="0"/>
        <w:bidi w:val="0"/>
        <w:snapToGrid/>
        <w:spacing w:line="480" w:lineRule="exact"/>
        <w:ind w:left="0" w:right="0" w:rightChars="0"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4.沃克斯迅达直梯2台，10/10/10（</w:t>
      </w:r>
      <w:r>
        <w:rPr>
          <w:rFonts w:hint="eastAsia" w:ascii="仿宋" w:hAnsi="仿宋" w:eastAsia="仿宋" w:cs="仿宋"/>
          <w:color w:val="auto"/>
          <w:sz w:val="28"/>
          <w:szCs w:val="28"/>
          <w:lang w:val="en-US" w:eastAsia="zh-CN"/>
        </w:rPr>
        <w:t>急诊医技</w:t>
      </w:r>
      <w:r>
        <w:rPr>
          <w:rFonts w:hint="eastAsia" w:ascii="仿宋" w:hAnsi="仿宋" w:eastAsia="仿宋" w:cs="仿宋"/>
          <w:color w:val="auto"/>
          <w:sz w:val="28"/>
          <w:szCs w:val="28"/>
        </w:rPr>
        <w:t>综合楼）</w:t>
      </w:r>
    </w:p>
    <w:p w14:paraId="56D7A76C">
      <w:pPr>
        <w:keepNext w:val="0"/>
        <w:keepLines w:val="0"/>
        <w:pageBreakBefore w:val="0"/>
        <w:widowControl w:val="0"/>
        <w:kinsoku/>
        <w:wordWrap/>
        <w:overflowPunct/>
        <w:topLinePunct w:val="0"/>
        <w:bidi w:val="0"/>
        <w:snapToGrid/>
        <w:spacing w:line="480" w:lineRule="exact"/>
        <w:ind w:left="0" w:right="0" w:rightChars="0"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5.沃克斯迅达直梯1台，11/11/11（</w:t>
      </w:r>
      <w:r>
        <w:rPr>
          <w:rFonts w:hint="eastAsia" w:ascii="仿宋" w:hAnsi="仿宋" w:eastAsia="仿宋" w:cs="仿宋"/>
          <w:color w:val="auto"/>
          <w:sz w:val="28"/>
          <w:szCs w:val="28"/>
          <w:lang w:val="en-US" w:eastAsia="zh-CN"/>
        </w:rPr>
        <w:t>急诊医技</w:t>
      </w:r>
      <w:r>
        <w:rPr>
          <w:rFonts w:hint="eastAsia" w:ascii="仿宋" w:hAnsi="仿宋" w:eastAsia="仿宋" w:cs="仿宋"/>
          <w:color w:val="auto"/>
          <w:sz w:val="28"/>
          <w:szCs w:val="28"/>
        </w:rPr>
        <w:t>综合楼）</w:t>
      </w:r>
    </w:p>
    <w:p w14:paraId="2D0788DB">
      <w:pPr>
        <w:keepNext w:val="0"/>
        <w:keepLines w:val="0"/>
        <w:pageBreakBefore w:val="0"/>
        <w:widowControl w:val="0"/>
        <w:kinsoku/>
        <w:wordWrap/>
        <w:overflowPunct/>
        <w:topLinePunct w:val="0"/>
        <w:bidi w:val="0"/>
        <w:snapToGrid/>
        <w:spacing w:line="480" w:lineRule="exact"/>
        <w:ind w:left="0" w:right="0" w:rightChars="0"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6.沃克斯迅达直梯4台，15/15/15（</w:t>
      </w:r>
      <w:r>
        <w:rPr>
          <w:rFonts w:hint="eastAsia" w:ascii="仿宋" w:hAnsi="仿宋" w:eastAsia="仿宋" w:cs="仿宋"/>
          <w:color w:val="auto"/>
          <w:sz w:val="28"/>
          <w:szCs w:val="28"/>
          <w:lang w:val="en-US" w:eastAsia="zh-CN"/>
        </w:rPr>
        <w:t>急诊医技</w:t>
      </w:r>
      <w:r>
        <w:rPr>
          <w:rFonts w:hint="eastAsia" w:ascii="仿宋" w:hAnsi="仿宋" w:eastAsia="仿宋" w:cs="仿宋"/>
          <w:color w:val="auto"/>
          <w:sz w:val="28"/>
          <w:szCs w:val="28"/>
        </w:rPr>
        <w:t>综合楼大厅）</w:t>
      </w:r>
    </w:p>
    <w:p w14:paraId="7660E0E1">
      <w:pPr>
        <w:keepNext w:val="0"/>
        <w:keepLines w:val="0"/>
        <w:pageBreakBefore w:val="0"/>
        <w:widowControl w:val="0"/>
        <w:kinsoku/>
        <w:wordWrap/>
        <w:overflowPunct/>
        <w:topLinePunct w:val="0"/>
        <w:bidi w:val="0"/>
        <w:snapToGrid/>
        <w:spacing w:line="480" w:lineRule="exact"/>
        <w:ind w:left="0" w:right="0" w:rightChars="0"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7.沃克斯迅达直梯9台，18/18/18（</w:t>
      </w:r>
      <w:r>
        <w:rPr>
          <w:rFonts w:hint="eastAsia" w:ascii="仿宋" w:hAnsi="仿宋" w:eastAsia="仿宋" w:cs="仿宋"/>
          <w:color w:val="auto"/>
          <w:sz w:val="28"/>
          <w:szCs w:val="28"/>
          <w:lang w:val="en-US" w:eastAsia="zh-CN"/>
        </w:rPr>
        <w:t>急诊医技</w:t>
      </w:r>
      <w:r>
        <w:rPr>
          <w:rFonts w:hint="eastAsia" w:ascii="仿宋" w:hAnsi="仿宋" w:eastAsia="仿宋" w:cs="仿宋"/>
          <w:color w:val="auto"/>
          <w:sz w:val="28"/>
          <w:szCs w:val="28"/>
        </w:rPr>
        <w:t>综合楼）</w:t>
      </w:r>
    </w:p>
    <w:p w14:paraId="58C915E3">
      <w:pPr>
        <w:keepNext w:val="0"/>
        <w:keepLines w:val="0"/>
        <w:pageBreakBefore w:val="0"/>
        <w:widowControl w:val="0"/>
        <w:kinsoku/>
        <w:wordWrap/>
        <w:overflowPunct/>
        <w:topLinePunct w:val="0"/>
        <w:bidi w:val="0"/>
        <w:snapToGrid/>
        <w:spacing w:line="480" w:lineRule="exact"/>
        <w:ind w:left="0" w:right="0" w:rightChars="0"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8.沃克斯迅达直梯1台</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19/19/19（</w:t>
      </w:r>
      <w:r>
        <w:rPr>
          <w:rFonts w:hint="eastAsia" w:ascii="仿宋" w:hAnsi="仿宋" w:eastAsia="仿宋" w:cs="仿宋"/>
          <w:color w:val="auto"/>
          <w:sz w:val="28"/>
          <w:szCs w:val="28"/>
          <w:lang w:val="en-US" w:eastAsia="zh-CN"/>
        </w:rPr>
        <w:t>急诊医技</w:t>
      </w:r>
      <w:r>
        <w:rPr>
          <w:rFonts w:hint="eastAsia" w:ascii="仿宋" w:hAnsi="仿宋" w:eastAsia="仿宋" w:cs="仿宋"/>
          <w:color w:val="auto"/>
          <w:sz w:val="28"/>
          <w:szCs w:val="28"/>
        </w:rPr>
        <w:t>综合楼）</w:t>
      </w:r>
    </w:p>
    <w:p w14:paraId="5CFDD19E">
      <w:pPr>
        <w:keepNext w:val="0"/>
        <w:keepLines w:val="0"/>
        <w:pageBreakBefore w:val="0"/>
        <w:widowControl w:val="0"/>
        <w:kinsoku/>
        <w:wordWrap/>
        <w:overflowPunct/>
        <w:topLinePunct w:val="0"/>
        <w:bidi w:val="0"/>
        <w:snapToGrid/>
        <w:spacing w:line="480" w:lineRule="exact"/>
        <w:ind w:left="0" w:right="0" w:rightChars="0"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9.沃克斯迅达扶梯12台，（</w:t>
      </w:r>
      <w:r>
        <w:rPr>
          <w:rFonts w:hint="eastAsia" w:ascii="仿宋" w:hAnsi="仿宋" w:eastAsia="仿宋" w:cs="仿宋"/>
          <w:color w:val="auto"/>
          <w:sz w:val="28"/>
          <w:szCs w:val="28"/>
          <w:lang w:val="en-US" w:eastAsia="zh-CN"/>
        </w:rPr>
        <w:t>急诊医技</w:t>
      </w:r>
      <w:r>
        <w:rPr>
          <w:rFonts w:hint="eastAsia" w:ascii="仿宋" w:hAnsi="仿宋" w:eastAsia="仿宋" w:cs="仿宋"/>
          <w:color w:val="auto"/>
          <w:sz w:val="28"/>
          <w:szCs w:val="28"/>
        </w:rPr>
        <w:t>综合楼1-6楼）</w:t>
      </w:r>
    </w:p>
    <w:p w14:paraId="23EEB6F1">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三、合同期限</w:t>
      </w:r>
    </w:p>
    <w:p w14:paraId="64EED9BF">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本合同期限为</w:t>
      </w:r>
      <w:r>
        <w:rPr>
          <w:rFonts w:hint="eastAsia" w:ascii="仿宋" w:hAnsi="仿宋" w:eastAsia="仿宋" w:cs="仿宋"/>
          <w:color w:val="auto"/>
          <w:sz w:val="28"/>
          <w:szCs w:val="28"/>
          <w:u w:val="single"/>
          <w:lang w:val="en-US" w:eastAsia="zh-CN"/>
        </w:rPr>
        <w:t xml:space="preserve"> 22</w:t>
      </w:r>
      <w:r>
        <w:rPr>
          <w:rFonts w:hint="eastAsia" w:ascii="仿宋" w:hAnsi="仿宋" w:eastAsia="仿宋" w:cs="仿宋"/>
          <w:color w:val="auto"/>
          <w:sz w:val="28"/>
          <w:szCs w:val="28"/>
          <w:u w:val="none"/>
          <w:lang w:val="en-US" w:eastAsia="zh-CN"/>
        </w:rPr>
        <w:t>个</w:t>
      </w:r>
      <w:r>
        <w:rPr>
          <w:rFonts w:hint="eastAsia" w:ascii="仿宋" w:hAnsi="仿宋" w:eastAsia="仿宋" w:cs="仿宋"/>
          <w:color w:val="auto"/>
          <w:sz w:val="28"/>
          <w:szCs w:val="28"/>
          <w:lang w:val="en-US" w:eastAsia="zh-CN"/>
        </w:rPr>
        <w:t>月</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自</w:t>
      </w:r>
      <w:r>
        <w:rPr>
          <w:rFonts w:hint="eastAsia" w:ascii="仿宋" w:hAnsi="仿宋" w:eastAsia="仿宋" w:cs="仿宋"/>
          <w:color w:val="auto"/>
          <w:sz w:val="28"/>
          <w:szCs w:val="28"/>
          <w:lang w:val="en-US" w:eastAsia="zh-CN"/>
        </w:rPr>
        <w:t>合同签订之日起开始计算22个月</w:t>
      </w:r>
      <w:r>
        <w:rPr>
          <w:rFonts w:hint="eastAsia" w:ascii="仿宋" w:hAnsi="仿宋" w:eastAsia="仿宋" w:cs="仿宋"/>
          <w:color w:val="auto"/>
          <w:sz w:val="28"/>
          <w:szCs w:val="28"/>
        </w:rPr>
        <w:t>。</w:t>
      </w:r>
    </w:p>
    <w:p w14:paraId="135F56F8">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本合同期限届满后至甲方重新招标选定的维保服务单位进场提供维保服务时止，乙方必须按本合同约定继续全面履行、保证电梯安全使用，以确保甲方工作正常运行。甲方按本合同约定服务费标准向乙方计付维保服务费。</w:t>
      </w:r>
    </w:p>
    <w:p w14:paraId="0A57D633">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2" w:firstLineChars="200"/>
        <w:textAlignment w:val="auto"/>
        <w:rPr>
          <w:rFonts w:hint="eastAsia" w:ascii="仿宋" w:hAnsi="仿宋" w:eastAsia="仿宋" w:cs="仿宋"/>
          <w:b/>
          <w:color w:val="auto"/>
          <w:sz w:val="28"/>
          <w:szCs w:val="28"/>
        </w:rPr>
      </w:pPr>
      <w:r>
        <w:rPr>
          <w:rFonts w:hint="eastAsia" w:ascii="仿宋" w:hAnsi="仿宋" w:eastAsia="仿宋" w:cs="仿宋"/>
          <w:b/>
          <w:bCs/>
          <w:color w:val="auto"/>
          <w:sz w:val="28"/>
          <w:szCs w:val="28"/>
        </w:rPr>
        <w:t>四、</w:t>
      </w:r>
      <w:r>
        <w:rPr>
          <w:rFonts w:hint="eastAsia" w:ascii="仿宋" w:hAnsi="仿宋" w:eastAsia="仿宋" w:cs="仿宋"/>
          <w:b/>
          <w:color w:val="auto"/>
          <w:sz w:val="28"/>
          <w:szCs w:val="28"/>
        </w:rPr>
        <w:t>乙方责任及具体要求</w:t>
      </w:r>
    </w:p>
    <w:p w14:paraId="5A7B4F92">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在签订合同时，必须向甲方出示国家质量技术监督部门颁发的B级客梯电梯维保许可资质证明、公司营业执照等相关证明，并向甲方提交相关资质证明的复印件以备案。</w:t>
      </w:r>
    </w:p>
    <w:p w14:paraId="5200B542">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.履行本合同期间严格遵循</w:t>
      </w:r>
      <w:r>
        <w:rPr>
          <w:rFonts w:hint="eastAsia" w:ascii="仿宋" w:hAnsi="仿宋" w:eastAsia="仿宋" w:cs="仿宋"/>
          <w:color w:val="auto"/>
          <w:sz w:val="28"/>
          <w:szCs w:val="28"/>
        </w:rPr>
        <w:t>《湖南省电梯维修保养管理办法》标准</w:t>
      </w:r>
      <w:r>
        <w:rPr>
          <w:rFonts w:hint="eastAsia" w:ascii="仿宋" w:hAnsi="仿宋" w:eastAsia="仿宋" w:cs="仿宋"/>
          <w:color w:val="auto"/>
          <w:sz w:val="28"/>
          <w:szCs w:val="28"/>
          <w:lang w:eastAsia="zh-CN"/>
        </w:rPr>
        <w:t>执行</w:t>
      </w:r>
      <w:r>
        <w:rPr>
          <w:rFonts w:hint="eastAsia" w:ascii="仿宋" w:hAnsi="仿宋" w:eastAsia="仿宋" w:cs="仿宋"/>
          <w:color w:val="auto"/>
          <w:sz w:val="28"/>
          <w:szCs w:val="28"/>
        </w:rPr>
        <w:t xml:space="preserve">。   </w:t>
      </w:r>
    </w:p>
    <w:p w14:paraId="4DB99998">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.指派乙方持证正式员工</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常驻</w:t>
      </w:r>
      <w:r>
        <w:rPr>
          <w:rFonts w:hint="eastAsia" w:ascii="仿宋" w:hAnsi="仿宋" w:eastAsia="仿宋" w:cs="仿宋"/>
          <w:color w:val="auto"/>
          <w:sz w:val="28"/>
          <w:szCs w:val="28"/>
          <w:lang w:val="en-US" w:eastAsia="zh-CN"/>
        </w:rPr>
        <w:t>甲方进行全天24小时</w:t>
      </w:r>
      <w:r>
        <w:rPr>
          <w:rFonts w:hint="eastAsia" w:ascii="仿宋" w:hAnsi="仿宋" w:eastAsia="仿宋" w:cs="仿宋"/>
          <w:color w:val="auto"/>
          <w:sz w:val="28"/>
          <w:szCs w:val="28"/>
        </w:rPr>
        <w:t>电梯维保</w:t>
      </w:r>
      <w:r>
        <w:rPr>
          <w:rFonts w:hint="eastAsia" w:ascii="仿宋" w:hAnsi="仿宋" w:eastAsia="仿宋" w:cs="仿宋"/>
          <w:color w:val="auto"/>
          <w:sz w:val="28"/>
          <w:szCs w:val="28"/>
          <w:lang w:eastAsia="zh-CN"/>
        </w:rPr>
        <w:t>；如该人员发生</w:t>
      </w:r>
      <w:r>
        <w:rPr>
          <w:rFonts w:hint="eastAsia" w:ascii="仿宋" w:hAnsi="仿宋" w:eastAsia="仿宋" w:cs="仿宋"/>
          <w:color w:val="auto"/>
          <w:sz w:val="28"/>
          <w:szCs w:val="28"/>
        </w:rPr>
        <w:t>变化</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应及时书面告知甲方</w:t>
      </w:r>
      <w:r>
        <w:rPr>
          <w:rFonts w:hint="eastAsia" w:ascii="仿宋" w:hAnsi="仿宋" w:eastAsia="仿宋" w:cs="仿宋"/>
          <w:color w:val="auto"/>
          <w:sz w:val="28"/>
          <w:szCs w:val="28"/>
          <w:lang w:eastAsia="zh-CN"/>
        </w:rPr>
        <w:t>，否则</w:t>
      </w:r>
      <w:r>
        <w:rPr>
          <w:rFonts w:hint="eastAsia" w:ascii="仿宋" w:hAnsi="仿宋" w:eastAsia="仿宋" w:cs="仿宋"/>
          <w:color w:val="auto"/>
          <w:sz w:val="28"/>
          <w:szCs w:val="28"/>
        </w:rPr>
        <w:t>应承担相应的法律后果。</w:t>
      </w:r>
    </w:p>
    <w:p w14:paraId="7A169546">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必须根据甲方要求</w:t>
      </w:r>
      <w:r>
        <w:rPr>
          <w:rFonts w:hint="eastAsia" w:ascii="仿宋" w:hAnsi="仿宋" w:eastAsia="仿宋" w:cs="仿宋"/>
          <w:color w:val="auto"/>
          <w:sz w:val="28"/>
          <w:szCs w:val="28"/>
          <w:lang w:val="en-US" w:eastAsia="zh-CN"/>
        </w:rPr>
        <w:t>开展</w:t>
      </w:r>
      <w:r>
        <w:rPr>
          <w:rFonts w:hint="eastAsia" w:ascii="仿宋" w:hAnsi="仿宋" w:eastAsia="仿宋" w:cs="仿宋"/>
          <w:color w:val="auto"/>
          <w:sz w:val="28"/>
          <w:szCs w:val="28"/>
        </w:rPr>
        <w:t>工作</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在</w:t>
      </w:r>
      <w:r>
        <w:rPr>
          <w:rFonts w:hint="eastAsia" w:ascii="仿宋" w:hAnsi="仿宋" w:eastAsia="仿宋" w:cs="仿宋"/>
          <w:color w:val="auto"/>
          <w:sz w:val="28"/>
          <w:szCs w:val="28"/>
        </w:rPr>
        <w:t>不影响甲方正常工作的前提下对维保电梯提供全年（含国家法定节假日）每天24小时维护保养服务，并且不另行计费。乙方维保人员</w:t>
      </w:r>
      <w:r>
        <w:rPr>
          <w:rFonts w:hint="eastAsia" w:ascii="仿宋" w:hAnsi="仿宋" w:eastAsia="仿宋" w:cs="仿宋"/>
          <w:color w:val="auto"/>
          <w:sz w:val="28"/>
          <w:szCs w:val="28"/>
          <w:lang w:eastAsia="zh-CN"/>
        </w:rPr>
        <w:t>必须保证</w:t>
      </w:r>
      <w:r>
        <w:rPr>
          <w:rFonts w:hint="eastAsia" w:ascii="仿宋" w:hAnsi="仿宋" w:eastAsia="仿宋" w:cs="仿宋"/>
          <w:color w:val="auto"/>
          <w:sz w:val="28"/>
          <w:szCs w:val="28"/>
        </w:rPr>
        <w:t>与甲方的通讯畅通，不得以任何原因影响维修的及时性</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甲方设备若发生故障需要处理时，乙方在接到甲方或第三方通知</w:t>
      </w:r>
      <w:r>
        <w:rPr>
          <w:rFonts w:hint="eastAsia" w:ascii="仿宋" w:hAnsi="仿宋" w:eastAsia="仿宋" w:cs="仿宋"/>
          <w:color w:val="auto"/>
          <w:sz w:val="28"/>
          <w:szCs w:val="28"/>
          <w:lang w:val="en-US" w:eastAsia="zh-CN"/>
        </w:rPr>
        <w:t>时起</w:t>
      </w:r>
      <w:r>
        <w:rPr>
          <w:rFonts w:hint="eastAsia" w:ascii="仿宋" w:hAnsi="仿宋" w:eastAsia="仿宋" w:cs="仿宋"/>
          <w:color w:val="auto"/>
          <w:sz w:val="28"/>
          <w:szCs w:val="28"/>
          <w:highlight w:val="none"/>
          <w:lang w:val="en-US" w:eastAsia="zh-CN"/>
        </w:rPr>
        <w:t>15分钟</w:t>
      </w:r>
      <w:r>
        <w:rPr>
          <w:rFonts w:hint="eastAsia" w:ascii="仿宋" w:hAnsi="仿宋" w:eastAsia="仿宋" w:cs="仿宋"/>
          <w:color w:val="auto"/>
          <w:sz w:val="28"/>
          <w:szCs w:val="28"/>
        </w:rPr>
        <w:t>内</w:t>
      </w:r>
      <w:r>
        <w:rPr>
          <w:rFonts w:hint="eastAsia" w:ascii="仿宋" w:hAnsi="仿宋" w:eastAsia="仿宋" w:cs="仿宋"/>
          <w:color w:val="auto"/>
          <w:sz w:val="28"/>
          <w:szCs w:val="28"/>
          <w:lang w:val="en-US" w:eastAsia="zh-CN"/>
        </w:rPr>
        <w:t>必须</w:t>
      </w:r>
      <w:r>
        <w:rPr>
          <w:rFonts w:hint="eastAsia" w:ascii="仿宋" w:hAnsi="仿宋" w:eastAsia="仿宋" w:cs="仿宋"/>
          <w:color w:val="auto"/>
          <w:sz w:val="28"/>
          <w:szCs w:val="28"/>
        </w:rPr>
        <w:t>赶到现场进行处理，如未能按时赶到</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甲方有权按</w:t>
      </w:r>
      <w:r>
        <w:rPr>
          <w:rFonts w:hint="eastAsia" w:ascii="仿宋" w:hAnsi="仿宋" w:eastAsia="仿宋" w:cs="仿宋"/>
          <w:color w:val="auto"/>
          <w:sz w:val="28"/>
          <w:szCs w:val="28"/>
        </w:rPr>
        <w:t>200元</w:t>
      </w:r>
      <w:r>
        <w:rPr>
          <w:rFonts w:hint="eastAsia" w:ascii="仿宋" w:hAnsi="仿宋" w:eastAsia="仿宋" w:cs="仿宋"/>
          <w:color w:val="auto"/>
          <w:sz w:val="28"/>
          <w:szCs w:val="28"/>
          <w:lang w:val="en-US" w:eastAsia="zh-CN"/>
        </w:rPr>
        <w:t>/次标准扣除维保费；如乙方人员</w:t>
      </w:r>
      <w:r>
        <w:rPr>
          <w:rFonts w:hint="eastAsia" w:ascii="仿宋" w:hAnsi="仿宋" w:eastAsia="仿宋" w:cs="仿宋"/>
          <w:color w:val="auto"/>
          <w:sz w:val="28"/>
          <w:szCs w:val="28"/>
        </w:rPr>
        <w:t>服务态度不好</w:t>
      </w:r>
      <w:r>
        <w:rPr>
          <w:rFonts w:hint="eastAsia" w:ascii="仿宋" w:hAnsi="仿宋" w:eastAsia="仿宋" w:cs="仿宋"/>
          <w:color w:val="auto"/>
          <w:sz w:val="28"/>
          <w:szCs w:val="28"/>
          <w:lang w:val="en-US" w:eastAsia="zh-CN"/>
        </w:rPr>
        <w:t>被</w:t>
      </w:r>
      <w:r>
        <w:rPr>
          <w:rFonts w:hint="eastAsia" w:ascii="仿宋" w:hAnsi="仿宋" w:eastAsia="仿宋" w:cs="仿宋"/>
          <w:color w:val="auto"/>
          <w:sz w:val="28"/>
          <w:szCs w:val="28"/>
        </w:rPr>
        <w:t>投诉</w:t>
      </w:r>
      <w:r>
        <w:rPr>
          <w:rFonts w:hint="eastAsia" w:ascii="仿宋" w:hAnsi="仿宋" w:eastAsia="仿宋" w:cs="仿宋"/>
          <w:color w:val="auto"/>
          <w:sz w:val="28"/>
          <w:szCs w:val="28"/>
          <w:lang w:val="en-US" w:eastAsia="zh-CN"/>
        </w:rPr>
        <w:t>且</w:t>
      </w:r>
      <w:r>
        <w:rPr>
          <w:rFonts w:hint="eastAsia" w:ascii="仿宋" w:hAnsi="仿宋" w:eastAsia="仿宋" w:cs="仿宋"/>
          <w:color w:val="auto"/>
          <w:sz w:val="28"/>
          <w:szCs w:val="28"/>
        </w:rPr>
        <w:t>经甲方主管科室确认后，</w:t>
      </w:r>
      <w:r>
        <w:rPr>
          <w:rFonts w:hint="eastAsia" w:ascii="仿宋" w:hAnsi="仿宋" w:eastAsia="仿宋" w:cs="仿宋"/>
          <w:color w:val="auto"/>
          <w:sz w:val="28"/>
          <w:szCs w:val="28"/>
          <w:lang w:val="en-US" w:eastAsia="zh-CN"/>
        </w:rPr>
        <w:t>甲方有权按</w:t>
      </w:r>
      <w:r>
        <w:rPr>
          <w:rFonts w:hint="eastAsia" w:ascii="仿宋" w:hAnsi="仿宋" w:eastAsia="仿宋" w:cs="仿宋"/>
          <w:color w:val="auto"/>
          <w:sz w:val="28"/>
          <w:szCs w:val="28"/>
        </w:rPr>
        <w:t>100元</w:t>
      </w:r>
      <w:r>
        <w:rPr>
          <w:rFonts w:hint="eastAsia" w:ascii="仿宋" w:hAnsi="仿宋" w:eastAsia="仿宋" w:cs="仿宋"/>
          <w:color w:val="auto"/>
          <w:sz w:val="28"/>
          <w:szCs w:val="28"/>
          <w:lang w:val="en-US" w:eastAsia="zh-CN"/>
        </w:rPr>
        <w:t>/次的标准扣除维保费</w:t>
      </w:r>
      <w:r>
        <w:rPr>
          <w:rFonts w:hint="eastAsia" w:ascii="仿宋" w:hAnsi="仿宋" w:eastAsia="仿宋" w:cs="仿宋"/>
          <w:color w:val="auto"/>
          <w:sz w:val="28"/>
          <w:szCs w:val="28"/>
        </w:rPr>
        <w:t>。</w:t>
      </w:r>
    </w:p>
    <w:p w14:paraId="1F8014CA">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5</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维保人员</w:t>
      </w:r>
      <w:r>
        <w:rPr>
          <w:rFonts w:hint="eastAsia" w:ascii="仿宋" w:hAnsi="仿宋" w:eastAsia="仿宋" w:cs="仿宋"/>
          <w:color w:val="auto"/>
          <w:sz w:val="28"/>
          <w:szCs w:val="28"/>
          <w:lang w:eastAsia="zh-CN"/>
        </w:rPr>
        <w:t>在服务期间</w:t>
      </w:r>
      <w:r>
        <w:rPr>
          <w:rFonts w:hint="eastAsia" w:ascii="仿宋" w:hAnsi="仿宋" w:eastAsia="仿宋" w:cs="仿宋"/>
          <w:color w:val="auto"/>
          <w:sz w:val="28"/>
          <w:szCs w:val="28"/>
        </w:rPr>
        <w:t>必须佩戴《特种设备操作人员资格证》胸卡，并遵守甲方的有关规定制度</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维</w:t>
      </w:r>
      <w:r>
        <w:rPr>
          <w:rFonts w:hint="eastAsia" w:ascii="仿宋" w:hAnsi="仿宋" w:eastAsia="仿宋" w:cs="仿宋"/>
          <w:color w:val="auto"/>
          <w:sz w:val="28"/>
          <w:szCs w:val="28"/>
          <w:lang w:val="en-US" w:eastAsia="zh-CN"/>
        </w:rPr>
        <w:t>保</w:t>
      </w:r>
      <w:r>
        <w:rPr>
          <w:rFonts w:hint="eastAsia" w:ascii="仿宋" w:hAnsi="仿宋" w:eastAsia="仿宋" w:cs="仿宋"/>
          <w:color w:val="auto"/>
          <w:sz w:val="28"/>
          <w:szCs w:val="28"/>
        </w:rPr>
        <w:t>人员每次</w:t>
      </w:r>
      <w:r>
        <w:rPr>
          <w:rFonts w:hint="eastAsia" w:ascii="仿宋" w:hAnsi="仿宋" w:eastAsia="仿宋" w:cs="仿宋"/>
          <w:color w:val="auto"/>
          <w:sz w:val="28"/>
          <w:szCs w:val="28"/>
          <w:lang w:val="en-US" w:eastAsia="zh-CN"/>
        </w:rPr>
        <w:t>完成维保服务</w:t>
      </w:r>
      <w:r>
        <w:rPr>
          <w:rFonts w:hint="eastAsia" w:ascii="仿宋" w:hAnsi="仿宋" w:eastAsia="仿宋" w:cs="仿宋"/>
          <w:color w:val="auto"/>
          <w:sz w:val="28"/>
          <w:szCs w:val="28"/>
        </w:rPr>
        <w:t>，应请甲方管理人员在《电梯</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扶梯</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维护保养报告书》上签字确认。</w:t>
      </w:r>
    </w:p>
    <w:p w14:paraId="00E6EE8D">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6</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须提供电梯保养项目及计划。至少每两周一次对安全装置、钢丝绳、制动器、接触器和其他运转部位的外观和运转情况进行检查；每半年对安全装置、限速器、缓冲器进行安全试验；每年必须对设备至少进行1次机械制动器的制动能力试验，并每年不少于</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次对电梯运转情况进行全面检查，保持电梯机房和底坑卫生整洁。以上检查乙方每次须到甲方</w:t>
      </w:r>
      <w:r>
        <w:rPr>
          <w:rFonts w:hint="eastAsia" w:ascii="仿宋" w:hAnsi="仿宋" w:eastAsia="仿宋" w:cs="仿宋"/>
          <w:color w:val="auto"/>
          <w:sz w:val="28"/>
          <w:szCs w:val="28"/>
          <w:lang w:eastAsia="zh-CN"/>
        </w:rPr>
        <w:t>总务科</w:t>
      </w:r>
      <w:r>
        <w:rPr>
          <w:rFonts w:hint="eastAsia" w:ascii="仿宋" w:hAnsi="仿宋" w:eastAsia="仿宋" w:cs="仿宋"/>
          <w:color w:val="auto"/>
          <w:sz w:val="28"/>
          <w:szCs w:val="28"/>
        </w:rPr>
        <w:t>书面登记</w:t>
      </w:r>
      <w:r>
        <w:rPr>
          <w:rFonts w:hint="eastAsia" w:ascii="仿宋" w:hAnsi="仿宋" w:eastAsia="仿宋" w:cs="仿宋"/>
          <w:color w:val="auto"/>
          <w:sz w:val="28"/>
          <w:szCs w:val="28"/>
          <w:lang w:val="en-US" w:eastAsia="zh-CN"/>
        </w:rPr>
        <w:t>并经确认后方可进行</w:t>
      </w:r>
      <w:r>
        <w:rPr>
          <w:rFonts w:hint="eastAsia" w:ascii="仿宋" w:hAnsi="仿宋" w:eastAsia="仿宋" w:cs="仿宋"/>
          <w:color w:val="auto"/>
          <w:sz w:val="28"/>
          <w:szCs w:val="28"/>
        </w:rPr>
        <w:t>。</w:t>
      </w:r>
    </w:p>
    <w:p w14:paraId="347FB2E0">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7</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乙方对甲方电梯进行日常维护保养时，</w:t>
      </w:r>
      <w:r>
        <w:rPr>
          <w:rFonts w:hint="eastAsia" w:ascii="仿宋" w:hAnsi="仿宋" w:eastAsia="仿宋" w:cs="仿宋"/>
          <w:color w:val="auto"/>
          <w:sz w:val="28"/>
          <w:szCs w:val="28"/>
          <w:lang w:eastAsia="zh-CN"/>
        </w:rPr>
        <w:t>应</w:t>
      </w:r>
      <w:r>
        <w:rPr>
          <w:rFonts w:hint="eastAsia" w:ascii="仿宋" w:hAnsi="仿宋" w:eastAsia="仿宋" w:cs="仿宋"/>
          <w:color w:val="auto"/>
          <w:sz w:val="28"/>
          <w:szCs w:val="28"/>
        </w:rPr>
        <w:t>严格按照电梯设备要求维保程序及标准进行保养，单台电梯维保时间（停梯时间）一般应控制在1小时内完成。甲方电梯发生故障</w:t>
      </w:r>
      <w:r>
        <w:rPr>
          <w:rFonts w:hint="eastAsia" w:ascii="仿宋" w:hAnsi="仿宋" w:eastAsia="仿宋" w:cs="仿宋"/>
          <w:color w:val="auto"/>
          <w:sz w:val="28"/>
          <w:szCs w:val="28"/>
          <w:lang w:eastAsia="zh-CN"/>
        </w:rPr>
        <w:t>的</w:t>
      </w:r>
      <w:r>
        <w:rPr>
          <w:rFonts w:hint="eastAsia" w:ascii="仿宋" w:hAnsi="仿宋" w:eastAsia="仿宋" w:cs="仿宋"/>
          <w:color w:val="auto"/>
          <w:sz w:val="28"/>
          <w:szCs w:val="28"/>
        </w:rPr>
        <w:t>，一般故障乙方应确保在2小时内予以修复，重大故障经甲方共同确认后应在12小时内予以修复。</w:t>
      </w:r>
      <w:r>
        <w:rPr>
          <w:rFonts w:hint="eastAsia" w:ascii="仿宋" w:hAnsi="仿宋" w:eastAsia="仿宋" w:cs="仿宋"/>
          <w:color w:val="auto"/>
          <w:sz w:val="28"/>
          <w:szCs w:val="28"/>
          <w:lang w:val="en-US" w:eastAsia="zh-CN"/>
        </w:rPr>
        <w:t>乙方每次完成维保后应对机房卫生进行清理，每月进行一次机房大扫除。</w:t>
      </w:r>
    </w:p>
    <w:p w14:paraId="626DA1D1">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应在轿厢的显著位置标明乙方的单位名称、紧急救援电话、投诉电话和甲方总值班电话。</w:t>
      </w:r>
    </w:p>
    <w:p w14:paraId="5806DBD7">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9</w:t>
      </w:r>
      <w:r>
        <w:rPr>
          <w:rFonts w:hint="eastAsia" w:ascii="仿宋" w:hAnsi="仿宋" w:eastAsia="仿宋" w:cs="仿宋"/>
          <w:color w:val="auto"/>
          <w:sz w:val="28"/>
          <w:szCs w:val="28"/>
          <w:lang w:val="en-US" w:eastAsia="zh-CN"/>
        </w:rPr>
        <w:t>.在合同期限内，乙方</w:t>
      </w:r>
      <w:r>
        <w:rPr>
          <w:rFonts w:hint="eastAsia" w:ascii="仿宋" w:hAnsi="仿宋" w:eastAsia="仿宋" w:cs="仿宋"/>
          <w:color w:val="auto"/>
          <w:sz w:val="28"/>
          <w:szCs w:val="28"/>
        </w:rPr>
        <w:t>负责</w:t>
      </w:r>
      <w:r>
        <w:rPr>
          <w:rFonts w:hint="eastAsia" w:ascii="仿宋" w:hAnsi="仿宋" w:eastAsia="仿宋" w:cs="仿宋"/>
          <w:color w:val="auto"/>
          <w:sz w:val="28"/>
          <w:szCs w:val="28"/>
          <w:lang w:val="en-US" w:eastAsia="zh-CN"/>
        </w:rPr>
        <w:t>本合同约定所有</w:t>
      </w:r>
      <w:r>
        <w:rPr>
          <w:rFonts w:hint="eastAsia" w:ascii="仿宋" w:hAnsi="仿宋" w:eastAsia="仿宋" w:cs="仿宋"/>
          <w:color w:val="auto"/>
          <w:sz w:val="28"/>
          <w:szCs w:val="28"/>
        </w:rPr>
        <w:t>电梯</w:t>
      </w:r>
      <w:r>
        <w:rPr>
          <w:rFonts w:hint="eastAsia" w:ascii="仿宋" w:hAnsi="仿宋" w:eastAsia="仿宋" w:cs="仿宋"/>
          <w:color w:val="auto"/>
          <w:sz w:val="28"/>
          <w:szCs w:val="28"/>
          <w:lang w:eastAsia="zh-CN"/>
        </w:rPr>
        <w:t>年度</w:t>
      </w:r>
      <w:r>
        <w:rPr>
          <w:rFonts w:hint="eastAsia" w:ascii="仿宋" w:hAnsi="仿宋" w:eastAsia="仿宋" w:cs="仿宋"/>
          <w:color w:val="auto"/>
          <w:sz w:val="28"/>
          <w:szCs w:val="28"/>
          <w:lang w:val="en-US" w:eastAsia="zh-CN"/>
        </w:rPr>
        <w:t>检验检测</w:t>
      </w:r>
      <w:r>
        <w:rPr>
          <w:rFonts w:hint="eastAsia" w:ascii="仿宋" w:hAnsi="仿宋" w:eastAsia="仿宋" w:cs="仿宋"/>
          <w:color w:val="auto"/>
          <w:sz w:val="28"/>
          <w:szCs w:val="28"/>
          <w:lang w:eastAsia="zh-CN"/>
        </w:rPr>
        <w:t>报送办理相关事宜，</w:t>
      </w:r>
      <w:r>
        <w:rPr>
          <w:rFonts w:hint="eastAsia" w:ascii="仿宋" w:hAnsi="仿宋" w:eastAsia="仿宋" w:cs="仿宋"/>
          <w:color w:val="auto"/>
          <w:sz w:val="28"/>
          <w:szCs w:val="28"/>
          <w:lang w:val="en-US" w:eastAsia="zh-CN"/>
        </w:rPr>
        <w:t>应确保所有维保电梯均能通过年度检验检测，并取得年度检验检测合格证，相关检测费用由乙方承担；如任一台维保电梯首次年度检验检测未通过，乙方应在15日内完成整改并通过再次检验检测，如维保电梯仍未能通过再次检验检测的，甲方有权单方面解除合同。因未能通过检验检测及后续整改所产生的一切费用（包括但不限于复检费、零件更换费、行政罚款等）均由乙方承担。若乙方未能按合同约定完成整改或拒绝承担整改责任的，甲方有权委托第三方进行整改，所产生的一切费用均由乙方承担。</w:t>
      </w:r>
    </w:p>
    <w:p w14:paraId="2B3CE89E">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10</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应对甲方每一台电梯进行运行安全检查，确保电梯无运行安全隐患。</w:t>
      </w:r>
    </w:p>
    <w:p w14:paraId="38E7DA7A">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11</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应认真听取甲方的反馈意见，对运行中存在隐患的电梯及时维修保养，防止故障的扩大和安全事故的发生</w:t>
      </w:r>
      <w:r>
        <w:rPr>
          <w:rFonts w:hint="eastAsia" w:ascii="仿宋" w:hAnsi="仿宋" w:eastAsia="仿宋" w:cs="仿宋"/>
          <w:color w:val="auto"/>
          <w:sz w:val="28"/>
          <w:szCs w:val="28"/>
          <w:lang w:eastAsia="zh-CN"/>
        </w:rPr>
        <w:t>。</w:t>
      </w:r>
    </w:p>
    <w:p w14:paraId="4932D2DB">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12</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应从甲方电梯设备安全运行、使用环境和节约运行成本等角度为甲方提供改进、处理建议和意见。</w:t>
      </w:r>
    </w:p>
    <w:p w14:paraId="64F5891A">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13</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eastAsia="zh-CN"/>
        </w:rPr>
        <w:t>乙方指派人员履行本合同期间应严格遵守安全生产要求、做好安全防护措施。乙方确保已为指派人员购买工伤保险和人身意外险，指派人员至甲方现场操作时具备合法资质且身体健康，完全有能力履行本合同约定。</w:t>
      </w:r>
    </w:p>
    <w:p w14:paraId="1619BB84">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五、设备部件及维修成本费用的承担</w:t>
      </w:r>
    </w:p>
    <w:p w14:paraId="26CDC417">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乙方应根据甲方电梯维保的技术要求和工作需要，自行配备维保所需的工具设备。</w:t>
      </w:r>
    </w:p>
    <w:p w14:paraId="69D143DB">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乙方应确保甲方电梯维修零部件的采购渠道和储备，常用易损的维修零部件须备足并保证质量，更换的零部件</w:t>
      </w:r>
      <w:r>
        <w:rPr>
          <w:rFonts w:hint="eastAsia" w:ascii="仿宋" w:hAnsi="仿宋" w:eastAsia="仿宋" w:cs="仿宋"/>
          <w:color w:val="auto"/>
          <w:sz w:val="28"/>
          <w:szCs w:val="28"/>
          <w:lang w:eastAsia="zh-CN"/>
        </w:rPr>
        <w:t>须具备</w:t>
      </w:r>
      <w:r>
        <w:rPr>
          <w:rFonts w:hint="eastAsia" w:ascii="仿宋" w:hAnsi="仿宋" w:eastAsia="仿宋" w:cs="仿宋"/>
          <w:color w:val="auto"/>
          <w:sz w:val="28"/>
          <w:szCs w:val="28"/>
        </w:rPr>
        <w:t>12个月免费</w:t>
      </w:r>
      <w:r>
        <w:rPr>
          <w:rFonts w:hint="eastAsia" w:ascii="仿宋" w:hAnsi="仿宋" w:eastAsia="仿宋" w:cs="仿宋"/>
          <w:color w:val="auto"/>
          <w:sz w:val="28"/>
          <w:szCs w:val="28"/>
          <w:lang w:val="en-US" w:eastAsia="zh-CN"/>
        </w:rPr>
        <w:t>质</w:t>
      </w:r>
      <w:r>
        <w:rPr>
          <w:rFonts w:hint="eastAsia" w:ascii="仿宋" w:hAnsi="仿宋" w:eastAsia="仿宋" w:cs="仿宋"/>
          <w:color w:val="auto"/>
          <w:sz w:val="28"/>
          <w:szCs w:val="28"/>
          <w:lang w:eastAsia="zh-CN"/>
        </w:rPr>
        <w:t>保</w:t>
      </w:r>
      <w:r>
        <w:rPr>
          <w:rFonts w:hint="eastAsia" w:ascii="仿宋" w:hAnsi="仿宋" w:eastAsia="仿宋" w:cs="仿宋"/>
          <w:color w:val="auto"/>
          <w:sz w:val="28"/>
          <w:szCs w:val="28"/>
        </w:rPr>
        <w:t>期，且价格不高于市场价格；不论何种原因，价格在500元以下的单个零配件（含轿厢内外照明灯具等）</w:t>
      </w:r>
      <w:r>
        <w:rPr>
          <w:rFonts w:hint="eastAsia" w:ascii="仿宋" w:hAnsi="仿宋" w:eastAsia="仿宋" w:cs="仿宋"/>
          <w:color w:val="auto"/>
          <w:sz w:val="28"/>
          <w:szCs w:val="28"/>
          <w:lang w:eastAsia="zh-CN"/>
        </w:rPr>
        <w:t>均</w:t>
      </w:r>
      <w:r>
        <w:rPr>
          <w:rFonts w:hint="eastAsia" w:ascii="仿宋" w:hAnsi="仿宋" w:eastAsia="仿宋" w:cs="仿宋"/>
          <w:color w:val="auto"/>
          <w:sz w:val="28"/>
          <w:szCs w:val="28"/>
        </w:rPr>
        <w:t>由乙方承担；500元以上的单个零配件更换需报甲方认可；零配件必须在甲方规定的时间内配置到位。若电梯底坑积水由乙方</w:t>
      </w:r>
      <w:r>
        <w:rPr>
          <w:rFonts w:hint="eastAsia" w:ascii="仿宋" w:hAnsi="仿宋" w:eastAsia="仿宋" w:cs="仿宋"/>
          <w:color w:val="auto"/>
          <w:sz w:val="28"/>
          <w:szCs w:val="28"/>
          <w:lang w:val="en-US" w:eastAsia="zh-CN"/>
        </w:rPr>
        <w:t>向甲方</w:t>
      </w:r>
      <w:r>
        <w:rPr>
          <w:rFonts w:hint="eastAsia" w:ascii="仿宋" w:hAnsi="仿宋" w:eastAsia="仿宋" w:cs="仿宋"/>
          <w:color w:val="auto"/>
          <w:sz w:val="28"/>
          <w:szCs w:val="28"/>
        </w:rPr>
        <w:t>申报</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经</w:t>
      </w:r>
      <w:r>
        <w:rPr>
          <w:rFonts w:hint="eastAsia" w:ascii="仿宋" w:hAnsi="仿宋" w:eastAsia="仿宋" w:cs="仿宋"/>
          <w:color w:val="auto"/>
          <w:sz w:val="28"/>
          <w:szCs w:val="28"/>
        </w:rPr>
        <w:t>甲方同意后</w:t>
      </w:r>
      <w:r>
        <w:rPr>
          <w:rFonts w:hint="eastAsia" w:ascii="仿宋" w:hAnsi="仿宋" w:eastAsia="仿宋" w:cs="仿宋"/>
          <w:color w:val="auto"/>
          <w:sz w:val="28"/>
          <w:szCs w:val="28"/>
          <w:lang w:val="en-US" w:eastAsia="zh-CN"/>
        </w:rPr>
        <w:t>乙方</w:t>
      </w:r>
      <w:r>
        <w:rPr>
          <w:rFonts w:hint="eastAsia" w:ascii="仿宋" w:hAnsi="仿宋" w:eastAsia="仿宋" w:cs="仿宋"/>
          <w:color w:val="auto"/>
          <w:sz w:val="28"/>
          <w:szCs w:val="28"/>
        </w:rPr>
        <w:t>负责处理</w:t>
      </w:r>
      <w:r>
        <w:rPr>
          <w:rFonts w:hint="eastAsia" w:ascii="仿宋" w:hAnsi="仿宋" w:eastAsia="仿宋" w:cs="仿宋"/>
          <w:color w:val="auto"/>
          <w:sz w:val="28"/>
          <w:szCs w:val="28"/>
          <w:lang w:val="en-US" w:eastAsia="zh-CN"/>
        </w:rPr>
        <w:t>到位</w:t>
      </w:r>
      <w:r>
        <w:rPr>
          <w:rFonts w:hint="eastAsia" w:ascii="仿宋" w:hAnsi="仿宋" w:eastAsia="仿宋" w:cs="仿宋"/>
          <w:color w:val="auto"/>
          <w:sz w:val="28"/>
          <w:szCs w:val="28"/>
        </w:rPr>
        <w:t>。</w:t>
      </w:r>
    </w:p>
    <w:p w14:paraId="2EC9D71A">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在确保甲方电梯（安全、电气、机械）性能的前提下，乙方应务必本着“能修不换”的原则为甲方节约维修成本。</w:t>
      </w:r>
    </w:p>
    <w:p w14:paraId="58B30864">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如乙方原因造成电梯（或其他设备）部件损坏，由乙方负责赔偿。</w:t>
      </w:r>
    </w:p>
    <w:p w14:paraId="5A486809">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六、诚信原则</w:t>
      </w:r>
    </w:p>
    <w:p w14:paraId="27876E9C">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乙方有责任督促其维保人员熟练掌握甲方所有的设备、设施，未经甲方同意（或甲方工作人员配合），乙方不得私自进入甲方设备机房，不得擅自拆卸甲方设备、设施及电梯部件。</w:t>
      </w:r>
    </w:p>
    <w:p w14:paraId="55DEF7B5">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七、结算、付款方式</w:t>
      </w:r>
    </w:p>
    <w:p w14:paraId="0ED95D58">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维保费用</w:t>
      </w:r>
      <w:r>
        <w:rPr>
          <w:rFonts w:hint="eastAsia" w:ascii="仿宋" w:hAnsi="仿宋" w:eastAsia="仿宋" w:cs="仿宋"/>
          <w:color w:val="auto"/>
          <w:sz w:val="28"/>
          <w:szCs w:val="28"/>
          <w:lang w:val="en-US" w:eastAsia="zh-CN"/>
        </w:rPr>
        <w:t>由</w:t>
      </w:r>
      <w:r>
        <w:rPr>
          <w:rFonts w:hint="eastAsia" w:ascii="仿宋" w:hAnsi="仿宋" w:eastAsia="仿宋" w:cs="仿宋"/>
          <w:color w:val="auto"/>
          <w:sz w:val="28"/>
          <w:szCs w:val="28"/>
        </w:rPr>
        <w:t>甲方分</w:t>
      </w:r>
      <w:r>
        <w:rPr>
          <w:rFonts w:hint="eastAsia" w:ascii="仿宋" w:hAnsi="仿宋" w:eastAsia="仿宋" w:cs="仿宋"/>
          <w:color w:val="auto"/>
          <w:sz w:val="28"/>
          <w:szCs w:val="28"/>
          <w:lang w:val="en-US" w:eastAsia="zh-CN"/>
        </w:rPr>
        <w:t>两</w:t>
      </w:r>
      <w:r>
        <w:rPr>
          <w:rFonts w:hint="eastAsia" w:ascii="仿宋" w:hAnsi="仿宋" w:eastAsia="仿宋" w:cs="仿宋"/>
          <w:color w:val="auto"/>
          <w:sz w:val="28"/>
          <w:szCs w:val="28"/>
        </w:rPr>
        <w:t>期支付给乙方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自第一个合同年度届满之日起30日内，支付总价款50%；</w:t>
      </w:r>
      <w:r>
        <w:rPr>
          <w:rFonts w:hint="eastAsia" w:ascii="仿宋" w:hAnsi="仿宋" w:eastAsia="仿宋" w:cs="仿宋"/>
          <w:color w:val="auto"/>
          <w:sz w:val="28"/>
          <w:szCs w:val="28"/>
        </w:rPr>
        <w:t>本合同期限届满之日起</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30</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日内</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支付总价款50%余款</w:t>
      </w:r>
      <w:r>
        <w:rPr>
          <w:rFonts w:hint="eastAsia" w:ascii="仿宋" w:hAnsi="仿宋" w:eastAsia="仿宋" w:cs="仿宋"/>
          <w:color w:val="auto"/>
          <w:sz w:val="28"/>
          <w:szCs w:val="28"/>
        </w:rPr>
        <w:t>。</w:t>
      </w:r>
    </w:p>
    <w:p w14:paraId="3DE27CAA">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如乙方更换的零配件费用根据本合同约定需由甲方承担的，甲、乙双方另行结算</w:t>
      </w:r>
      <w:r>
        <w:rPr>
          <w:rFonts w:hint="eastAsia" w:ascii="仿宋" w:hAnsi="仿宋" w:eastAsia="仿宋" w:cs="仿宋"/>
          <w:color w:val="auto"/>
          <w:sz w:val="28"/>
          <w:szCs w:val="28"/>
          <w:lang w:eastAsia="zh-CN"/>
        </w:rPr>
        <w:t>（乙方须提供对应供货清单和付款凭证，</w:t>
      </w:r>
      <w:r>
        <w:rPr>
          <w:rFonts w:hint="eastAsia" w:ascii="仿宋" w:hAnsi="仿宋" w:eastAsia="仿宋" w:cs="仿宋"/>
          <w:color w:val="auto"/>
          <w:sz w:val="28"/>
          <w:szCs w:val="28"/>
          <w:lang w:val="en-US" w:eastAsia="zh-CN"/>
        </w:rPr>
        <w:t>未经甲方认可的不计算在内</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甲方在结算完成之日起</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30</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日内将结算价款支付给乙方。</w:t>
      </w:r>
    </w:p>
    <w:p w14:paraId="13593322">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乙方在甲方每次付款前，应向甲方提供以自己名义开具的对应金额的增值税普通发票；如乙方未提供，甲方有权顺延付款期限。</w:t>
      </w:r>
    </w:p>
    <w:p w14:paraId="00C41430">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乙方委派</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与甲方办理结算手续。</w:t>
      </w:r>
    </w:p>
    <w:p w14:paraId="43871E4B">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甲方通过银行转账方式向乙方支付价款。乙方指定以下银行账户作为收款账户，开户行</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 xml:space="preserve"> ，户名：</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 xml:space="preserve"> ，账号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14:paraId="6C14C0A1">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八、安全责任及风险承担</w:t>
      </w:r>
    </w:p>
    <w:p w14:paraId="669A5280">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乙方对其参与履行本合同的维保人员人身、财产安全负全部责任</w:t>
      </w:r>
      <w:r>
        <w:rPr>
          <w:rFonts w:hint="eastAsia" w:ascii="仿宋" w:hAnsi="仿宋" w:eastAsia="仿宋" w:cs="仿宋"/>
          <w:color w:val="auto"/>
          <w:sz w:val="28"/>
          <w:szCs w:val="28"/>
          <w:lang w:eastAsia="zh-CN"/>
        </w:rPr>
        <w:t>。</w:t>
      </w:r>
    </w:p>
    <w:p w14:paraId="69D00E58">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eastAsia="zh-CN"/>
        </w:rPr>
        <w:t>乙方及其指派人员在履行本合同期间发生的</w:t>
      </w:r>
      <w:r>
        <w:rPr>
          <w:rFonts w:hint="eastAsia" w:ascii="仿宋" w:hAnsi="仿宋" w:eastAsia="仿宋" w:cs="仿宋"/>
          <w:color w:val="auto"/>
          <w:sz w:val="28"/>
          <w:szCs w:val="28"/>
        </w:rPr>
        <w:t>一切事故或纠纷，</w:t>
      </w:r>
      <w:r>
        <w:rPr>
          <w:rFonts w:hint="eastAsia" w:ascii="仿宋" w:hAnsi="仿宋" w:eastAsia="仿宋" w:cs="仿宋"/>
          <w:color w:val="auto"/>
          <w:sz w:val="28"/>
          <w:szCs w:val="28"/>
          <w:lang w:eastAsia="zh-CN"/>
        </w:rPr>
        <w:t>均由乙方负责处理，乙方应当立即进行修复、补救，并承担</w:t>
      </w:r>
      <w:r>
        <w:rPr>
          <w:rFonts w:hint="eastAsia" w:ascii="仿宋" w:hAnsi="仿宋" w:eastAsia="仿宋" w:cs="仿宋"/>
          <w:color w:val="auto"/>
          <w:sz w:val="28"/>
          <w:szCs w:val="28"/>
          <w:lang w:val="en-US" w:eastAsia="zh-CN"/>
        </w:rPr>
        <w:t>由此给</w:t>
      </w:r>
      <w:r>
        <w:rPr>
          <w:rFonts w:hint="eastAsia" w:ascii="仿宋" w:hAnsi="仿宋" w:eastAsia="仿宋" w:cs="仿宋"/>
          <w:color w:val="auto"/>
          <w:sz w:val="28"/>
          <w:szCs w:val="28"/>
        </w:rPr>
        <w:t>甲方</w:t>
      </w:r>
      <w:r>
        <w:rPr>
          <w:rFonts w:hint="eastAsia" w:ascii="仿宋" w:hAnsi="仿宋" w:eastAsia="仿宋" w:cs="仿宋"/>
          <w:color w:val="auto"/>
          <w:sz w:val="28"/>
          <w:szCs w:val="28"/>
          <w:lang w:eastAsia="zh-CN"/>
        </w:rPr>
        <w:t>、乙方（包括指派人员）</w:t>
      </w:r>
      <w:r>
        <w:rPr>
          <w:rFonts w:hint="eastAsia" w:ascii="仿宋" w:hAnsi="仿宋" w:eastAsia="仿宋" w:cs="仿宋"/>
          <w:color w:val="auto"/>
          <w:sz w:val="28"/>
          <w:szCs w:val="28"/>
        </w:rPr>
        <w:t>或第三方</w:t>
      </w:r>
      <w:r>
        <w:rPr>
          <w:rFonts w:hint="eastAsia" w:ascii="仿宋" w:hAnsi="仿宋" w:eastAsia="仿宋" w:cs="仿宋"/>
          <w:color w:val="auto"/>
          <w:sz w:val="28"/>
          <w:szCs w:val="28"/>
          <w:lang w:val="en-US" w:eastAsia="zh-CN"/>
        </w:rPr>
        <w:t>造成的全部</w:t>
      </w:r>
      <w:r>
        <w:rPr>
          <w:rFonts w:hint="eastAsia" w:ascii="仿宋" w:hAnsi="仿宋" w:eastAsia="仿宋" w:cs="仿宋"/>
          <w:color w:val="auto"/>
          <w:sz w:val="28"/>
          <w:szCs w:val="28"/>
        </w:rPr>
        <w:t>损失</w:t>
      </w:r>
      <w:r>
        <w:rPr>
          <w:rFonts w:hint="eastAsia" w:ascii="仿宋" w:hAnsi="仿宋" w:eastAsia="仿宋" w:cs="仿宋"/>
          <w:color w:val="auto"/>
          <w:sz w:val="28"/>
          <w:szCs w:val="28"/>
          <w:lang w:eastAsia="zh-CN"/>
        </w:rPr>
        <w:t>和法律责任</w:t>
      </w:r>
      <w:r>
        <w:rPr>
          <w:rFonts w:hint="eastAsia" w:ascii="仿宋" w:hAnsi="仿宋" w:eastAsia="仿宋" w:cs="仿宋"/>
          <w:color w:val="auto"/>
          <w:sz w:val="28"/>
          <w:szCs w:val="28"/>
        </w:rPr>
        <w:t>。</w:t>
      </w:r>
    </w:p>
    <w:p w14:paraId="340DD53A">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九、</w:t>
      </w:r>
      <w:r>
        <w:rPr>
          <w:rFonts w:hint="eastAsia" w:ascii="仿宋" w:hAnsi="仿宋" w:eastAsia="仿宋" w:cs="仿宋"/>
          <w:b/>
          <w:bCs/>
          <w:color w:val="auto"/>
          <w:sz w:val="28"/>
          <w:szCs w:val="28"/>
          <w:lang w:val="en-US" w:eastAsia="zh-CN"/>
        </w:rPr>
        <w:t>通知与送达</w:t>
      </w:r>
    </w:p>
    <w:p w14:paraId="34DABC7D">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本合同任何一方给另一方的通知，都应以书面（包括手机短信、传真、特快专递、电子邮件、媒体公告等）形式发送，而另一方应以书面形式确认并发送到对方明确的地址。</w:t>
      </w:r>
    </w:p>
    <w:p w14:paraId="526BE561">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双方确认的文书（包括法院或仲裁机构的法律文书）送达地址</w:t>
      </w:r>
    </w:p>
    <w:p w14:paraId="1EAF1EDD">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（1）甲方的文书送达地址：</w:t>
      </w:r>
      <w:r>
        <w:rPr>
          <w:rFonts w:hint="eastAsia" w:ascii="仿宋" w:hAnsi="仿宋" w:eastAsia="仿宋" w:cs="仿宋"/>
          <w:color w:val="auto"/>
          <w:sz w:val="28"/>
          <w:szCs w:val="28"/>
          <w:u w:val="single"/>
        </w:rPr>
        <w:t>娄底市中心医院总务科</w:t>
      </w:r>
      <w:r>
        <w:rPr>
          <w:rFonts w:hint="eastAsia" w:ascii="仿宋" w:hAnsi="仿宋" w:eastAsia="仿宋" w:cs="仿宋"/>
          <w:color w:val="auto"/>
          <w:sz w:val="28"/>
          <w:szCs w:val="28"/>
        </w:rPr>
        <w:t xml:space="preserve"> ，收件人：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程俊杰</w:t>
      </w:r>
      <w:r>
        <w:rPr>
          <w:rFonts w:hint="eastAsia" w:ascii="仿宋" w:hAnsi="仿宋" w:eastAsia="仿宋" w:cs="仿宋"/>
          <w:color w:val="auto"/>
          <w:sz w:val="28"/>
          <w:szCs w:val="28"/>
          <w:u w:val="none"/>
          <w:lang w:val="en-US" w:eastAsia="zh-CN"/>
        </w:rPr>
        <w:t>，</w:t>
      </w:r>
      <w:r>
        <w:rPr>
          <w:rFonts w:hint="eastAsia" w:ascii="仿宋" w:hAnsi="仿宋" w:eastAsia="仿宋" w:cs="仿宋"/>
          <w:color w:val="auto"/>
          <w:sz w:val="28"/>
          <w:szCs w:val="28"/>
        </w:rPr>
        <w:t>联系电话：</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18873820001</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1BBBF334">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（2）乙方的文书送达地址：</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，收件人：</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，联系电话</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w:t>
      </w:r>
    </w:p>
    <w:p w14:paraId="2B4CACFE">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双方确认并保证其提供的上述联系方式可以有效送达相关通知等往来函件，任何一方通过上述联系方式向对方发出通知等往来函件3日后（紧急情况为24小时），不论是否收到（包括通过快递公司送达时被拒签），均视为履行了通知义务。</w:t>
      </w:r>
    </w:p>
    <w:p w14:paraId="4A59E0CE">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乙方联系方式、账号、指定的办理结算、领取价款人员等如发生变化，应及时书面通知甲方。如未及时通知，应承担相应的后果。</w:t>
      </w:r>
    </w:p>
    <w:p w14:paraId="0B1B03BE">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十、合同的解除</w:t>
      </w:r>
    </w:p>
    <w:p w14:paraId="7E510B6B">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甲、乙双方经协商一致可解除本合同。</w:t>
      </w:r>
    </w:p>
    <w:p w14:paraId="3D389BC7">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如乙方出现以下任一情形时，甲方有权单方解除本合同：</w:t>
      </w:r>
    </w:p>
    <w:p w14:paraId="2E92D96F">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（1）不按合同约定进行维保或连续超过一个月以上未进行维保</w:t>
      </w:r>
      <w:r>
        <w:rPr>
          <w:rFonts w:hint="eastAsia" w:ascii="仿宋" w:hAnsi="仿宋" w:eastAsia="仿宋" w:cs="仿宋"/>
          <w:color w:val="auto"/>
          <w:sz w:val="28"/>
          <w:szCs w:val="28"/>
          <w:lang w:eastAsia="zh-CN"/>
        </w:rPr>
        <w:t>。</w:t>
      </w:r>
    </w:p>
    <w:p w14:paraId="32F8B278">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eastAsia" w:ascii="仿宋" w:hAnsi="仿宋" w:eastAsia="仿宋" w:cs="仿宋"/>
          <w:color w:val="auto"/>
          <w:sz w:val="28"/>
          <w:szCs w:val="28"/>
          <w:highlight w:val="yellow"/>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同一项目</w:t>
      </w:r>
      <w:r>
        <w:rPr>
          <w:rFonts w:hint="eastAsia" w:ascii="仿宋" w:hAnsi="仿宋" w:eastAsia="仿宋" w:cs="仿宋"/>
          <w:color w:val="auto"/>
          <w:sz w:val="28"/>
          <w:szCs w:val="28"/>
          <w:highlight w:val="none"/>
        </w:rPr>
        <w:t>维保</w:t>
      </w:r>
      <w:r>
        <w:rPr>
          <w:rFonts w:hint="eastAsia" w:ascii="仿宋" w:hAnsi="仿宋" w:eastAsia="仿宋" w:cs="仿宋"/>
          <w:color w:val="auto"/>
          <w:sz w:val="28"/>
          <w:szCs w:val="28"/>
          <w:highlight w:val="none"/>
          <w:lang w:val="en-US" w:eastAsia="zh-CN"/>
        </w:rPr>
        <w:t>服务</w:t>
      </w:r>
      <w:r>
        <w:rPr>
          <w:rFonts w:hint="eastAsia" w:ascii="仿宋" w:hAnsi="仿宋" w:eastAsia="仿宋" w:cs="仿宋"/>
          <w:color w:val="auto"/>
          <w:sz w:val="28"/>
          <w:szCs w:val="28"/>
          <w:highlight w:val="none"/>
        </w:rPr>
        <w:t>经甲方</w:t>
      </w:r>
      <w:r>
        <w:rPr>
          <w:rFonts w:hint="eastAsia" w:ascii="仿宋" w:hAnsi="仿宋" w:eastAsia="仿宋" w:cs="仿宋"/>
          <w:color w:val="auto"/>
          <w:sz w:val="28"/>
          <w:szCs w:val="28"/>
          <w:highlight w:val="none"/>
          <w:lang w:val="en-US" w:eastAsia="zh-CN"/>
        </w:rPr>
        <w:t>连续</w:t>
      </w:r>
      <w:r>
        <w:rPr>
          <w:rFonts w:hint="eastAsia" w:ascii="仿宋" w:hAnsi="仿宋" w:eastAsia="仿宋" w:cs="仿宋"/>
          <w:color w:val="auto"/>
          <w:sz w:val="28"/>
          <w:szCs w:val="28"/>
          <w:highlight w:val="none"/>
        </w:rPr>
        <w:t>两次验收不合格。</w:t>
      </w:r>
    </w:p>
    <w:p w14:paraId="464B6B71">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（3）电梯出现故障，未在甲方规定的时间内赶到现场达</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次（含</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次）时。</w:t>
      </w:r>
    </w:p>
    <w:p w14:paraId="5ED4A613">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（4）维保人员服务态度不好被投诉次数累计达10次（含10次）。</w:t>
      </w:r>
    </w:p>
    <w:p w14:paraId="4FAF46C6">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（5）在两小时内不能处理好的故障未及时报告甲方的。</w:t>
      </w:r>
    </w:p>
    <w:p w14:paraId="693246D4">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乙方维保的任一台电梯未能按本合同约定通过年度检验检测的；</w:t>
      </w:r>
    </w:p>
    <w:p w14:paraId="784DA738">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）乙方将</w:t>
      </w:r>
      <w:r>
        <w:rPr>
          <w:rFonts w:hint="eastAsia" w:ascii="仿宋" w:hAnsi="仿宋" w:eastAsia="仿宋" w:cs="仿宋"/>
          <w:color w:val="auto"/>
          <w:sz w:val="28"/>
          <w:szCs w:val="28"/>
          <w:lang w:val="en-US" w:eastAsia="zh-CN"/>
        </w:rPr>
        <w:t>本合同权利义务全部或部分转让给</w:t>
      </w:r>
      <w:r>
        <w:rPr>
          <w:rFonts w:hint="eastAsia" w:ascii="仿宋" w:hAnsi="仿宋" w:eastAsia="仿宋" w:cs="仿宋"/>
          <w:color w:val="auto"/>
          <w:sz w:val="28"/>
          <w:szCs w:val="28"/>
          <w:lang w:eastAsia="zh-CN"/>
        </w:rPr>
        <w:t>第三方。</w:t>
      </w:r>
    </w:p>
    <w:p w14:paraId="4D064B88">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乙方需终止合同时，必须提前1个月书面通知甲方，经甲方书面同意后方可解除本合同。</w:t>
      </w:r>
    </w:p>
    <w:p w14:paraId="45FB6F90">
      <w:pPr>
        <w:keepNext w:val="0"/>
        <w:keepLines w:val="0"/>
        <w:pageBreakBefore w:val="0"/>
        <w:widowControl w:val="0"/>
        <w:kinsoku/>
        <w:wordWrap/>
        <w:overflowPunct/>
        <w:topLinePunct w:val="0"/>
        <w:bidi w:val="0"/>
        <w:snapToGrid/>
        <w:spacing w:line="480" w:lineRule="exact"/>
        <w:ind w:left="0" w:right="0" w:rightChars="0"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十一、 廉洁条款</w:t>
      </w:r>
    </w:p>
    <w:p w14:paraId="4ED7B3AD">
      <w:pPr>
        <w:pStyle w:val="6"/>
        <w:keepNext w:val="0"/>
        <w:keepLines w:val="0"/>
        <w:pageBreakBefore w:val="0"/>
        <w:widowControl w:val="0"/>
        <w:kinsoku/>
        <w:wordWrap/>
        <w:overflowPunct/>
        <w:topLinePunct w:val="0"/>
        <w:autoSpaceDE w:val="0"/>
        <w:autoSpaceDN w:val="0"/>
        <w:bidi w:val="0"/>
        <w:adjustRightInd w:val="0"/>
        <w:snapToGrid/>
        <w:spacing w:line="480" w:lineRule="exact"/>
        <w:ind w:left="0" w:right="0" w:rightChars="0" w:firstLine="562" w:firstLineChars="200"/>
        <w:textAlignment w:val="auto"/>
        <w:rPr>
          <w:rFonts w:hint="eastAsia" w:ascii="仿宋" w:hAnsi="仿宋" w:eastAsia="仿宋" w:cs="仿宋"/>
          <w:b/>
          <w:bCs w:val="0"/>
          <w:color w:val="auto"/>
          <w:kern w:val="0"/>
          <w:sz w:val="28"/>
          <w:szCs w:val="28"/>
          <w:u w:val="single"/>
          <w:lang w:val="en-US" w:eastAsia="zh-CN" w:bidi="ar-SA"/>
        </w:rPr>
      </w:pPr>
      <w:r>
        <w:rPr>
          <w:rFonts w:hint="eastAsia" w:ascii="仿宋" w:hAnsi="仿宋" w:eastAsia="仿宋" w:cs="仿宋"/>
          <w:b/>
          <w:bCs w:val="0"/>
          <w:color w:val="auto"/>
          <w:kern w:val="0"/>
          <w:sz w:val="28"/>
          <w:szCs w:val="28"/>
          <w:u w:val="single"/>
          <w:lang w:val="en-US" w:eastAsia="zh-CN" w:bidi="ar-SA"/>
        </w:rPr>
        <w:t>1.乙方应严格遵守国家相关法律法规，涉及合同的有关业务活动必须坚持公开、公平、公正、诚信原则，不得为获取不正当利益，损害国家、集体和甲方利益。</w:t>
      </w:r>
    </w:p>
    <w:p w14:paraId="59E80261">
      <w:pPr>
        <w:pStyle w:val="6"/>
        <w:keepNext w:val="0"/>
        <w:keepLines w:val="0"/>
        <w:pageBreakBefore w:val="0"/>
        <w:widowControl w:val="0"/>
        <w:kinsoku/>
        <w:wordWrap/>
        <w:overflowPunct/>
        <w:topLinePunct w:val="0"/>
        <w:autoSpaceDE w:val="0"/>
        <w:autoSpaceDN w:val="0"/>
        <w:bidi w:val="0"/>
        <w:adjustRightInd w:val="0"/>
        <w:snapToGrid/>
        <w:spacing w:line="480" w:lineRule="exact"/>
        <w:ind w:left="0" w:right="0" w:rightChars="0" w:firstLine="562" w:firstLineChars="200"/>
        <w:textAlignment w:val="auto"/>
        <w:rPr>
          <w:rFonts w:hint="eastAsia" w:ascii="仿宋" w:hAnsi="仿宋" w:eastAsia="仿宋" w:cs="仿宋"/>
          <w:b/>
          <w:bCs w:val="0"/>
          <w:color w:val="auto"/>
          <w:kern w:val="0"/>
          <w:sz w:val="28"/>
          <w:szCs w:val="28"/>
          <w:u w:val="single"/>
          <w:lang w:val="en-US" w:eastAsia="zh-CN" w:bidi="ar-SA"/>
        </w:rPr>
      </w:pPr>
      <w:r>
        <w:rPr>
          <w:rFonts w:hint="eastAsia" w:ascii="仿宋" w:hAnsi="仿宋" w:eastAsia="仿宋" w:cs="仿宋"/>
          <w:b/>
          <w:bCs w:val="0"/>
          <w:color w:val="auto"/>
          <w:kern w:val="0"/>
          <w:sz w:val="28"/>
          <w:szCs w:val="28"/>
          <w:u w:val="single"/>
          <w:lang w:val="en-US" w:eastAsia="zh-CN" w:bidi="ar-SA"/>
        </w:rPr>
        <w:t>2.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04347B27">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十</w:t>
      </w: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rPr>
        <w:t>、违约责任</w:t>
      </w:r>
    </w:p>
    <w:p w14:paraId="4C4ECA98">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如乙方违反本合同约定无正当理由拆卸甲方电梯设备或部件，甲方每发现一次，乙方除赔偿甲方由此造成的损失外，还应按</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2000.00</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元/次的标准向甲方支付违约金。</w:t>
      </w:r>
    </w:p>
    <w:p w14:paraId="6A9D08C2">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2.如乙方未在本合同约定时间内完成维保并交付甲方使用，除应赔偿甲方因此造成的损失外，每逾期一日，按本合同约定总价款的千分之一标准向甲方支付违约金。</w:t>
      </w:r>
    </w:p>
    <w:p w14:paraId="3801B685">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eastAsia" w:ascii="仿宋" w:hAnsi="仿宋" w:eastAsia="仿宋" w:cs="仿宋"/>
          <w:color w:val="auto"/>
          <w:spacing w:val="6"/>
          <w:w w:val="100"/>
          <w:kern w:val="4"/>
          <w:sz w:val="28"/>
          <w:szCs w:val="28"/>
          <w:lang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pacing w:val="6"/>
          <w:w w:val="100"/>
          <w:kern w:val="4"/>
          <w:sz w:val="28"/>
          <w:szCs w:val="28"/>
          <w:lang w:eastAsia="zh-CN"/>
        </w:rPr>
        <w:t>如乙方在甲方另行选聘的</w:t>
      </w:r>
      <w:r>
        <w:rPr>
          <w:rFonts w:hint="eastAsia" w:ascii="仿宋" w:hAnsi="仿宋" w:eastAsia="仿宋" w:cs="仿宋"/>
          <w:color w:val="auto"/>
          <w:spacing w:val="6"/>
          <w:w w:val="100"/>
          <w:kern w:val="4"/>
          <w:sz w:val="28"/>
          <w:szCs w:val="28"/>
          <w:lang w:val="en-US" w:eastAsia="zh-CN"/>
        </w:rPr>
        <w:t>维保服务单位进场前，停止为甲方提供电梯维保服务</w:t>
      </w:r>
      <w:r>
        <w:rPr>
          <w:rFonts w:hint="eastAsia" w:ascii="仿宋" w:hAnsi="仿宋" w:eastAsia="仿宋" w:cs="仿宋"/>
          <w:color w:val="auto"/>
          <w:spacing w:val="6"/>
          <w:w w:val="100"/>
          <w:kern w:val="4"/>
          <w:sz w:val="28"/>
          <w:szCs w:val="28"/>
          <w:lang w:eastAsia="zh-CN"/>
        </w:rPr>
        <w:t>，</w:t>
      </w:r>
      <w:r>
        <w:rPr>
          <w:rFonts w:hint="eastAsia" w:ascii="仿宋" w:hAnsi="仿宋" w:eastAsia="仿宋" w:cs="仿宋"/>
          <w:color w:val="auto"/>
          <w:spacing w:val="6"/>
          <w:w w:val="100"/>
          <w:kern w:val="4"/>
          <w:sz w:val="28"/>
          <w:szCs w:val="28"/>
          <w:lang w:val="en-US" w:eastAsia="zh-CN"/>
        </w:rPr>
        <w:t>除赔偿甲方由此造成的经济损失外，还</w:t>
      </w:r>
      <w:r>
        <w:rPr>
          <w:rFonts w:hint="eastAsia" w:ascii="仿宋" w:hAnsi="仿宋" w:eastAsia="仿宋" w:cs="仿宋"/>
          <w:color w:val="auto"/>
          <w:spacing w:val="6"/>
          <w:w w:val="100"/>
          <w:kern w:val="4"/>
          <w:sz w:val="28"/>
          <w:szCs w:val="28"/>
          <w:lang w:eastAsia="zh-CN"/>
        </w:rPr>
        <w:t>应按每天</w:t>
      </w:r>
      <w:r>
        <w:rPr>
          <w:rFonts w:hint="eastAsia" w:ascii="仿宋" w:hAnsi="仿宋" w:eastAsia="仿宋" w:cs="仿宋"/>
          <w:color w:val="auto"/>
          <w:spacing w:val="6"/>
          <w:w w:val="100"/>
          <w:kern w:val="4"/>
          <w:sz w:val="28"/>
          <w:szCs w:val="28"/>
          <w:u w:val="single"/>
          <w:lang w:val="en-US" w:eastAsia="zh-CN"/>
        </w:rPr>
        <w:t>300.00</w:t>
      </w:r>
      <w:r>
        <w:rPr>
          <w:rFonts w:hint="eastAsia" w:ascii="仿宋" w:hAnsi="仿宋" w:eastAsia="仿宋" w:cs="仿宋"/>
          <w:color w:val="auto"/>
          <w:spacing w:val="6"/>
          <w:w w:val="100"/>
          <w:kern w:val="4"/>
          <w:sz w:val="28"/>
          <w:szCs w:val="28"/>
          <w:lang w:eastAsia="zh-CN"/>
        </w:rPr>
        <w:t>元标准向甲方</w:t>
      </w:r>
      <w:r>
        <w:rPr>
          <w:rFonts w:hint="eastAsia" w:ascii="仿宋" w:hAnsi="仿宋" w:eastAsia="仿宋" w:cs="仿宋"/>
          <w:color w:val="auto"/>
          <w:spacing w:val="6"/>
          <w:w w:val="100"/>
          <w:kern w:val="4"/>
          <w:sz w:val="28"/>
          <w:szCs w:val="28"/>
          <w:lang w:val="en-US" w:eastAsia="zh-CN"/>
        </w:rPr>
        <w:t>支付违约金</w:t>
      </w:r>
      <w:r>
        <w:rPr>
          <w:rFonts w:hint="eastAsia" w:ascii="仿宋" w:hAnsi="仿宋" w:eastAsia="仿宋" w:cs="仿宋"/>
          <w:color w:val="auto"/>
          <w:spacing w:val="6"/>
          <w:w w:val="100"/>
          <w:kern w:val="4"/>
          <w:sz w:val="28"/>
          <w:szCs w:val="28"/>
          <w:lang w:eastAsia="zh-CN"/>
        </w:rPr>
        <w:t>。</w:t>
      </w:r>
    </w:p>
    <w:p w14:paraId="2F4AE721">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如乙方单方解除合同或</w:t>
      </w:r>
      <w:r>
        <w:rPr>
          <w:rFonts w:hint="eastAsia" w:ascii="仿宋" w:hAnsi="仿宋" w:eastAsia="仿宋" w:cs="仿宋"/>
          <w:color w:val="auto"/>
          <w:sz w:val="28"/>
          <w:szCs w:val="28"/>
          <w:lang w:val="en-US" w:eastAsia="zh-CN"/>
        </w:rPr>
        <w:t>因</w:t>
      </w:r>
      <w:r>
        <w:rPr>
          <w:rFonts w:hint="eastAsia" w:ascii="仿宋" w:hAnsi="仿宋" w:eastAsia="仿宋" w:cs="仿宋"/>
          <w:color w:val="auto"/>
          <w:sz w:val="28"/>
          <w:szCs w:val="28"/>
        </w:rPr>
        <w:t>乙方原因导致甲方解除本合同，乙方除赔偿甲方由此造成的</w:t>
      </w:r>
      <w:r>
        <w:rPr>
          <w:rFonts w:hint="eastAsia" w:ascii="仿宋" w:hAnsi="仿宋" w:eastAsia="仿宋" w:cs="仿宋"/>
          <w:color w:val="auto"/>
          <w:sz w:val="28"/>
          <w:szCs w:val="28"/>
          <w:lang w:val="en-US" w:eastAsia="zh-CN"/>
        </w:rPr>
        <w:t>全部经济</w:t>
      </w:r>
      <w:r>
        <w:rPr>
          <w:rFonts w:hint="eastAsia" w:ascii="仿宋" w:hAnsi="仿宋" w:eastAsia="仿宋" w:cs="仿宋"/>
          <w:color w:val="auto"/>
          <w:sz w:val="28"/>
          <w:szCs w:val="28"/>
        </w:rPr>
        <w:t>损失外，还</w:t>
      </w:r>
      <w:r>
        <w:rPr>
          <w:rFonts w:hint="eastAsia" w:ascii="仿宋" w:hAnsi="仿宋" w:eastAsia="仿宋" w:cs="仿宋"/>
          <w:color w:val="auto"/>
          <w:sz w:val="28"/>
          <w:szCs w:val="28"/>
          <w:lang w:val="en-US" w:eastAsia="zh-CN"/>
        </w:rPr>
        <w:t>应</w:t>
      </w:r>
      <w:r>
        <w:rPr>
          <w:rFonts w:hint="eastAsia" w:ascii="仿宋" w:hAnsi="仿宋" w:eastAsia="仿宋" w:cs="仿宋"/>
          <w:color w:val="auto"/>
          <w:sz w:val="28"/>
          <w:szCs w:val="28"/>
        </w:rPr>
        <w:t>按本合同总价款30%标准</w:t>
      </w:r>
      <w:r>
        <w:rPr>
          <w:rFonts w:hint="eastAsia" w:ascii="仿宋" w:hAnsi="仿宋" w:eastAsia="仿宋" w:cs="仿宋"/>
          <w:color w:val="auto"/>
          <w:sz w:val="28"/>
          <w:szCs w:val="28"/>
          <w:lang w:val="en-US" w:eastAsia="zh-CN"/>
        </w:rPr>
        <w:t>向</w:t>
      </w:r>
      <w:r>
        <w:rPr>
          <w:rFonts w:hint="eastAsia" w:ascii="仿宋" w:hAnsi="仿宋" w:eastAsia="仿宋" w:cs="仿宋"/>
          <w:color w:val="auto"/>
          <w:sz w:val="28"/>
          <w:szCs w:val="28"/>
        </w:rPr>
        <w:t>甲方支付违约金。</w:t>
      </w:r>
    </w:p>
    <w:p w14:paraId="1458F0DD">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2" w:firstLineChars="200"/>
        <w:textAlignment w:val="auto"/>
        <w:rPr>
          <w:rFonts w:hint="eastAsia" w:ascii="仿宋" w:hAnsi="仿宋" w:eastAsia="仿宋" w:cs="仿宋"/>
          <w:b/>
          <w:bCs/>
          <w:color w:val="auto"/>
          <w:sz w:val="28"/>
          <w:szCs w:val="28"/>
          <w:u w:val="single"/>
          <w:lang w:val="en-US" w:eastAsia="zh-CN"/>
        </w:rPr>
      </w:pPr>
      <w:r>
        <w:rPr>
          <w:rFonts w:hint="eastAsia" w:ascii="仿宋" w:hAnsi="仿宋" w:eastAsia="仿宋" w:cs="仿宋"/>
          <w:b/>
          <w:bCs/>
          <w:color w:val="auto"/>
          <w:sz w:val="28"/>
          <w:szCs w:val="28"/>
          <w:u w:val="single"/>
          <w:lang w:val="en-US" w:eastAsia="zh-CN"/>
        </w:rPr>
        <w:t>5.无论甲方在任意时候（不限于本合同履行期间）发现存在违反本合同廉洁条款的行为，乙方均须向甲方支付一次性惩罚性违约金26000.00元。如乙方除需承担违反廉洁条款的违约责任外，同时存在其他违约行为，乙方仍须就其他违约行为承担相应违约责任。</w:t>
      </w:r>
    </w:p>
    <w:p w14:paraId="248F8576">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2" w:firstLineChars="200"/>
        <w:textAlignment w:val="auto"/>
        <w:rPr>
          <w:rFonts w:hint="eastAsia" w:ascii="仿宋" w:hAnsi="仿宋" w:eastAsia="仿宋" w:cs="仿宋"/>
          <w:b/>
          <w:bCs/>
          <w:color w:val="auto"/>
          <w:sz w:val="28"/>
          <w:szCs w:val="28"/>
          <w:u w:val="single"/>
          <w:lang w:val="en-US" w:eastAsia="zh-CN"/>
        </w:rPr>
      </w:pPr>
      <w:r>
        <w:rPr>
          <w:rFonts w:hint="eastAsia" w:ascii="仿宋" w:hAnsi="仿宋" w:eastAsia="仿宋" w:cs="仿宋"/>
          <w:b/>
          <w:bCs/>
          <w:color w:val="auto"/>
          <w:sz w:val="28"/>
          <w:szCs w:val="28"/>
          <w:u w:val="single"/>
          <w:lang w:val="en-US" w:eastAsia="zh-CN"/>
        </w:rPr>
        <w:t>6.依据本合同约定乙方应支付给甲方的违约金，甲方有权在应支付给乙方的任意价款中直接予以扣除，如扣除部分不足，乙方应在接到甲方通知后3日内补足。</w:t>
      </w:r>
    </w:p>
    <w:p w14:paraId="6F7C649C">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十</w:t>
      </w: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rPr>
        <w:t>、争议解决方式</w:t>
      </w:r>
    </w:p>
    <w:p w14:paraId="442CC7FD">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如双方在履行本合同过程中发生争议，双方应先协商解决，协商解决不成的，任一方均可向甲方所在地有管辖权的人民法院提起诉讼解决。</w:t>
      </w:r>
    </w:p>
    <w:p w14:paraId="0CCDD870">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十</w:t>
      </w:r>
      <w:r>
        <w:rPr>
          <w:rFonts w:hint="eastAsia" w:ascii="仿宋" w:hAnsi="仿宋" w:eastAsia="仿宋" w:cs="仿宋"/>
          <w:b/>
          <w:bCs/>
          <w:color w:val="auto"/>
          <w:sz w:val="28"/>
          <w:szCs w:val="28"/>
          <w:lang w:val="en-US" w:eastAsia="zh-CN"/>
        </w:rPr>
        <w:t>四</w:t>
      </w:r>
      <w:r>
        <w:rPr>
          <w:rFonts w:hint="eastAsia" w:ascii="仿宋" w:hAnsi="仿宋" w:eastAsia="仿宋" w:cs="仿宋"/>
          <w:b/>
          <w:bCs/>
          <w:color w:val="auto"/>
          <w:sz w:val="28"/>
          <w:szCs w:val="28"/>
        </w:rPr>
        <w:t>、附则</w:t>
      </w:r>
    </w:p>
    <w:p w14:paraId="58EF215B">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本合同未尽事宜，双方另行协商签订补充协议。</w:t>
      </w:r>
    </w:p>
    <w:p w14:paraId="450019DE">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乙方营业执照复印件、乙方委派结算人员的授权委托书、受托人的身份证复印件、招投标文件等作为本合同的附件。</w:t>
      </w:r>
    </w:p>
    <w:p w14:paraId="2C588E36">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本合同组成文件和优先解释顺序：乙方在履行本合同中作出的书面承诺；本合同补充协议；本合同及附件；中标通知书/成交通知书/议价结果公示/成交公告；投标文件/响应文件；招标文件/采购文件/采购需求；其他与本合同有关的资料。</w:t>
      </w:r>
    </w:p>
    <w:p w14:paraId="0D449BDE">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本合同壹式</w:t>
      </w:r>
      <w:r>
        <w:rPr>
          <w:rFonts w:hint="eastAsia" w:ascii="仿宋" w:hAnsi="仿宋" w:eastAsia="仿宋" w:cs="仿宋"/>
          <w:color w:val="auto"/>
          <w:sz w:val="28"/>
          <w:szCs w:val="28"/>
          <w:lang w:val="en-US" w:eastAsia="zh-CN"/>
        </w:rPr>
        <w:t>伍</w:t>
      </w:r>
      <w:r>
        <w:rPr>
          <w:rFonts w:hint="eastAsia" w:ascii="仿宋" w:hAnsi="仿宋" w:eastAsia="仿宋" w:cs="仿宋"/>
          <w:color w:val="auto"/>
          <w:sz w:val="28"/>
          <w:szCs w:val="28"/>
        </w:rPr>
        <w:t>份，甲方执</w:t>
      </w:r>
      <w:r>
        <w:rPr>
          <w:rFonts w:hint="eastAsia" w:ascii="仿宋" w:hAnsi="仿宋" w:eastAsia="仿宋" w:cs="仿宋"/>
          <w:color w:val="auto"/>
          <w:sz w:val="28"/>
          <w:szCs w:val="28"/>
          <w:lang w:val="en-US" w:eastAsia="zh-CN"/>
        </w:rPr>
        <w:t>肆</w:t>
      </w:r>
      <w:r>
        <w:rPr>
          <w:rFonts w:hint="eastAsia" w:ascii="仿宋" w:hAnsi="仿宋" w:eastAsia="仿宋" w:cs="仿宋"/>
          <w:color w:val="auto"/>
          <w:sz w:val="28"/>
          <w:szCs w:val="28"/>
        </w:rPr>
        <w:t>份</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乙方执壹份，自双方签字</w:t>
      </w:r>
      <w:r>
        <w:rPr>
          <w:rFonts w:hint="eastAsia" w:ascii="仿宋" w:hAnsi="仿宋" w:eastAsia="仿宋" w:cs="仿宋"/>
          <w:color w:val="auto"/>
          <w:sz w:val="28"/>
          <w:szCs w:val="28"/>
          <w:lang w:val="en-US" w:eastAsia="zh-CN"/>
        </w:rPr>
        <w:t>并</w:t>
      </w:r>
      <w:r>
        <w:rPr>
          <w:rFonts w:hint="eastAsia" w:ascii="仿宋" w:hAnsi="仿宋" w:eastAsia="仿宋" w:cs="仿宋"/>
          <w:color w:val="auto"/>
          <w:sz w:val="28"/>
          <w:szCs w:val="28"/>
        </w:rPr>
        <w:t>盖章</w:t>
      </w:r>
      <w:r>
        <w:rPr>
          <w:rFonts w:hint="eastAsia" w:ascii="仿宋" w:hAnsi="仿宋" w:eastAsia="仿宋" w:cs="仿宋"/>
          <w:color w:val="auto"/>
          <w:sz w:val="28"/>
          <w:szCs w:val="28"/>
          <w:lang w:val="en-US" w:eastAsia="zh-CN"/>
        </w:rPr>
        <w:t>之日起</w:t>
      </w:r>
      <w:r>
        <w:rPr>
          <w:rFonts w:hint="eastAsia" w:ascii="仿宋" w:hAnsi="仿宋" w:eastAsia="仿宋" w:cs="仿宋"/>
          <w:color w:val="auto"/>
          <w:sz w:val="28"/>
          <w:szCs w:val="28"/>
        </w:rPr>
        <w:t>生效。</w:t>
      </w:r>
    </w:p>
    <w:p w14:paraId="67CB0ED1">
      <w:pPr>
        <w:keepNext w:val="0"/>
        <w:keepLines w:val="0"/>
        <w:pageBreakBefore w:val="0"/>
        <w:widowControl w:val="0"/>
        <w:kinsoku/>
        <w:wordWrap/>
        <w:overflowPunct/>
        <w:topLinePunct w:val="0"/>
        <w:autoSpaceDE/>
        <w:autoSpaceDN/>
        <w:bidi w:val="0"/>
        <w:adjustRightInd/>
        <w:snapToGrid/>
        <w:spacing w:line="480" w:lineRule="exact"/>
        <w:ind w:left="0" w:right="0" w:rightChars="0" w:firstLine="560" w:firstLineChars="200"/>
        <w:textAlignment w:val="auto"/>
        <w:rPr>
          <w:rFonts w:hint="eastAsia" w:ascii="仿宋" w:hAnsi="仿宋" w:eastAsia="仿宋" w:cs="仿宋"/>
          <w:color w:val="auto"/>
          <w:sz w:val="28"/>
          <w:szCs w:val="28"/>
        </w:rPr>
      </w:pPr>
    </w:p>
    <w:p w14:paraId="4EA0E67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甲方（盖章）：娄底市中心医院</w:t>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乙方（盖章）：</w:t>
      </w:r>
    </w:p>
    <w:p w14:paraId="4DBD108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rPr>
      </w:pPr>
    </w:p>
    <w:p w14:paraId="5B41518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法定代表人（签字）：</w:t>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法定代表人（签字）：</w:t>
      </w:r>
    </w:p>
    <w:p w14:paraId="3B6838C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rPr>
      </w:pPr>
    </w:p>
    <w:p w14:paraId="0D191AF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或</w:t>
      </w:r>
      <w:r>
        <w:rPr>
          <w:rFonts w:hint="eastAsia" w:ascii="仿宋" w:hAnsi="仿宋" w:eastAsia="仿宋" w:cs="仿宋"/>
          <w:color w:val="auto"/>
          <w:sz w:val="28"/>
          <w:szCs w:val="28"/>
        </w:rPr>
        <w:t>委托代理人（签字）：</w:t>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或</w:t>
      </w:r>
      <w:r>
        <w:rPr>
          <w:rFonts w:hint="eastAsia" w:ascii="仿宋" w:hAnsi="仿宋" w:eastAsia="仿宋" w:cs="仿宋"/>
          <w:color w:val="auto"/>
          <w:sz w:val="28"/>
          <w:szCs w:val="28"/>
        </w:rPr>
        <w:t>委托代理人（签字）：</w:t>
      </w:r>
    </w:p>
    <w:p w14:paraId="0B13DE2C">
      <w:pPr>
        <w:keepNext w:val="0"/>
        <w:keepLines w:val="0"/>
        <w:pageBreakBefore w:val="0"/>
        <w:widowControl w:val="0"/>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仿宋"/>
          <w:color w:val="auto"/>
          <w:sz w:val="28"/>
          <w:szCs w:val="28"/>
        </w:rPr>
      </w:pPr>
    </w:p>
    <w:p w14:paraId="3E847B68">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合同签订地：娄底市娄星区           签订时间：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年   月   日</w:t>
      </w:r>
    </w:p>
    <w:p w14:paraId="51D796E4">
      <w:pPr>
        <w:keepNext w:val="0"/>
        <w:keepLines w:val="0"/>
        <w:pageBreakBefore w:val="0"/>
        <w:widowControl w:val="0"/>
        <w:kinsoku/>
        <w:wordWrap/>
        <w:overflowPunct/>
        <w:topLinePunct w:val="0"/>
        <w:autoSpaceDE/>
        <w:autoSpaceDN/>
        <w:bidi w:val="0"/>
        <w:adjustRightInd/>
        <w:spacing w:line="470" w:lineRule="exact"/>
        <w:ind w:left="0"/>
        <w:jc w:val="left"/>
        <w:textAlignment w:val="auto"/>
        <w:rPr>
          <w:rFonts w:hint="eastAsia" w:ascii="仿宋" w:hAnsi="仿宋" w:eastAsia="仿宋" w:cs="仿宋"/>
          <w:color w:val="auto"/>
          <w:sz w:val="28"/>
          <w:szCs w:val="28"/>
        </w:rPr>
      </w:pPr>
    </w:p>
    <w:p w14:paraId="65A1891C">
      <w:pPr>
        <w:keepNext w:val="0"/>
        <w:keepLines w:val="0"/>
        <w:pageBreakBefore w:val="0"/>
        <w:widowControl w:val="0"/>
        <w:kinsoku/>
        <w:wordWrap/>
        <w:overflowPunct/>
        <w:topLinePunct w:val="0"/>
        <w:autoSpaceDE/>
        <w:autoSpaceDN/>
        <w:bidi w:val="0"/>
        <w:adjustRightInd/>
        <w:spacing w:line="470" w:lineRule="exact"/>
        <w:ind w:left="0"/>
        <w:textAlignment w:val="auto"/>
        <w:rPr>
          <w:rFonts w:hint="eastAsia" w:ascii="仿宋" w:hAnsi="仿宋" w:eastAsia="仿宋" w:cs="仿宋"/>
          <w:color w:val="auto"/>
          <w:sz w:val="28"/>
          <w:szCs w:val="28"/>
        </w:rPr>
      </w:pPr>
    </w:p>
    <w:p w14:paraId="0C96353F">
      <w:pPr>
        <w:pStyle w:val="11"/>
        <w:keepNext w:val="0"/>
        <w:keepLines w:val="0"/>
        <w:widowControl/>
        <w:suppressLineNumbers w:val="0"/>
        <w:spacing w:before="1500" w:beforeAutospacing="0" w:line="24" w:lineRule="atLeast"/>
        <w:rPr>
          <w:rFonts w:hint="eastAsia"/>
          <w:color w:val="auto"/>
          <w:lang w:eastAsia="zh-CN"/>
        </w:rPr>
      </w:pPr>
    </w:p>
    <w:p w14:paraId="64A9561C">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rPr>
      </w:pPr>
    </w:p>
    <w:p w14:paraId="531EE22B">
      <w:pPr>
        <w:keepNext w:val="0"/>
        <w:keepLines w:val="0"/>
        <w:pageBreakBefore w:val="0"/>
        <w:widowControl w:val="0"/>
        <w:kinsoku/>
        <w:wordWrap/>
        <w:overflowPunct w:val="0"/>
        <w:topLinePunct w:val="0"/>
        <w:autoSpaceDE w:val="0"/>
        <w:autoSpaceDN w:val="0"/>
        <w:bidi w:val="0"/>
        <w:adjustRightInd w:val="0"/>
        <w:snapToGrid/>
        <w:spacing w:line="540" w:lineRule="exact"/>
        <w:jc w:val="both"/>
        <w:textAlignment w:val="baseline"/>
        <w:rPr>
          <w:rFonts w:hint="eastAsia" w:ascii="仿宋" w:hAnsi="仿宋" w:eastAsia="仿宋" w:cs="仿宋"/>
          <w:color w:val="auto"/>
          <w:sz w:val="28"/>
          <w:szCs w:val="28"/>
          <w:u w:val="none"/>
          <w:lang w:val="en-US"/>
        </w:rPr>
      </w:pPr>
      <w:r>
        <w:rPr>
          <w:rFonts w:hint="eastAsia" w:ascii="仿宋" w:hAnsi="仿宋" w:eastAsia="仿宋" w:cs="仿宋"/>
          <w:b w:val="0"/>
          <w:bCs w:val="0"/>
          <w:color w:val="auto"/>
          <w:sz w:val="28"/>
          <w:szCs w:val="28"/>
          <w:lang w:val="en-US" w:eastAsia="zh-CN"/>
        </w:rPr>
        <w:t xml:space="preserve">                  </w:t>
      </w:r>
      <w:bookmarkEnd w:id="1"/>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仿宋" w:hAnsi="仿宋" w:eastAsia="仿宋" w:cs="仿宋"/>
          <w:b w:val="0"/>
          <w:color w:val="auto"/>
          <w:kern w:val="2"/>
          <w:sz w:val="28"/>
          <w:szCs w:val="28"/>
          <w:lang w:val="en-US" w:eastAsia="zh-CN" w:bidi="ar-SA"/>
        </w:rPr>
        <w:t xml:space="preserve">                                          </w:t>
      </w:r>
    </w:p>
    <w:p w14:paraId="5FDA02AB">
      <w:pPr>
        <w:pStyle w:val="2"/>
        <w:jc w:val="center"/>
        <w:rPr>
          <w:rFonts w:hint="eastAsia" w:ascii="宋体" w:hAnsi="宋体" w:cs="宋体"/>
          <w:color w:val="auto"/>
          <w:sz w:val="44"/>
          <w:szCs w:val="44"/>
          <w:lang w:val="en-US" w:eastAsia="zh-CN"/>
        </w:rPr>
      </w:pPr>
      <w:bookmarkStart w:id="2" w:name="_Toc16523574"/>
      <w:r>
        <w:rPr>
          <w:rFonts w:hint="eastAsia" w:ascii="宋体" w:hAnsi="宋体" w:cs="宋体"/>
          <w:color w:val="auto"/>
          <w:sz w:val="44"/>
          <w:szCs w:val="44"/>
          <w:lang w:val="en-US" w:eastAsia="zh-CN"/>
        </w:rPr>
        <w:t xml:space="preserve">   第三章投标文件的格式</w:t>
      </w:r>
    </w:p>
    <w:p w14:paraId="63BCBD98">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6E02CA03">
      <w:pPr>
        <w:rPr>
          <w:rFonts w:hint="eastAsia" w:ascii="宋体" w:hAnsi="宋体" w:cs="宋体"/>
          <w:color w:val="auto"/>
        </w:rPr>
      </w:pPr>
    </w:p>
    <w:bookmarkEnd w:id="2"/>
    <w:p w14:paraId="3C3D3243">
      <w:pPr>
        <w:rPr>
          <w:rFonts w:hint="eastAsia"/>
          <w:color w:val="auto"/>
        </w:rPr>
      </w:pPr>
    </w:p>
    <w:p w14:paraId="0AFCDF4A">
      <w:pPr>
        <w:jc w:val="center"/>
        <w:rPr>
          <w:b/>
          <w:color w:val="auto"/>
          <w:sz w:val="24"/>
        </w:rPr>
      </w:pPr>
      <w:r>
        <w:rPr>
          <w:b/>
          <w:color w:val="auto"/>
          <w:sz w:val="28"/>
          <w:szCs w:val="28"/>
        </w:rPr>
        <w:t>第一部分、开标一览表</w:t>
      </w:r>
    </w:p>
    <w:p w14:paraId="6495D31E">
      <w:pPr>
        <w:pStyle w:val="19"/>
        <w:rPr>
          <w:color w:val="auto"/>
        </w:rPr>
      </w:pPr>
    </w:p>
    <w:p w14:paraId="1CA414B7">
      <w:pPr>
        <w:adjustRightInd w:val="0"/>
        <w:snapToGrid w:val="0"/>
        <w:spacing w:line="360" w:lineRule="auto"/>
        <w:jc w:val="center"/>
        <w:rPr>
          <w:rFonts w:hint="eastAsia" w:ascii="宋体" w:hAnsi="宋体" w:cs="宋体"/>
          <w:b/>
          <w:color w:val="auto"/>
          <w:sz w:val="28"/>
          <w:szCs w:val="28"/>
        </w:rPr>
      </w:pPr>
    </w:p>
    <w:p w14:paraId="7BFD5C12">
      <w:pPr>
        <w:adjustRightInd w:val="0"/>
        <w:snapToGrid w:val="0"/>
        <w:spacing w:line="360" w:lineRule="auto"/>
        <w:jc w:val="center"/>
        <w:rPr>
          <w:rFonts w:hint="eastAsia" w:ascii="宋体" w:hAnsi="宋体" w:cs="宋体"/>
          <w:b/>
          <w:color w:val="auto"/>
          <w:sz w:val="28"/>
          <w:szCs w:val="28"/>
        </w:rPr>
      </w:pPr>
    </w:p>
    <w:p w14:paraId="70947253">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06D3F32A">
      <w:pPr>
        <w:pStyle w:val="20"/>
        <w:rPr>
          <w:rFonts w:hint="eastAsia"/>
          <w:color w:val="auto"/>
          <w:lang w:eastAsia="zh-CN"/>
        </w:rPr>
      </w:pPr>
    </w:p>
    <w:p w14:paraId="01F6AC1F">
      <w:pPr>
        <w:adjustRightInd w:val="0"/>
        <w:snapToGrid w:val="0"/>
        <w:spacing w:line="360" w:lineRule="auto"/>
        <w:jc w:val="center"/>
        <w:rPr>
          <w:rFonts w:hint="eastAsia" w:ascii="宋体" w:hAnsi="宋体" w:cs="宋体"/>
          <w:b/>
          <w:color w:val="auto"/>
          <w:sz w:val="24"/>
          <w:szCs w:val="20"/>
        </w:rPr>
      </w:pPr>
    </w:p>
    <w:p w14:paraId="6E97A1B6">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484EF7A0">
      <w:pPr>
        <w:adjustRightInd w:val="0"/>
        <w:snapToGrid w:val="0"/>
        <w:spacing w:line="360" w:lineRule="auto"/>
        <w:rPr>
          <w:rFonts w:hint="eastAsia" w:ascii="宋体" w:hAnsi="宋体" w:cs="宋体"/>
          <w:b/>
          <w:color w:val="auto"/>
          <w:sz w:val="28"/>
          <w:szCs w:val="28"/>
        </w:rPr>
      </w:pPr>
    </w:p>
    <w:p w14:paraId="7C64ED04">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18A7AF7">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7E86CF8D">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1EBAE508">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1E44D257">
      <w:pPr>
        <w:adjustRightInd w:val="0"/>
        <w:snapToGrid w:val="0"/>
        <w:spacing w:line="360" w:lineRule="auto"/>
        <w:ind w:firstLine="480" w:firstLineChars="200"/>
        <w:rPr>
          <w:rFonts w:hint="eastAsia" w:ascii="宋体" w:hAnsi="宋体" w:cs="宋体"/>
          <w:color w:val="auto"/>
          <w:sz w:val="24"/>
        </w:rPr>
      </w:pPr>
    </w:p>
    <w:tbl>
      <w:tblPr>
        <w:tblStyle w:val="13"/>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E621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D3921DB">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176BFE6B">
      <w:pPr>
        <w:adjustRightInd w:val="0"/>
        <w:snapToGrid w:val="0"/>
        <w:spacing w:line="360" w:lineRule="auto"/>
        <w:rPr>
          <w:rFonts w:hint="eastAsia" w:ascii="宋体" w:hAnsi="宋体" w:cs="宋体"/>
          <w:color w:val="auto"/>
          <w:sz w:val="24"/>
        </w:rPr>
      </w:pPr>
    </w:p>
    <w:tbl>
      <w:tblPr>
        <w:tblStyle w:val="13"/>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0353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22B478C">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6690E3A4">
      <w:pPr>
        <w:adjustRightInd w:val="0"/>
        <w:snapToGrid w:val="0"/>
        <w:spacing w:line="360" w:lineRule="auto"/>
        <w:rPr>
          <w:rFonts w:hint="eastAsia" w:ascii="宋体" w:hAnsi="宋体" w:cs="宋体"/>
          <w:color w:val="auto"/>
          <w:sz w:val="24"/>
        </w:rPr>
      </w:pPr>
    </w:p>
    <w:p w14:paraId="62866227">
      <w:pPr>
        <w:adjustRightInd w:val="0"/>
        <w:snapToGrid w:val="0"/>
        <w:spacing w:line="360" w:lineRule="auto"/>
        <w:rPr>
          <w:rFonts w:hint="eastAsia" w:ascii="宋体" w:hAnsi="宋体" w:cs="宋体"/>
          <w:color w:val="auto"/>
          <w:sz w:val="24"/>
        </w:rPr>
      </w:pPr>
    </w:p>
    <w:p w14:paraId="22EADCD1">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535172AF">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570138A1">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589FF919">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0148C083">
      <w:pPr>
        <w:adjustRightInd w:val="0"/>
        <w:snapToGrid w:val="0"/>
        <w:spacing w:line="360" w:lineRule="auto"/>
        <w:rPr>
          <w:rFonts w:hint="eastAsia" w:ascii="宋体" w:hAnsi="宋体" w:cs="宋体"/>
          <w:b/>
          <w:color w:val="auto"/>
          <w:sz w:val="28"/>
          <w:szCs w:val="28"/>
        </w:rPr>
      </w:pPr>
    </w:p>
    <w:p w14:paraId="1A60B02A">
      <w:pPr>
        <w:adjustRightInd w:val="0"/>
        <w:snapToGrid w:val="0"/>
        <w:spacing w:line="360" w:lineRule="auto"/>
        <w:rPr>
          <w:rFonts w:hint="eastAsia" w:ascii="宋体" w:hAnsi="宋体" w:cs="宋体"/>
          <w:b/>
          <w:color w:val="auto"/>
          <w:sz w:val="28"/>
          <w:szCs w:val="28"/>
        </w:rPr>
      </w:pPr>
    </w:p>
    <w:p w14:paraId="33DC4EA4">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557BC8F7">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6B02F187">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14:paraId="7015A285">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4C3A86BF">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54E13F4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318FC51B">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40FC264B">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419DCD7C">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6D65F361">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5F2181BE">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57923393">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3102D368">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5896BD17">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352BB87E">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4D2E52E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5626F71B">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33A906AB">
      <w:pPr>
        <w:adjustRightInd w:val="0"/>
        <w:snapToGrid w:val="0"/>
        <w:spacing w:line="360" w:lineRule="auto"/>
        <w:jc w:val="center"/>
        <w:rPr>
          <w:rFonts w:hint="eastAsia" w:ascii="宋体" w:hAnsi="宋体" w:cs="宋体"/>
          <w:b/>
          <w:color w:val="auto"/>
          <w:sz w:val="24"/>
          <w:szCs w:val="20"/>
        </w:rPr>
      </w:pPr>
    </w:p>
    <w:p w14:paraId="43513160">
      <w:pPr>
        <w:adjustRightInd w:val="0"/>
        <w:snapToGrid w:val="0"/>
        <w:spacing w:line="360" w:lineRule="auto"/>
        <w:rPr>
          <w:rFonts w:hint="eastAsia" w:ascii="宋体" w:hAnsi="宋体" w:cs="宋体"/>
          <w:b/>
          <w:color w:val="auto"/>
          <w:sz w:val="24"/>
          <w:szCs w:val="20"/>
        </w:rPr>
      </w:pPr>
    </w:p>
    <w:p w14:paraId="1F93E756">
      <w:pPr>
        <w:adjustRightInd w:val="0"/>
        <w:snapToGrid w:val="0"/>
        <w:spacing w:line="360" w:lineRule="auto"/>
        <w:rPr>
          <w:rFonts w:hint="eastAsia" w:ascii="宋体" w:hAnsi="宋体" w:cs="宋体"/>
          <w:b/>
          <w:color w:val="auto"/>
          <w:sz w:val="24"/>
          <w:szCs w:val="20"/>
        </w:rPr>
      </w:pPr>
    </w:p>
    <w:p w14:paraId="50E192B0">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6FFC9342">
      <w:pPr>
        <w:adjustRightInd w:val="0"/>
        <w:snapToGrid w:val="0"/>
        <w:spacing w:line="360" w:lineRule="auto"/>
        <w:jc w:val="center"/>
        <w:rPr>
          <w:rFonts w:hint="eastAsia" w:ascii="宋体" w:hAnsi="宋体" w:cs="宋体"/>
          <w:b/>
          <w:color w:val="auto"/>
          <w:sz w:val="24"/>
          <w:szCs w:val="20"/>
        </w:rPr>
      </w:pPr>
    </w:p>
    <w:p w14:paraId="70D96195">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7E7A1A67">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233909D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66A5A368">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2709F955">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0072E6B7">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4C5C4138">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42D19AA8">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B7EC4CC">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F367370">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781ADB6C">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5C106598">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2022年     月     日</w:t>
      </w:r>
    </w:p>
    <w:p w14:paraId="1AD90C82">
      <w:pPr>
        <w:jc w:val="left"/>
        <w:rPr>
          <w:rFonts w:hint="eastAsia" w:ascii="宋体" w:hAnsi="宋体" w:eastAsia="宋体" w:cs="Times New Roman"/>
          <w:b w:val="0"/>
          <w:bCs w:val="0"/>
          <w:color w:val="auto"/>
          <w:kern w:val="2"/>
          <w:sz w:val="24"/>
          <w:szCs w:val="24"/>
          <w:lang w:val="en-US" w:eastAsia="zh-CN" w:bidi="ar-SA"/>
        </w:rPr>
      </w:pPr>
    </w:p>
    <w:p w14:paraId="4C054E8F">
      <w:pPr>
        <w:jc w:val="left"/>
        <w:rPr>
          <w:rFonts w:hint="eastAsia" w:ascii="宋体" w:hAnsi="宋体" w:eastAsia="宋体" w:cs="Times New Roman"/>
          <w:b w:val="0"/>
          <w:bCs w:val="0"/>
          <w:color w:val="auto"/>
          <w:kern w:val="2"/>
          <w:sz w:val="24"/>
          <w:szCs w:val="24"/>
          <w:lang w:val="en-US" w:eastAsia="zh-CN" w:bidi="ar-SA"/>
        </w:rPr>
      </w:pPr>
    </w:p>
    <w:p w14:paraId="0ABDC406">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6FA0C4AB">
      <w:pPr>
        <w:jc w:val="center"/>
        <w:rPr>
          <w:rFonts w:hint="eastAsia" w:ascii="宋体" w:hAnsi="宋体" w:cs="宋体"/>
          <w:b/>
          <w:color w:val="auto"/>
          <w:sz w:val="24"/>
        </w:rPr>
        <w:sectPr>
          <w:footerReference r:id="rId5" w:type="default"/>
          <w:pgSz w:w="11906" w:h="16838"/>
          <w:pgMar w:top="1191" w:right="1587" w:bottom="1020" w:left="1587" w:header="567" w:footer="283" w:gutter="0"/>
          <w:cols w:space="720" w:num="1"/>
          <w:docGrid w:linePitch="312" w:charSpace="0"/>
        </w:sectPr>
      </w:pPr>
    </w:p>
    <w:p w14:paraId="7242920E">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76514128"/>
      <w:bookmarkStart w:id="4" w:name="_Toc486424819"/>
    </w:p>
    <w:p w14:paraId="126ABE8D">
      <w:pPr>
        <w:pStyle w:val="20"/>
        <w:rPr>
          <w:rFonts w:hint="eastAsia"/>
          <w:color w:val="auto"/>
          <w:lang w:eastAsia="zh-CN"/>
        </w:rPr>
      </w:pPr>
    </w:p>
    <w:p w14:paraId="23ABFD02">
      <w:pPr>
        <w:spacing w:before="120" w:beforeLines="50" w:after="120" w:afterLines="50" w:line="276" w:lineRule="auto"/>
        <w:jc w:val="center"/>
        <w:rPr>
          <w:rFonts w:hint="eastAsia" w:eastAsia="宋体"/>
          <w:b/>
          <w:color w:val="auto"/>
          <w:sz w:val="24"/>
          <w:lang w:eastAsia="zh-CN"/>
        </w:rPr>
      </w:pPr>
      <w:r>
        <w:rPr>
          <w:b/>
          <w:color w:val="auto"/>
          <w:sz w:val="24"/>
        </w:rPr>
        <w:t>采购需求响应</w:t>
      </w:r>
      <w:r>
        <w:rPr>
          <w:rFonts w:hint="eastAsia"/>
          <w:b/>
          <w:color w:val="auto"/>
          <w:sz w:val="24"/>
          <w:lang w:eastAsia="zh-CN"/>
        </w:rPr>
        <w:t>表</w:t>
      </w:r>
    </w:p>
    <w:p w14:paraId="4E74E349">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3"/>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07816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283F8009">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04F1DE08">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14:paraId="5184D0FE">
            <w:pPr>
              <w:adjustRightInd w:val="0"/>
              <w:snapToGrid w:val="0"/>
              <w:spacing w:before="50" w:line="360" w:lineRule="auto"/>
              <w:jc w:val="center"/>
              <w:rPr>
                <w:color w:val="auto"/>
              </w:rPr>
            </w:pPr>
            <w:r>
              <w:rPr>
                <w:color w:val="auto"/>
              </w:rPr>
              <w:t>招标文件要求</w:t>
            </w:r>
          </w:p>
        </w:tc>
        <w:tc>
          <w:tcPr>
            <w:tcW w:w="962" w:type="pct"/>
            <w:noWrap w:val="0"/>
            <w:vAlign w:val="top"/>
          </w:tcPr>
          <w:p w14:paraId="4D34468D">
            <w:pPr>
              <w:adjustRightInd w:val="0"/>
              <w:snapToGrid w:val="0"/>
              <w:spacing w:before="50" w:line="360" w:lineRule="auto"/>
              <w:jc w:val="center"/>
              <w:rPr>
                <w:color w:val="auto"/>
              </w:rPr>
            </w:pPr>
            <w:r>
              <w:rPr>
                <w:color w:val="auto"/>
              </w:rPr>
              <w:t>投标文件应答</w:t>
            </w:r>
          </w:p>
        </w:tc>
        <w:tc>
          <w:tcPr>
            <w:tcW w:w="905" w:type="pct"/>
            <w:noWrap w:val="0"/>
            <w:vAlign w:val="center"/>
          </w:tcPr>
          <w:p w14:paraId="7790CCE8">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4F22A06F">
            <w:pPr>
              <w:adjustRightInd w:val="0"/>
              <w:snapToGrid w:val="0"/>
              <w:spacing w:before="50" w:line="360" w:lineRule="auto"/>
              <w:ind w:left="-88" w:leftChars="-42"/>
              <w:jc w:val="center"/>
              <w:rPr>
                <w:color w:val="auto"/>
                <w:szCs w:val="21"/>
              </w:rPr>
            </w:pPr>
            <w:r>
              <w:rPr>
                <w:color w:val="auto"/>
                <w:szCs w:val="21"/>
              </w:rPr>
              <w:t>偏离说明</w:t>
            </w:r>
          </w:p>
        </w:tc>
      </w:tr>
      <w:tr w14:paraId="60D90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5B8C8226">
            <w:pPr>
              <w:adjustRightInd w:val="0"/>
              <w:snapToGrid w:val="0"/>
              <w:spacing w:before="50" w:line="360" w:lineRule="auto"/>
              <w:ind w:left="-88" w:leftChars="-42"/>
              <w:jc w:val="center"/>
              <w:rPr>
                <w:color w:val="auto"/>
                <w:szCs w:val="21"/>
              </w:rPr>
            </w:pPr>
          </w:p>
        </w:tc>
        <w:tc>
          <w:tcPr>
            <w:tcW w:w="1123" w:type="pct"/>
            <w:noWrap w:val="0"/>
            <w:vAlign w:val="center"/>
          </w:tcPr>
          <w:p w14:paraId="7705EEC4">
            <w:pPr>
              <w:adjustRightInd w:val="0"/>
              <w:snapToGrid w:val="0"/>
              <w:spacing w:before="50" w:line="360" w:lineRule="auto"/>
              <w:ind w:left="-88" w:leftChars="-42"/>
              <w:jc w:val="center"/>
              <w:rPr>
                <w:color w:val="auto"/>
                <w:szCs w:val="21"/>
              </w:rPr>
            </w:pPr>
          </w:p>
        </w:tc>
        <w:tc>
          <w:tcPr>
            <w:tcW w:w="1000" w:type="pct"/>
            <w:noWrap w:val="0"/>
            <w:vAlign w:val="center"/>
          </w:tcPr>
          <w:p w14:paraId="5DE07560">
            <w:pPr>
              <w:adjustRightInd w:val="0"/>
              <w:snapToGrid w:val="0"/>
              <w:spacing w:before="50" w:line="360" w:lineRule="auto"/>
              <w:ind w:left="-88" w:leftChars="-42"/>
              <w:jc w:val="center"/>
              <w:rPr>
                <w:color w:val="auto"/>
                <w:szCs w:val="21"/>
              </w:rPr>
            </w:pPr>
          </w:p>
        </w:tc>
        <w:tc>
          <w:tcPr>
            <w:tcW w:w="962" w:type="pct"/>
            <w:noWrap w:val="0"/>
            <w:vAlign w:val="center"/>
          </w:tcPr>
          <w:p w14:paraId="6260238C">
            <w:pPr>
              <w:adjustRightInd w:val="0"/>
              <w:snapToGrid w:val="0"/>
              <w:spacing w:before="50" w:line="360" w:lineRule="auto"/>
              <w:ind w:left="-88" w:leftChars="-42"/>
              <w:jc w:val="center"/>
              <w:rPr>
                <w:color w:val="auto"/>
                <w:szCs w:val="21"/>
              </w:rPr>
            </w:pPr>
          </w:p>
        </w:tc>
        <w:tc>
          <w:tcPr>
            <w:tcW w:w="905" w:type="pct"/>
            <w:noWrap w:val="0"/>
            <w:vAlign w:val="center"/>
          </w:tcPr>
          <w:p w14:paraId="4772008B">
            <w:pPr>
              <w:adjustRightInd w:val="0"/>
              <w:snapToGrid w:val="0"/>
              <w:spacing w:before="50" w:line="360" w:lineRule="auto"/>
              <w:ind w:left="-88" w:leftChars="-42"/>
              <w:jc w:val="center"/>
              <w:rPr>
                <w:color w:val="auto"/>
                <w:szCs w:val="21"/>
              </w:rPr>
            </w:pPr>
          </w:p>
        </w:tc>
        <w:tc>
          <w:tcPr>
            <w:tcW w:w="634" w:type="pct"/>
            <w:noWrap w:val="0"/>
            <w:vAlign w:val="center"/>
          </w:tcPr>
          <w:p w14:paraId="21C492A5">
            <w:pPr>
              <w:adjustRightInd w:val="0"/>
              <w:snapToGrid w:val="0"/>
              <w:spacing w:before="50" w:line="360" w:lineRule="auto"/>
              <w:ind w:left="-88" w:leftChars="-42"/>
              <w:jc w:val="center"/>
              <w:rPr>
                <w:color w:val="auto"/>
                <w:szCs w:val="21"/>
              </w:rPr>
            </w:pPr>
          </w:p>
        </w:tc>
      </w:tr>
      <w:tr w14:paraId="2C3DD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672C68D6">
            <w:pPr>
              <w:adjustRightInd w:val="0"/>
              <w:snapToGrid w:val="0"/>
              <w:spacing w:before="50" w:line="360" w:lineRule="auto"/>
              <w:ind w:left="-88" w:leftChars="-42"/>
              <w:jc w:val="center"/>
              <w:rPr>
                <w:color w:val="auto"/>
                <w:szCs w:val="21"/>
              </w:rPr>
            </w:pPr>
          </w:p>
        </w:tc>
        <w:tc>
          <w:tcPr>
            <w:tcW w:w="1123" w:type="pct"/>
            <w:noWrap w:val="0"/>
            <w:vAlign w:val="center"/>
          </w:tcPr>
          <w:p w14:paraId="25B70FD8">
            <w:pPr>
              <w:adjustRightInd w:val="0"/>
              <w:snapToGrid w:val="0"/>
              <w:spacing w:before="50" w:line="360" w:lineRule="auto"/>
              <w:ind w:left="-88" w:leftChars="-42"/>
              <w:jc w:val="center"/>
              <w:rPr>
                <w:color w:val="auto"/>
                <w:szCs w:val="21"/>
              </w:rPr>
            </w:pPr>
          </w:p>
        </w:tc>
        <w:tc>
          <w:tcPr>
            <w:tcW w:w="1000" w:type="pct"/>
            <w:noWrap w:val="0"/>
            <w:vAlign w:val="center"/>
          </w:tcPr>
          <w:p w14:paraId="556058A2">
            <w:pPr>
              <w:adjustRightInd w:val="0"/>
              <w:snapToGrid w:val="0"/>
              <w:spacing w:before="50" w:line="360" w:lineRule="auto"/>
              <w:ind w:left="-88" w:leftChars="-42"/>
              <w:jc w:val="center"/>
              <w:rPr>
                <w:color w:val="auto"/>
                <w:szCs w:val="21"/>
              </w:rPr>
            </w:pPr>
          </w:p>
        </w:tc>
        <w:tc>
          <w:tcPr>
            <w:tcW w:w="962" w:type="pct"/>
            <w:noWrap w:val="0"/>
            <w:vAlign w:val="center"/>
          </w:tcPr>
          <w:p w14:paraId="2D4564AE">
            <w:pPr>
              <w:adjustRightInd w:val="0"/>
              <w:snapToGrid w:val="0"/>
              <w:spacing w:before="50" w:line="360" w:lineRule="auto"/>
              <w:ind w:left="-88" w:leftChars="-42"/>
              <w:jc w:val="center"/>
              <w:rPr>
                <w:color w:val="auto"/>
                <w:szCs w:val="21"/>
              </w:rPr>
            </w:pPr>
          </w:p>
        </w:tc>
        <w:tc>
          <w:tcPr>
            <w:tcW w:w="905" w:type="pct"/>
            <w:noWrap w:val="0"/>
            <w:vAlign w:val="center"/>
          </w:tcPr>
          <w:p w14:paraId="716E63CD">
            <w:pPr>
              <w:adjustRightInd w:val="0"/>
              <w:snapToGrid w:val="0"/>
              <w:spacing w:before="50" w:line="360" w:lineRule="auto"/>
              <w:ind w:left="-88" w:leftChars="-42"/>
              <w:jc w:val="center"/>
              <w:rPr>
                <w:color w:val="auto"/>
                <w:szCs w:val="21"/>
              </w:rPr>
            </w:pPr>
          </w:p>
        </w:tc>
        <w:tc>
          <w:tcPr>
            <w:tcW w:w="634" w:type="pct"/>
            <w:noWrap w:val="0"/>
            <w:vAlign w:val="center"/>
          </w:tcPr>
          <w:p w14:paraId="3E9A6FEA">
            <w:pPr>
              <w:adjustRightInd w:val="0"/>
              <w:snapToGrid w:val="0"/>
              <w:spacing w:before="50" w:line="360" w:lineRule="auto"/>
              <w:ind w:left="-88" w:leftChars="-42"/>
              <w:jc w:val="center"/>
              <w:rPr>
                <w:color w:val="auto"/>
                <w:szCs w:val="21"/>
              </w:rPr>
            </w:pPr>
          </w:p>
        </w:tc>
      </w:tr>
      <w:tr w14:paraId="249AC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A6D10A9">
            <w:pPr>
              <w:adjustRightInd w:val="0"/>
              <w:snapToGrid w:val="0"/>
              <w:spacing w:before="50" w:line="360" w:lineRule="auto"/>
              <w:ind w:left="-88" w:leftChars="-42"/>
              <w:jc w:val="center"/>
              <w:rPr>
                <w:color w:val="auto"/>
                <w:szCs w:val="21"/>
              </w:rPr>
            </w:pPr>
          </w:p>
        </w:tc>
        <w:tc>
          <w:tcPr>
            <w:tcW w:w="1123" w:type="pct"/>
            <w:noWrap w:val="0"/>
            <w:vAlign w:val="center"/>
          </w:tcPr>
          <w:p w14:paraId="3A42DC0C">
            <w:pPr>
              <w:adjustRightInd w:val="0"/>
              <w:snapToGrid w:val="0"/>
              <w:spacing w:before="50" w:line="360" w:lineRule="auto"/>
              <w:ind w:left="-88" w:leftChars="-42"/>
              <w:jc w:val="center"/>
              <w:rPr>
                <w:color w:val="auto"/>
                <w:szCs w:val="21"/>
              </w:rPr>
            </w:pPr>
          </w:p>
        </w:tc>
        <w:tc>
          <w:tcPr>
            <w:tcW w:w="1000" w:type="pct"/>
            <w:noWrap w:val="0"/>
            <w:vAlign w:val="center"/>
          </w:tcPr>
          <w:p w14:paraId="21CAC9C3">
            <w:pPr>
              <w:adjustRightInd w:val="0"/>
              <w:snapToGrid w:val="0"/>
              <w:spacing w:before="50" w:line="360" w:lineRule="auto"/>
              <w:ind w:left="-88" w:leftChars="-42"/>
              <w:jc w:val="center"/>
              <w:rPr>
                <w:color w:val="auto"/>
                <w:szCs w:val="21"/>
              </w:rPr>
            </w:pPr>
          </w:p>
        </w:tc>
        <w:tc>
          <w:tcPr>
            <w:tcW w:w="962" w:type="pct"/>
            <w:noWrap w:val="0"/>
            <w:vAlign w:val="center"/>
          </w:tcPr>
          <w:p w14:paraId="04A4BFFE">
            <w:pPr>
              <w:adjustRightInd w:val="0"/>
              <w:snapToGrid w:val="0"/>
              <w:spacing w:before="50" w:line="360" w:lineRule="auto"/>
              <w:ind w:left="-88" w:leftChars="-42"/>
              <w:jc w:val="center"/>
              <w:rPr>
                <w:color w:val="auto"/>
                <w:szCs w:val="21"/>
              </w:rPr>
            </w:pPr>
          </w:p>
        </w:tc>
        <w:tc>
          <w:tcPr>
            <w:tcW w:w="905" w:type="pct"/>
            <w:noWrap w:val="0"/>
            <w:vAlign w:val="center"/>
          </w:tcPr>
          <w:p w14:paraId="2A2F78CE">
            <w:pPr>
              <w:adjustRightInd w:val="0"/>
              <w:snapToGrid w:val="0"/>
              <w:spacing w:before="50" w:line="360" w:lineRule="auto"/>
              <w:ind w:left="-88" w:leftChars="-42"/>
              <w:jc w:val="center"/>
              <w:rPr>
                <w:color w:val="auto"/>
                <w:szCs w:val="21"/>
              </w:rPr>
            </w:pPr>
          </w:p>
        </w:tc>
        <w:tc>
          <w:tcPr>
            <w:tcW w:w="634" w:type="pct"/>
            <w:noWrap w:val="0"/>
            <w:vAlign w:val="center"/>
          </w:tcPr>
          <w:p w14:paraId="26D05CB8">
            <w:pPr>
              <w:adjustRightInd w:val="0"/>
              <w:snapToGrid w:val="0"/>
              <w:spacing w:before="50" w:line="360" w:lineRule="auto"/>
              <w:ind w:left="-88" w:leftChars="-42"/>
              <w:jc w:val="center"/>
              <w:rPr>
                <w:color w:val="auto"/>
                <w:szCs w:val="21"/>
              </w:rPr>
            </w:pPr>
          </w:p>
        </w:tc>
      </w:tr>
      <w:tr w14:paraId="59652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643DDFCC">
            <w:pPr>
              <w:rPr>
                <w:b/>
                <w:color w:val="auto"/>
              </w:rPr>
            </w:pPr>
            <w:r>
              <w:rPr>
                <w:b/>
                <w:color w:val="auto"/>
              </w:rPr>
              <w:t>投标人保证：我单位对招标文件的其他采购需求条款完全响应，无偏离。</w:t>
            </w:r>
          </w:p>
        </w:tc>
      </w:tr>
    </w:tbl>
    <w:p w14:paraId="4C95D72F">
      <w:pPr>
        <w:adjustRightInd w:val="0"/>
        <w:snapToGrid w:val="0"/>
        <w:spacing w:before="50" w:line="360" w:lineRule="auto"/>
        <w:ind w:left="-88" w:leftChars="-42"/>
        <w:rPr>
          <w:color w:val="auto"/>
          <w:sz w:val="24"/>
        </w:rPr>
      </w:pPr>
      <w:r>
        <w:rPr>
          <w:b/>
          <w:color w:val="auto"/>
          <w:sz w:val="24"/>
        </w:rPr>
        <w:t>备注</w:t>
      </w:r>
      <w:r>
        <w:rPr>
          <w:color w:val="auto"/>
          <w:sz w:val="24"/>
        </w:rPr>
        <w:t>：</w:t>
      </w:r>
    </w:p>
    <w:p w14:paraId="60153127">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14:paraId="54935394">
      <w:pPr>
        <w:adjustRightInd w:val="0"/>
        <w:snapToGrid w:val="0"/>
        <w:spacing w:before="50" w:line="360" w:lineRule="auto"/>
        <w:ind w:left="-88" w:leftChars="-42"/>
        <w:rPr>
          <w:rFonts w:hint="eastAsia"/>
          <w:color w:val="auto"/>
          <w:sz w:val="24"/>
        </w:rPr>
      </w:pPr>
      <w:r>
        <w:rPr>
          <w:color w:val="auto"/>
          <w:sz w:val="24"/>
        </w:rPr>
        <w:t>（2）</w:t>
      </w:r>
      <w:r>
        <w:rPr>
          <w:rFonts w:hint="eastAsia"/>
          <w:color w:val="auto"/>
          <w:sz w:val="24"/>
        </w:rPr>
        <w:t>采购需求必须全部满足，不得有偏离，否则投标无效</w:t>
      </w:r>
      <w:r>
        <w:rPr>
          <w:color w:val="auto"/>
          <w:sz w:val="24"/>
        </w:rPr>
        <w:t>；</w:t>
      </w:r>
    </w:p>
    <w:bookmarkEnd w:id="3"/>
    <w:bookmarkEnd w:id="4"/>
    <w:p w14:paraId="71254EC6">
      <w:pPr>
        <w:pStyle w:val="19"/>
        <w:rPr>
          <w:color w:val="auto"/>
        </w:rPr>
      </w:pPr>
    </w:p>
    <w:p w14:paraId="0F8FD442">
      <w:pPr>
        <w:pStyle w:val="21"/>
        <w:tabs>
          <w:tab w:val="left" w:pos="2312"/>
          <w:tab w:val="left" w:pos="2313"/>
        </w:tabs>
        <w:autoSpaceDE w:val="0"/>
        <w:autoSpaceDN w:val="0"/>
        <w:spacing w:before="43"/>
        <w:ind w:left="0" w:leftChars="0" w:firstLine="0" w:firstLineChars="0"/>
        <w:jc w:val="center"/>
        <w:rPr>
          <w:rFonts w:hint="eastAsia" w:ascii="宋体" w:hAnsi="宋体" w:eastAsia="宋体" w:cs="宋体"/>
          <w:b/>
          <w:color w:val="auto"/>
          <w:sz w:val="28"/>
          <w:szCs w:val="28"/>
          <w:lang w:eastAsia="zh-CN"/>
        </w:rPr>
      </w:pPr>
      <w:r>
        <w:rPr>
          <w:rFonts w:hint="eastAsia" w:ascii="Times New Roman" w:hAnsi="Times New Roman"/>
          <w:b/>
          <w:bCs/>
          <w:color w:val="auto"/>
          <w:sz w:val="28"/>
          <w:szCs w:val="28"/>
        </w:rPr>
        <w:t>第四部分、</w:t>
      </w:r>
      <w:r>
        <w:rPr>
          <w:rFonts w:hint="eastAsia" w:ascii="宋体" w:hAnsi="宋体" w:cs="宋体"/>
          <w:b/>
          <w:color w:val="auto"/>
          <w:sz w:val="28"/>
          <w:szCs w:val="28"/>
          <w:lang w:eastAsia="zh-CN"/>
        </w:rPr>
        <w:t>其他需提供的材料</w:t>
      </w:r>
    </w:p>
    <w:p w14:paraId="20F17816">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备</w:t>
      </w:r>
      <w:r>
        <w:rPr>
          <w:rFonts w:ascii="宋体" w:hAnsi="宋体" w:cs="宋体"/>
          <w:color w:val="auto"/>
          <w:sz w:val="24"/>
        </w:rPr>
        <w:t>注：</w:t>
      </w:r>
      <w:r>
        <w:rPr>
          <w:rFonts w:hint="eastAsia" w:ascii="宋体" w:hAnsi="宋体" w:cs="宋体"/>
          <w:color w:val="auto"/>
          <w:sz w:val="24"/>
          <w:lang w:eastAsia="zh-CN"/>
        </w:rPr>
        <w:t>按要求提供</w:t>
      </w:r>
      <w:r>
        <w:rPr>
          <w:rFonts w:ascii="宋体" w:hAnsi="宋体" w:cs="宋体"/>
          <w:color w:val="auto"/>
          <w:sz w:val="24"/>
        </w:rPr>
        <w:t>提供材料</w:t>
      </w:r>
    </w:p>
    <w:p w14:paraId="076806B6">
      <w:pPr>
        <w:pStyle w:val="19"/>
        <w:rPr>
          <w:color w:val="auto"/>
        </w:rPr>
      </w:pPr>
    </w:p>
    <w:p w14:paraId="1AA19DFA">
      <w:pPr>
        <w:pStyle w:val="19"/>
        <w:rPr>
          <w:color w:val="auto"/>
        </w:rPr>
      </w:pPr>
    </w:p>
    <w:p w14:paraId="4461DEBA">
      <w:pPr>
        <w:pStyle w:val="19"/>
        <w:rPr>
          <w:color w:val="auto"/>
        </w:rPr>
      </w:pPr>
    </w:p>
    <w:p w14:paraId="4F259EF0">
      <w:pPr>
        <w:pStyle w:val="21"/>
        <w:tabs>
          <w:tab w:val="left" w:pos="2312"/>
          <w:tab w:val="left" w:pos="2313"/>
        </w:tabs>
        <w:autoSpaceDE w:val="0"/>
        <w:autoSpaceDN w:val="0"/>
        <w:spacing w:before="43"/>
        <w:ind w:left="0" w:leftChars="0" w:firstLine="0" w:firstLineChars="0"/>
        <w:rPr>
          <w:rFonts w:ascii="Times New Roman" w:hAnsi="Times New Roman"/>
          <w:b/>
          <w:bCs/>
          <w:color w:val="auto"/>
          <w:sz w:val="28"/>
          <w:szCs w:val="28"/>
        </w:rPr>
      </w:pPr>
    </w:p>
    <w:p w14:paraId="03A61B5D">
      <w:pPr>
        <w:rPr>
          <w:color w:val="auto"/>
        </w:rPr>
      </w:pPr>
    </w:p>
    <w:p w14:paraId="40DFB52B">
      <w:pPr>
        <w:rPr>
          <w:color w:val="auto"/>
        </w:rPr>
      </w:pPr>
    </w:p>
    <w:p w14:paraId="3338304C">
      <w:pPr>
        <w:rPr>
          <w:color w:val="auto"/>
        </w:rPr>
      </w:pPr>
    </w:p>
    <w:p w14:paraId="56521BD8">
      <w:pPr>
        <w:rPr>
          <w:color w:val="auto"/>
        </w:rPr>
      </w:pPr>
    </w:p>
    <w:p w14:paraId="28B8DAB4">
      <w:pPr>
        <w:rPr>
          <w:color w:val="auto"/>
        </w:rPr>
      </w:pPr>
    </w:p>
    <w:p w14:paraId="5E95BBF6">
      <w:pPr>
        <w:rPr>
          <w:color w:val="auto"/>
        </w:rPr>
      </w:pPr>
    </w:p>
    <w:p w14:paraId="2F10681E">
      <w:pPr>
        <w:rPr>
          <w:color w:val="auto"/>
        </w:rPr>
      </w:pPr>
    </w:p>
    <w:p w14:paraId="3C6492D2">
      <w:pPr>
        <w:rPr>
          <w:color w:val="auto"/>
        </w:rPr>
      </w:pPr>
    </w:p>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1D5F1">
    <w:pPr>
      <w:pStyle w:val="8"/>
      <w:rPr>
        <w:rFonts w:hint="eastAsia" w:ascii="仿宋_GB2312" w:eastAsia="仿宋_GB2312"/>
        <w:bCs/>
        <w:u w:val="single"/>
      </w:rPr>
    </w:pPr>
    <w:r>
      <w:rPr>
        <w:rFonts w:hint="eastAsia" w:ascii="仿宋_GB2312" w:eastAsia="仿宋_GB2312"/>
        <w:bCs/>
        <w:u w:val="single"/>
      </w:rPr>
      <w:t xml:space="preserve">                                                                                                 </w:t>
    </w:r>
  </w:p>
  <w:p w14:paraId="63555F8F">
    <w:pPr>
      <w:adjustRightInd w:val="0"/>
      <w:snapToGrid w:val="0"/>
      <w:spacing w:line="260" w:lineRule="atLeast"/>
      <w:ind w:left="482" w:hanging="482"/>
      <w:rPr>
        <w:rFonts w:hint="eastAsia" w:ascii="宋体" w:hAnsi="宋体"/>
        <w:kern w:val="0"/>
        <w:sz w:val="18"/>
        <w:szCs w:val="21"/>
      </w:rPr>
    </w:pPr>
  </w:p>
  <w:p w14:paraId="37A57789">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90776">
    <w:pPr>
      <w:pStyle w:val="8"/>
      <w:rPr>
        <w:rFonts w:hint="eastAsia" w:ascii="仿宋_GB2312" w:eastAsia="仿宋_GB2312"/>
        <w:bCs/>
        <w:u w:val="single"/>
      </w:rPr>
    </w:pPr>
    <w:r>
      <w:rPr>
        <w:rFonts w:hint="eastAsia" w:ascii="仿宋_GB2312" w:eastAsia="仿宋_GB2312"/>
        <w:bCs/>
        <w:u w:val="single"/>
      </w:rPr>
      <w:t xml:space="preserve">                                                                                                 </w:t>
    </w:r>
  </w:p>
  <w:p w14:paraId="5E2B89F1">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50E2D">
    <w:pPr>
      <w:pStyle w:val="8"/>
      <w:rPr>
        <w:rFonts w:hint="eastAsia" w:ascii="仿宋_GB2312" w:eastAsia="仿宋_GB2312"/>
        <w:bCs/>
        <w:u w:val="single"/>
      </w:rPr>
    </w:pPr>
    <w:r>
      <w:rPr>
        <w:rFonts w:hint="eastAsia" w:ascii="仿宋_GB2312" w:eastAsia="仿宋_GB2312"/>
        <w:bCs/>
        <w:u w:val="single"/>
      </w:rPr>
      <w:t xml:space="preserve">                                                                                                 </w:t>
    </w:r>
  </w:p>
  <w:p w14:paraId="555107B2">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449AC">
    <w:pPr>
      <w:pStyle w:val="9"/>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EEFDF4"/>
    <w:multiLevelType w:val="singleLevel"/>
    <w:tmpl w:val="E5EEFDF4"/>
    <w:lvl w:ilvl="0" w:tentative="0">
      <w:start w:val="3"/>
      <w:numFmt w:val="chineseCounting"/>
      <w:suff w:val="nothing"/>
      <w:lvlText w:val="%1、"/>
      <w:lvlJc w:val="left"/>
      <w:rPr>
        <w:rFonts w:hint="eastAsia"/>
      </w:rPr>
    </w:lvl>
  </w:abstractNum>
  <w:abstractNum w:abstractNumId="1">
    <w:nsid w:val="60D8BFBB"/>
    <w:multiLevelType w:val="singleLevel"/>
    <w:tmpl w:val="60D8BFBB"/>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994F15"/>
    <w:rsid w:val="136B1B8E"/>
    <w:rsid w:val="167F4620"/>
    <w:rsid w:val="37BA70E9"/>
    <w:rsid w:val="57376624"/>
    <w:rsid w:val="5C994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2"/>
    <w:basedOn w:val="1"/>
    <w:next w:val="1"/>
    <w:qFormat/>
    <w:uiPriority w:val="9"/>
    <w:pPr>
      <w:keepNext/>
      <w:keepLines/>
      <w:spacing w:line="360" w:lineRule="auto"/>
      <w:outlineLvl w:val="1"/>
    </w:pPr>
    <w:rPr>
      <w:rFonts w:ascii="Arial" w:hAnsi="Arial"/>
      <w:b/>
      <w:bCs/>
      <w:sz w:val="24"/>
      <w:szCs w:val="32"/>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widowControl/>
      <w:ind w:firstLine="420"/>
      <w:jc w:val="left"/>
    </w:pPr>
    <w:rPr>
      <w:kern w:val="0"/>
      <w:sz w:val="20"/>
      <w:szCs w:val="20"/>
    </w:rPr>
  </w:style>
  <w:style w:type="paragraph" w:customStyle="1" w:styleId="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7">
    <w:name w:val="Body Text Indent"/>
    <w:basedOn w:val="1"/>
    <w:next w:val="1"/>
    <w:qFormat/>
    <w:uiPriority w:val="0"/>
    <w:pPr>
      <w:spacing w:after="120"/>
      <w:ind w:left="420" w:leftChars="200"/>
    </w:pPr>
    <w:rPr>
      <w:kern w:val="0"/>
      <w:sz w:val="24"/>
    </w:rPr>
  </w:style>
  <w:style w:type="paragraph" w:styleId="8">
    <w:name w:val="footer"/>
    <w:basedOn w:val="1"/>
    <w:qFormat/>
    <w:uiPriority w:val="0"/>
    <w:pPr>
      <w:tabs>
        <w:tab w:val="center" w:pos="4153"/>
        <w:tab w:val="right" w:pos="8306"/>
      </w:tabs>
      <w:snapToGrid w:val="0"/>
      <w:jc w:val="left"/>
    </w:pPr>
    <w:rPr>
      <w:kern w:val="0"/>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qFormat/>
    <w:uiPriority w:val="0"/>
    <w:pPr>
      <w:spacing w:after="120" w:line="480" w:lineRule="auto"/>
    </w:pPr>
  </w:style>
  <w:style w:type="paragraph" w:styleId="11">
    <w:name w:val="Normal (Web)"/>
    <w:basedOn w:val="1"/>
    <w:qFormat/>
    <w:uiPriority w:val="0"/>
    <w:rPr>
      <w:sz w:val="24"/>
    </w:rPr>
  </w:style>
  <w:style w:type="paragraph" w:styleId="12">
    <w:name w:val="Body Text First Indent 2"/>
    <w:basedOn w:val="7"/>
    <w:next w:val="5"/>
    <w:qFormat/>
    <w:uiPriority w:val="0"/>
    <w:pPr>
      <w:ind w:firstLine="420" w:firstLineChars="200"/>
    </w:pPr>
  </w:style>
  <w:style w:type="paragraph" w:customStyle="1" w:styleId="15">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6">
    <w:name w:val="null3"/>
    <w:autoRedefine/>
    <w:qFormat/>
    <w:uiPriority w:val="0"/>
    <w:rPr>
      <w:rFonts w:hint="eastAsia" w:ascii="Calibri" w:hAnsi="Calibri" w:eastAsia="宋体" w:cs="Times New Roman"/>
      <w:lang w:val="en-US" w:eastAsia="zh-Hans"/>
    </w:rPr>
  </w:style>
  <w:style w:type="paragraph" w:customStyle="1" w:styleId="17">
    <w:name w:val="pa-1"/>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8">
    <w:name w:val="ca-22"/>
    <w:basedOn w:val="14"/>
    <w:autoRedefine/>
    <w:qFormat/>
    <w:uiPriority w:val="0"/>
  </w:style>
  <w:style w:type="paragraph" w:customStyle="1" w:styleId="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列出段落1"/>
    <w:basedOn w:val="1"/>
    <w:qFormat/>
    <w:uiPriority w:val="99"/>
    <w:pPr>
      <w:ind w:firstLine="420" w:firstLineChars="200"/>
    </w:pPr>
  </w:style>
  <w:style w:type="paragraph" w:styleId="21">
    <w:name w:val="List Paragraph"/>
    <w:basedOn w:val="1"/>
    <w:qFormat/>
    <w:uiPriority w:val="34"/>
    <w:pPr>
      <w:ind w:firstLine="420" w:firstLineChars="200"/>
    </w:pPr>
    <w:rPr>
      <w:rFonts w:ascii="Calibri" w:hAnsi="Calibri"/>
      <w:szCs w:val="22"/>
    </w:rPr>
  </w:style>
  <w:style w:type="paragraph" w:customStyle="1" w:styleId="22">
    <w:name w:val="合同"/>
    <w:basedOn w:val="1"/>
    <w:qFormat/>
    <w:uiPriority w:val="99"/>
    <w:pPr>
      <w:ind w:firstLine="560" w:firstLineChars="200"/>
    </w:pPr>
    <w:rPr>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4226</Words>
  <Characters>4469</Characters>
  <Lines>0</Lines>
  <Paragraphs>0</Paragraphs>
  <TotalTime>4</TotalTime>
  <ScaleCrop>false</ScaleCrop>
  <LinksUpToDate>false</LinksUpToDate>
  <CharactersWithSpaces>4655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2026-01-19T06:53:00Z</dcterms:created>
  <dc:creator>是小豹子</dc:creator>
  <cp:lastModifiedBy>德普</cp:lastModifiedBy>
  <dcterms:modified xsi:type="dcterms:W3CDTF">2026-02-12T07:36:02Z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DD803E797E00465991655AE061BF03B8_13</vt:lpwstr>
  </property>
  <property fmtid="{D5CDD505-2E9C-101B-9397-08002B2CF9AE}" pid="4" name="KSOTemplateDocerSaveRecord">
    <vt:lpwstr>eyJoZGlkIjoiMjI0YzkyZjA4NDE5ZWViZGEyZTVjOTNhYTg4ZmYzYTciLCJ1c2VySWQiOiIzMDQ3NTQ4MDUifQ==</vt:lpwstr>
  </property>
</Properties>
</file>